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09AFE" w14:textId="77777777" w:rsidR="000C633D" w:rsidRPr="000C633D" w:rsidRDefault="000C633D" w:rsidP="000C633D">
      <w:pPr>
        <w:rPr>
          <w:b/>
          <w:bCs/>
        </w:rPr>
      </w:pPr>
      <w:r w:rsidRPr="000C633D">
        <w:rPr>
          <w:b/>
          <w:bCs/>
        </w:rPr>
        <w:t>5.1 Procedimiento Gestión de Alertado ITMS</w:t>
      </w:r>
    </w:p>
    <w:tbl>
      <w:tblPr>
        <w:tblW w:w="13490" w:type="dxa"/>
        <w:shd w:val="clear" w:color="auto" w:fill="FFFFFF"/>
        <w:tblCellMar>
          <w:top w:w="15" w:type="dxa"/>
          <w:left w:w="15" w:type="dxa"/>
          <w:bottom w:w="15" w:type="dxa"/>
          <w:right w:w="15" w:type="dxa"/>
        </w:tblCellMar>
        <w:tblLook w:val="04A0" w:firstRow="1" w:lastRow="0" w:firstColumn="1" w:lastColumn="0" w:noHBand="0" w:noVBand="1"/>
      </w:tblPr>
      <w:tblGrid>
        <w:gridCol w:w="13490"/>
      </w:tblGrid>
      <w:tr w:rsidR="000C633D" w:rsidRPr="000C633D" w14:paraId="6424F1C7" w14:textId="77777777" w:rsidTr="000C633D">
        <w:tc>
          <w:tcPr>
            <w:tcW w:w="0" w:type="auto"/>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716FB6E" w14:textId="77777777" w:rsidR="000C633D" w:rsidRPr="000C633D" w:rsidRDefault="000C633D" w:rsidP="000C633D">
            <w:pPr>
              <w:divId w:val="1394816614"/>
              <w:rPr>
                <w:b/>
                <w:bCs/>
              </w:rPr>
            </w:pPr>
            <w:hyperlink r:id="rId5" w:anchor="iv.9-procedimiento-gesti%C3%B3n-de-alertas-wan-campus-branches" w:tgtFrame="_blank" w:history="1">
              <w:r w:rsidRPr="000C633D">
                <w:rPr>
                  <w:rStyle w:val="Hipervnculo"/>
                  <w:b/>
                  <w:bCs/>
                </w:rPr>
                <w:t>https://santandernet.sharepoint.com/sites/NaaS-Batch3/SitePages/Manual-Operativo%20-%20GSOC.aspx#iv.9-procedimiento-gesti%C3%B3n-de-alertas-wan-campus-branches</w:t>
              </w:r>
            </w:hyperlink>
            <w:r w:rsidRPr="000C633D">
              <w:rPr>
                <w:b/>
                <w:bCs/>
              </w:rPr>
              <w:t>Servicios con procedimientos específicos:</w:t>
            </w:r>
          </w:p>
          <w:p w14:paraId="47B8A039" w14:textId="77777777" w:rsidR="000C633D" w:rsidRPr="000C633D" w:rsidRDefault="000C633D" w:rsidP="000C633D">
            <w:r w:rsidRPr="000C633D">
              <w:rPr>
                <w:i/>
                <w:iCs/>
              </w:rPr>
              <w:t xml:space="preserve">* En todo momento se deben priorizar todos los </w:t>
            </w:r>
            <w:proofErr w:type="gramStart"/>
            <w:r w:rsidRPr="000C633D">
              <w:rPr>
                <w:i/>
                <w:iCs/>
              </w:rPr>
              <w:t>tickets</w:t>
            </w:r>
            <w:proofErr w:type="gramEnd"/>
            <w:r w:rsidRPr="000C633D">
              <w:rPr>
                <w:i/>
                <w:iCs/>
              </w:rPr>
              <w:t xml:space="preserve"> que lleguen como </w:t>
            </w:r>
            <w:r w:rsidRPr="000C633D">
              <w:rPr>
                <w:b/>
                <w:bCs/>
                <w:i/>
                <w:iCs/>
              </w:rPr>
              <w:t>Incidencias Alta Urgencia</w:t>
            </w:r>
            <w:r w:rsidRPr="000C633D">
              <w:rPr>
                <w:i/>
                <w:iCs/>
              </w:rPr>
              <w:t xml:space="preserve"> en el </w:t>
            </w:r>
            <w:proofErr w:type="spellStart"/>
            <w:r w:rsidRPr="000C633D">
              <w:rPr>
                <w:i/>
                <w:iCs/>
              </w:rPr>
              <w:t>dashboard</w:t>
            </w:r>
            <w:proofErr w:type="spellEnd"/>
            <w:r w:rsidRPr="000C633D">
              <w:rPr>
                <w:i/>
                <w:iCs/>
              </w:rPr>
              <w:t xml:space="preserve"> de </w:t>
            </w:r>
            <w:proofErr w:type="spellStart"/>
            <w:r w:rsidRPr="000C633D">
              <w:rPr>
                <w:i/>
                <w:iCs/>
              </w:rPr>
              <w:t>Servicenow</w:t>
            </w:r>
            <w:proofErr w:type="spellEnd"/>
            <w:r w:rsidRPr="000C633D">
              <w:rPr>
                <w:i/>
                <w:iCs/>
              </w:rPr>
              <w:t>.</w:t>
            </w:r>
          </w:p>
          <w:p w14:paraId="10E78EE4" w14:textId="77777777" w:rsidR="000C633D" w:rsidRPr="000C633D" w:rsidRDefault="000C633D" w:rsidP="000C633D">
            <w:r w:rsidRPr="000C633D">
              <w:t> </w:t>
            </w:r>
          </w:p>
          <w:p w14:paraId="1E616EB0" w14:textId="77777777" w:rsidR="000C633D" w:rsidRPr="000C633D" w:rsidRDefault="000C633D" w:rsidP="000C633D">
            <w:pPr>
              <w:numPr>
                <w:ilvl w:val="0"/>
                <w:numId w:val="2"/>
              </w:numPr>
            </w:pPr>
            <w:r w:rsidRPr="000C633D">
              <w:rPr>
                <w:b/>
                <w:bCs/>
              </w:rPr>
              <w:t>Data: </w:t>
            </w:r>
          </w:p>
          <w:p w14:paraId="1AE00FB6" w14:textId="77777777" w:rsidR="000C633D" w:rsidRPr="000C633D" w:rsidRDefault="000C633D" w:rsidP="000C633D">
            <w:pPr>
              <w:numPr>
                <w:ilvl w:val="1"/>
                <w:numId w:val="2"/>
              </w:numPr>
            </w:pPr>
            <w:hyperlink r:id="rId6" w:anchor="iv.3-procedimiento-espera-15-min.-notificaci%C3%B3n-aperture-de-saturaci%C3%B3n-data." w:history="1">
              <w:r w:rsidRPr="000C633D">
                <w:rPr>
                  <w:rStyle w:val="Hipervnculo"/>
                </w:rPr>
                <w:t xml:space="preserve">Procedimiento Espera 15 min. Notificación </w:t>
              </w:r>
              <w:proofErr w:type="spellStart"/>
              <w:r w:rsidRPr="000C633D">
                <w:rPr>
                  <w:rStyle w:val="Hipervnculo"/>
                </w:rPr>
                <w:t>Aperture</w:t>
              </w:r>
              <w:proofErr w:type="spellEnd"/>
              <w:r w:rsidRPr="000C633D">
                <w:rPr>
                  <w:rStyle w:val="Hipervnculo"/>
                </w:rPr>
                <w:t xml:space="preserve"> de Saturación Data.</w:t>
              </w:r>
            </w:hyperlink>
          </w:p>
          <w:p w14:paraId="20C76E52" w14:textId="77777777" w:rsidR="000C633D" w:rsidRPr="000C633D" w:rsidRDefault="000C633D" w:rsidP="000C633D">
            <w:pPr>
              <w:numPr>
                <w:ilvl w:val="1"/>
                <w:numId w:val="2"/>
              </w:numPr>
            </w:pPr>
            <w:hyperlink r:id="rId7" w:anchor="iv.8-procedimiento-lcon-data-mexico" w:history="1">
              <w:r w:rsidRPr="000C633D">
                <w:rPr>
                  <w:rStyle w:val="Hipervnculo"/>
                </w:rPr>
                <w:t xml:space="preserve">Procedimiento LCON Data </w:t>
              </w:r>
              <w:proofErr w:type="spellStart"/>
              <w:r w:rsidRPr="000C633D">
                <w:rPr>
                  <w:rStyle w:val="Hipervnculo"/>
                </w:rPr>
                <w:t>Mexico</w:t>
              </w:r>
              <w:proofErr w:type="spellEnd"/>
            </w:hyperlink>
            <w:r w:rsidRPr="000C633D">
              <w:t>.</w:t>
            </w:r>
          </w:p>
          <w:p w14:paraId="1DDFF1EB" w14:textId="77777777" w:rsidR="000C633D" w:rsidRPr="000C633D" w:rsidRDefault="000C633D" w:rsidP="000C633D">
            <w:pPr>
              <w:numPr>
                <w:ilvl w:val="0"/>
                <w:numId w:val="2"/>
              </w:numPr>
            </w:pPr>
            <w:r w:rsidRPr="000C633D">
              <w:rPr>
                <w:b/>
                <w:bCs/>
              </w:rPr>
              <w:t>Internacional:</w:t>
            </w:r>
          </w:p>
          <w:p w14:paraId="33508BB4" w14:textId="77777777" w:rsidR="000C633D" w:rsidRPr="000C633D" w:rsidRDefault="000C633D" w:rsidP="000C633D">
            <w:pPr>
              <w:numPr>
                <w:ilvl w:val="1"/>
                <w:numId w:val="2"/>
              </w:numPr>
            </w:pPr>
            <w:hyperlink r:id="rId8" w:anchor="iv.7-procedimiento-notificaci%C3%B3n-%28aperture%29-de-saturaci%C3%B3n-cloud-e-internacional" w:history="1">
              <w:r w:rsidRPr="000C633D">
                <w:rPr>
                  <w:rStyle w:val="Hipervnculo"/>
                </w:rPr>
                <w:t>Procedimiento Notificaciones por Saturación</w:t>
              </w:r>
            </w:hyperlink>
            <w:r w:rsidRPr="000C633D">
              <w:t>.</w:t>
            </w:r>
          </w:p>
          <w:p w14:paraId="340C4F3C" w14:textId="77777777" w:rsidR="000C633D" w:rsidRPr="000C633D" w:rsidRDefault="000C633D" w:rsidP="000C633D">
            <w:pPr>
              <w:numPr>
                <w:ilvl w:val="0"/>
                <w:numId w:val="2"/>
              </w:numPr>
            </w:pPr>
            <w:r w:rsidRPr="000C633D">
              <w:rPr>
                <w:b/>
                <w:bCs/>
              </w:rPr>
              <w:t>Cloud:</w:t>
            </w:r>
          </w:p>
          <w:p w14:paraId="57487847" w14:textId="77777777" w:rsidR="000C633D" w:rsidRPr="000C633D" w:rsidRDefault="000C633D" w:rsidP="000C633D">
            <w:pPr>
              <w:numPr>
                <w:ilvl w:val="1"/>
                <w:numId w:val="2"/>
              </w:numPr>
            </w:pPr>
            <w:hyperlink r:id="rId9" w:anchor="iv.7-procedimiento-notificaci%C3%B3n-%28aperture%29-de-saturaci%C3%B3n-cloud-e-internacional" w:history="1">
              <w:r w:rsidRPr="000C633D">
                <w:rPr>
                  <w:rStyle w:val="Hipervnculo"/>
                </w:rPr>
                <w:t>Procedimiento Notificaciones por Saturación</w:t>
              </w:r>
            </w:hyperlink>
            <w:r w:rsidRPr="000C633D">
              <w:t>.</w:t>
            </w:r>
          </w:p>
          <w:p w14:paraId="123B2093" w14:textId="77777777" w:rsidR="000C633D" w:rsidRPr="000C633D" w:rsidRDefault="000C633D" w:rsidP="000C633D">
            <w:pPr>
              <w:numPr>
                <w:ilvl w:val="0"/>
                <w:numId w:val="2"/>
              </w:numPr>
            </w:pPr>
            <w:r w:rsidRPr="000C633D">
              <w:rPr>
                <w:b/>
                <w:bCs/>
              </w:rPr>
              <w:t>IX: </w:t>
            </w:r>
          </w:p>
          <w:p w14:paraId="015D66A5" w14:textId="77777777" w:rsidR="000C633D" w:rsidRPr="000C633D" w:rsidRDefault="000C633D" w:rsidP="000C633D">
            <w:pPr>
              <w:numPr>
                <w:ilvl w:val="1"/>
                <w:numId w:val="2"/>
              </w:numPr>
            </w:pPr>
            <w:hyperlink r:id="rId10" w:anchor="iv.2-procedimiento-flaps-de-l%C3%ADnea-ix-y-sa" w:history="1">
              <w:r w:rsidRPr="000C633D">
                <w:rPr>
                  <w:rStyle w:val="Hipervnculo"/>
                </w:rPr>
                <w:t xml:space="preserve">Procedimiento </w:t>
              </w:r>
              <w:proofErr w:type="spellStart"/>
              <w:r w:rsidRPr="000C633D">
                <w:rPr>
                  <w:rStyle w:val="Hipervnculo"/>
                </w:rPr>
                <w:t>Flaps</w:t>
              </w:r>
              <w:proofErr w:type="spellEnd"/>
              <w:r w:rsidRPr="000C633D">
                <w:rPr>
                  <w:rStyle w:val="Hipervnculo"/>
                </w:rPr>
                <w:t xml:space="preserve"> de Línea</w:t>
              </w:r>
            </w:hyperlink>
          </w:p>
          <w:p w14:paraId="7737871A" w14:textId="77777777" w:rsidR="000C633D" w:rsidRPr="000C633D" w:rsidRDefault="000C633D" w:rsidP="000C633D">
            <w:pPr>
              <w:numPr>
                <w:ilvl w:val="0"/>
                <w:numId w:val="2"/>
              </w:numPr>
            </w:pPr>
            <w:r w:rsidRPr="000C633D">
              <w:rPr>
                <w:b/>
                <w:bCs/>
              </w:rPr>
              <w:t>Sistema Autónomo: </w:t>
            </w:r>
          </w:p>
          <w:p w14:paraId="2846F55F" w14:textId="77777777" w:rsidR="000C633D" w:rsidRPr="000C633D" w:rsidRDefault="000C633D" w:rsidP="000C633D">
            <w:pPr>
              <w:numPr>
                <w:ilvl w:val="1"/>
                <w:numId w:val="2"/>
              </w:numPr>
            </w:pPr>
            <w:hyperlink r:id="rId11" w:anchor="iv.1-procedimiento-alertado-saturaci%C3%B3n-sistema-aut%C3%B3nomo-llamada-al-soc" w:history="1">
              <w:r w:rsidRPr="000C633D">
                <w:rPr>
                  <w:rStyle w:val="Hipervnculo"/>
                </w:rPr>
                <w:t>Procedimiento Alertado Saturación SA Llamada al SOC</w:t>
              </w:r>
            </w:hyperlink>
          </w:p>
          <w:p w14:paraId="4540055E" w14:textId="77777777" w:rsidR="000C633D" w:rsidRPr="000C633D" w:rsidRDefault="000C633D" w:rsidP="000C633D">
            <w:pPr>
              <w:numPr>
                <w:ilvl w:val="1"/>
                <w:numId w:val="2"/>
              </w:numPr>
            </w:pPr>
            <w:hyperlink r:id="rId12" w:anchor="iv.2-procedimiento-flaps-de-l%C3%ADnea-ix-y-sa" w:history="1">
              <w:r w:rsidRPr="000C633D">
                <w:rPr>
                  <w:rStyle w:val="Hipervnculo"/>
                </w:rPr>
                <w:t xml:space="preserve">Procedimiento </w:t>
              </w:r>
              <w:proofErr w:type="spellStart"/>
              <w:r w:rsidRPr="000C633D">
                <w:rPr>
                  <w:rStyle w:val="Hipervnculo"/>
                </w:rPr>
                <w:t>Flaps</w:t>
              </w:r>
              <w:proofErr w:type="spellEnd"/>
              <w:r w:rsidRPr="000C633D">
                <w:rPr>
                  <w:rStyle w:val="Hipervnculo"/>
                </w:rPr>
                <w:t xml:space="preserve"> de Línea</w:t>
              </w:r>
            </w:hyperlink>
          </w:p>
          <w:p w14:paraId="441AC868" w14:textId="77777777" w:rsidR="000C633D" w:rsidRPr="000C633D" w:rsidRDefault="000C633D" w:rsidP="000C633D">
            <w:pPr>
              <w:numPr>
                <w:ilvl w:val="1"/>
                <w:numId w:val="2"/>
              </w:numPr>
              <w:rPr>
                <w:lang w:val="en-US"/>
              </w:rPr>
            </w:pPr>
            <w:hyperlink r:id="rId13" w:anchor="iv.4-procedimiento-alerta-con-texto-at-least-one-bgp-next-hop-is-not-the-prefered-one." w:history="1">
              <w:proofErr w:type="spellStart"/>
              <w:r w:rsidRPr="000C633D">
                <w:rPr>
                  <w:rStyle w:val="Hipervnculo"/>
                  <w:lang w:val="en-US"/>
                </w:rPr>
                <w:t>Procedimiento</w:t>
              </w:r>
              <w:proofErr w:type="spellEnd"/>
              <w:r w:rsidRPr="000C633D">
                <w:rPr>
                  <w:rStyle w:val="Hipervnculo"/>
                  <w:lang w:val="en-US"/>
                </w:rPr>
                <w:t xml:space="preserve"> </w:t>
              </w:r>
              <w:proofErr w:type="spellStart"/>
              <w:r w:rsidRPr="000C633D">
                <w:rPr>
                  <w:rStyle w:val="Hipervnculo"/>
                  <w:lang w:val="en-US"/>
                </w:rPr>
                <w:t>Alertado</w:t>
              </w:r>
              <w:proofErr w:type="spellEnd"/>
              <w:r w:rsidRPr="000C633D">
                <w:rPr>
                  <w:rStyle w:val="Hipervnculo"/>
                  <w:lang w:val="en-US"/>
                </w:rPr>
                <w:t>: AT LEAST ONE BGP NEXT-HOP IS NOT THE PREFERED ONE</w:t>
              </w:r>
            </w:hyperlink>
          </w:p>
          <w:p w14:paraId="52870EC7" w14:textId="77777777" w:rsidR="000C633D" w:rsidRPr="000C633D" w:rsidRDefault="000C633D" w:rsidP="000C633D">
            <w:pPr>
              <w:numPr>
                <w:ilvl w:val="1"/>
                <w:numId w:val="2"/>
              </w:numPr>
            </w:pPr>
            <w:hyperlink r:id="rId14" w:anchor="iv.5-procedimiento-errores-sa-rtsame01-espanix-be200.10" w:history="1">
              <w:r w:rsidRPr="000C633D">
                <w:rPr>
                  <w:rStyle w:val="Hipervnculo"/>
                </w:rPr>
                <w:t xml:space="preserve">Procedimiento Errores SA RTSAME01 </w:t>
              </w:r>
              <w:proofErr w:type="spellStart"/>
              <w:r w:rsidRPr="000C633D">
                <w:rPr>
                  <w:rStyle w:val="Hipervnculo"/>
                </w:rPr>
                <w:t>Espanix</w:t>
              </w:r>
              <w:proofErr w:type="spellEnd"/>
              <w:r w:rsidRPr="000C633D">
                <w:rPr>
                  <w:rStyle w:val="Hipervnculo"/>
                </w:rPr>
                <w:t xml:space="preserve"> BE200.10</w:t>
              </w:r>
            </w:hyperlink>
          </w:p>
          <w:p w14:paraId="224ECFB2" w14:textId="77777777" w:rsidR="000C633D" w:rsidRPr="000C633D" w:rsidRDefault="000C633D" w:rsidP="000C633D">
            <w:pPr>
              <w:numPr>
                <w:ilvl w:val="0"/>
                <w:numId w:val="2"/>
              </w:numPr>
            </w:pPr>
            <w:r w:rsidRPr="000C633D">
              <w:rPr>
                <w:b/>
                <w:bCs/>
              </w:rPr>
              <w:t>Campus &amp; Branches</w:t>
            </w:r>
          </w:p>
          <w:p w14:paraId="4482AC9E" w14:textId="77777777" w:rsidR="000C633D" w:rsidRPr="000C633D" w:rsidRDefault="000C633D" w:rsidP="000C633D">
            <w:pPr>
              <w:numPr>
                <w:ilvl w:val="1"/>
                <w:numId w:val="2"/>
              </w:numPr>
            </w:pPr>
            <w:hyperlink r:id="rId15" w:anchor="iv.9-procedimiento-gesti%C3%B3n-de-alertas-wan-campus-branches" w:tgtFrame="_blank" w:history="1">
              <w:r w:rsidRPr="000C633D">
                <w:rPr>
                  <w:rStyle w:val="Hipervnculo"/>
                </w:rPr>
                <w:t>Procedimiento Gestión de alertas WAN - Campus &amp; Branches</w:t>
              </w:r>
            </w:hyperlink>
          </w:p>
        </w:tc>
      </w:tr>
    </w:tbl>
    <w:p w14:paraId="785C4AF6" w14:textId="77777777" w:rsidR="000C633D" w:rsidRPr="000C633D" w:rsidRDefault="000C633D" w:rsidP="000C633D">
      <w:r w:rsidRPr="000C633D">
        <w:t> </w:t>
      </w:r>
    </w:p>
    <w:p w14:paraId="07B4C03F" w14:textId="77777777" w:rsidR="000C633D" w:rsidRPr="000C633D" w:rsidRDefault="000C633D" w:rsidP="000C633D">
      <w:r w:rsidRPr="000C633D">
        <w:t xml:space="preserve">GSOC será responsable de la atención de los </w:t>
      </w:r>
      <w:proofErr w:type="gramStart"/>
      <w:r w:rsidRPr="000C633D">
        <w:t>tickets</w:t>
      </w:r>
      <w:proofErr w:type="gramEnd"/>
      <w:r w:rsidRPr="000C633D">
        <w:t xml:space="preserve"> de incidencias asociadas a los servicios, en ITSM, y actuar </w:t>
      </w:r>
      <w:proofErr w:type="gramStart"/>
      <w:r w:rsidRPr="000C633D">
        <w:t>de acuerdo al</w:t>
      </w:r>
      <w:proofErr w:type="gramEnd"/>
      <w:r w:rsidRPr="000C633D">
        <w:t xml:space="preserve"> siguiente procedimiento:</w:t>
      </w:r>
    </w:p>
    <w:p w14:paraId="3C3FF48C" w14:textId="77777777" w:rsidR="000C633D" w:rsidRPr="000C633D" w:rsidRDefault="000C633D" w:rsidP="000C633D">
      <w:r w:rsidRPr="000C633D">
        <w:t> </w:t>
      </w:r>
    </w:p>
    <w:p w14:paraId="7C957985" w14:textId="77777777" w:rsidR="000C633D" w:rsidRPr="000C633D" w:rsidRDefault="000C633D" w:rsidP="000C633D">
      <w:pPr>
        <w:rPr>
          <w:b/>
          <w:bCs/>
        </w:rPr>
      </w:pPr>
      <w:r w:rsidRPr="000C633D">
        <w:rPr>
          <w:b/>
          <w:bCs/>
        </w:rPr>
        <w:t>5.1.1 Recepción de la Alerta</w:t>
      </w:r>
    </w:p>
    <w:p w14:paraId="0D63DB48" w14:textId="77777777" w:rsidR="000C633D" w:rsidRPr="000C633D" w:rsidRDefault="000C633D" w:rsidP="000C633D">
      <w:r w:rsidRPr="000C633D">
        <w:lastRenderedPageBreak/>
        <w:t>GSOC recibe alertas en la </w:t>
      </w:r>
      <w:r w:rsidRPr="000C633D">
        <w:rPr>
          <w:b/>
          <w:bCs/>
        </w:rPr>
        <w:t>Consola de ITSM</w:t>
      </w:r>
      <w:r w:rsidRPr="000C633D">
        <w:t>. Es fundamental que las incidencias/alertas se atiendan 24x7 de manera oportuna, para asegurar la continuidad del servicio y cumplir con los compromisos de niveles de servicio (</w:t>
      </w:r>
      <w:proofErr w:type="spellStart"/>
      <w:r w:rsidRPr="000C633D">
        <w:t>SLAs</w:t>
      </w:r>
      <w:proofErr w:type="spellEnd"/>
      <w:r w:rsidRPr="000C633D">
        <w:t>).</w:t>
      </w:r>
    </w:p>
    <w:p w14:paraId="4AE0054A" w14:textId="77777777" w:rsidR="000C633D" w:rsidRPr="000C633D" w:rsidRDefault="000C633D" w:rsidP="000C633D">
      <w:r w:rsidRPr="000C633D">
        <w:t> </w:t>
      </w:r>
    </w:p>
    <w:p w14:paraId="0F37C133" w14:textId="77777777" w:rsidR="000C633D" w:rsidRPr="000C633D" w:rsidRDefault="000C633D" w:rsidP="000C633D">
      <w:pPr>
        <w:rPr>
          <w:b/>
          <w:bCs/>
        </w:rPr>
      </w:pPr>
      <w:r w:rsidRPr="000C633D">
        <w:rPr>
          <w:b/>
          <w:bCs/>
        </w:rPr>
        <w:t xml:space="preserve">5.1.1.1 Estados “En Espera” </w:t>
      </w:r>
      <w:proofErr w:type="spellStart"/>
      <w:r w:rsidRPr="000C633D">
        <w:rPr>
          <w:b/>
          <w:bCs/>
        </w:rPr>
        <w:t>Service</w:t>
      </w:r>
      <w:proofErr w:type="spellEnd"/>
      <w:r w:rsidRPr="000C633D">
        <w:rPr>
          <w:b/>
          <w:bCs/>
        </w:rPr>
        <w:t xml:space="preserve"> </w:t>
      </w:r>
      <w:proofErr w:type="spellStart"/>
      <w:r w:rsidRPr="000C633D">
        <w:rPr>
          <w:b/>
          <w:bCs/>
        </w:rPr>
        <w:t>Now</w:t>
      </w:r>
      <w:proofErr w:type="spellEnd"/>
    </w:p>
    <w:p w14:paraId="68FB88C8" w14:textId="77777777" w:rsidR="000C633D" w:rsidRPr="000C633D" w:rsidRDefault="000C633D" w:rsidP="000C633D">
      <w:r w:rsidRPr="000C633D">
        <w:br/>
        <w:t>- </w:t>
      </w:r>
      <w:r w:rsidRPr="000C633D">
        <w:rPr>
          <w:b/>
          <w:bCs/>
        </w:rPr>
        <w:t>Esperando Proveedor</w:t>
      </w:r>
      <w:r w:rsidRPr="000C633D">
        <w:t>: Todo lo que esté pendiente de otros grupos (todo lo que no esté pendiente de GSOC).</w:t>
      </w:r>
    </w:p>
    <w:p w14:paraId="14BB56E5" w14:textId="77777777" w:rsidR="000C633D" w:rsidRPr="000C633D" w:rsidRDefault="000C633D" w:rsidP="000C633D">
      <w:r w:rsidRPr="000C633D">
        <w:t> </w:t>
      </w:r>
    </w:p>
    <w:p w14:paraId="72015ACB" w14:textId="77777777" w:rsidR="000C633D" w:rsidRPr="000C633D" w:rsidRDefault="000C633D" w:rsidP="000C633D">
      <w:pPr>
        <w:rPr>
          <w:b/>
          <w:bCs/>
        </w:rPr>
      </w:pPr>
      <w:r w:rsidRPr="000C633D">
        <w:rPr>
          <w:b/>
          <w:bCs/>
        </w:rPr>
        <w:t>5.1.2 Análisis de la Incidencia</w:t>
      </w:r>
    </w:p>
    <w:p w14:paraId="39050227" w14:textId="77777777" w:rsidR="000C633D" w:rsidRPr="000C633D" w:rsidRDefault="000C633D" w:rsidP="000C633D">
      <w:r w:rsidRPr="000C633D">
        <w:t xml:space="preserve">Se debe realizar un análisis inicial de la incidencia. </w:t>
      </w:r>
      <w:proofErr w:type="spellStart"/>
      <w:r w:rsidRPr="000C633D">
        <w:t>Troubleshooting</w:t>
      </w:r>
      <w:proofErr w:type="spellEnd"/>
      <w:r w:rsidRPr="000C633D">
        <w:t xml:space="preserve"> para tomar las evidencias y confirmar que existe una incidencia:</w:t>
      </w:r>
      <w:r w:rsidRPr="000C633D">
        <w:rPr>
          <w:i/>
          <w:iCs/>
        </w:rPr>
        <w:t> [log del equipo, IP gestión en alerta…]</w:t>
      </w:r>
      <w:r w:rsidRPr="000C633D">
        <w:t> y enviarla a los grupos correspondientes.</w:t>
      </w:r>
    </w:p>
    <w:p w14:paraId="103054EF" w14:textId="77777777" w:rsidR="000C633D" w:rsidRPr="000C633D" w:rsidRDefault="000C633D" w:rsidP="000C633D">
      <w:r w:rsidRPr="000C633D">
        <w:t> </w:t>
      </w:r>
    </w:p>
    <w:p w14:paraId="2937023C" w14:textId="77777777" w:rsidR="000C633D" w:rsidRPr="000C633D" w:rsidRDefault="000C633D" w:rsidP="000C633D">
      <w:r w:rsidRPr="000C633D">
        <w:rPr>
          <w:i/>
          <w:iCs/>
        </w:rPr>
        <w:t>* En caso de que la sede esté aislada completamente o algún túnel en Cloud esté aislada completamente seguiremos el procedimiento de Escalado Telefónico de Incidencias a </w:t>
      </w:r>
      <w:r w:rsidRPr="000C633D">
        <w:rPr>
          <w:b/>
          <w:bCs/>
          <w:i/>
          <w:iCs/>
        </w:rPr>
        <w:t>CCS</w:t>
      </w:r>
      <w:r w:rsidRPr="000C633D">
        <w:rPr>
          <w:i/>
          <w:iCs/>
        </w:rPr>
        <w:t>, </w:t>
      </w:r>
      <w:r w:rsidRPr="000C633D">
        <w:rPr>
          <w:b/>
          <w:bCs/>
          <w:i/>
          <w:iCs/>
        </w:rPr>
        <w:t>Guardia Interna</w:t>
      </w:r>
      <w:r w:rsidRPr="000C633D">
        <w:rPr>
          <w:i/>
          <w:iCs/>
        </w:rPr>
        <w:t>, </w:t>
      </w:r>
      <w:r w:rsidRPr="000C633D">
        <w:rPr>
          <w:b/>
          <w:bCs/>
          <w:i/>
          <w:iCs/>
        </w:rPr>
        <w:t>Guardia Network Platform</w:t>
      </w:r>
      <w:r w:rsidRPr="000C633D">
        <w:rPr>
          <w:i/>
          <w:iCs/>
        </w:rPr>
        <w:t> y </w:t>
      </w:r>
      <w:r w:rsidRPr="000C633D">
        <w:rPr>
          <w:b/>
          <w:bCs/>
          <w:i/>
          <w:iCs/>
        </w:rPr>
        <w:t>Guardia SDS</w:t>
      </w:r>
      <w:r w:rsidRPr="000C633D">
        <w:rPr>
          <w:i/>
          <w:iCs/>
        </w:rPr>
        <w:t>.</w:t>
      </w:r>
    </w:p>
    <w:p w14:paraId="3E5D6E1F" w14:textId="77777777" w:rsidR="000C633D" w:rsidRPr="000C633D" w:rsidRDefault="000C633D" w:rsidP="000C633D">
      <w:r w:rsidRPr="000C633D">
        <w:t> </w:t>
      </w:r>
    </w:p>
    <w:p w14:paraId="21566930" w14:textId="77777777" w:rsidR="000C633D" w:rsidRPr="000C633D" w:rsidRDefault="000C633D" w:rsidP="000C633D">
      <w:pPr>
        <w:rPr>
          <w:b/>
          <w:bCs/>
        </w:rPr>
      </w:pPr>
      <w:r w:rsidRPr="000C633D">
        <w:rPr>
          <w:b/>
          <w:bCs/>
        </w:rPr>
        <w:t>5.1.3 Verificación de Impacto</w:t>
      </w:r>
    </w:p>
    <w:p w14:paraId="0B0E2CAF" w14:textId="77777777" w:rsidR="000C633D" w:rsidRPr="000C633D" w:rsidRDefault="000C633D" w:rsidP="000C633D">
      <w:r w:rsidRPr="000C633D">
        <w:t>GSOC deberá verificar el impacto comunicándose con los </w:t>
      </w:r>
      <w:r w:rsidRPr="000C633D">
        <w:rPr>
          <w:b/>
          <w:bCs/>
        </w:rPr>
        <w:t>contactos correspondientes</w:t>
      </w:r>
      <w:r w:rsidRPr="000C633D">
        <w:t> dependiendo de cada Servicio. Los mismos indicarán si hay o no impacto; y si lo hay, de qué tipo.</w:t>
      </w:r>
    </w:p>
    <w:p w14:paraId="39D4EBAC" w14:textId="77777777" w:rsidR="000C633D" w:rsidRPr="000C633D" w:rsidRDefault="000C633D" w:rsidP="000C633D">
      <w:r w:rsidRPr="000C633D">
        <w:t> </w:t>
      </w:r>
    </w:p>
    <w:p w14:paraId="386204DE" w14:textId="77777777" w:rsidR="000C633D" w:rsidRPr="000C633D" w:rsidRDefault="000C633D" w:rsidP="000C633D">
      <w:r w:rsidRPr="000C633D">
        <w:rPr>
          <w:i/>
          <w:iCs/>
        </w:rPr>
        <w:t>* </w:t>
      </w:r>
      <w:r w:rsidRPr="000C633D">
        <w:rPr>
          <w:b/>
          <w:bCs/>
          <w:i/>
          <w:iCs/>
        </w:rPr>
        <w:t>Si hay Impacto</w:t>
      </w:r>
      <w:r w:rsidRPr="000C633D">
        <w:rPr>
          <w:i/>
          <w:iCs/>
        </w:rPr>
        <w:t> se debe seguir el procedimiento de Escalado Telefónico de Incidencias con Impacto a </w:t>
      </w:r>
      <w:r w:rsidRPr="000C633D">
        <w:rPr>
          <w:b/>
          <w:bCs/>
          <w:i/>
          <w:iCs/>
        </w:rPr>
        <w:t>CCS</w:t>
      </w:r>
      <w:r w:rsidRPr="000C633D">
        <w:rPr>
          <w:i/>
          <w:iCs/>
        </w:rPr>
        <w:t>, </w:t>
      </w:r>
      <w:r w:rsidRPr="000C633D">
        <w:rPr>
          <w:b/>
          <w:bCs/>
          <w:i/>
          <w:iCs/>
        </w:rPr>
        <w:t>Guardia Interna</w:t>
      </w:r>
      <w:r w:rsidRPr="000C633D">
        <w:rPr>
          <w:i/>
          <w:iCs/>
        </w:rPr>
        <w:t>, </w:t>
      </w:r>
      <w:r w:rsidRPr="000C633D">
        <w:rPr>
          <w:b/>
          <w:bCs/>
          <w:i/>
          <w:iCs/>
        </w:rPr>
        <w:t>Guardia Network Platform</w:t>
      </w:r>
      <w:r w:rsidRPr="000C633D">
        <w:rPr>
          <w:i/>
          <w:iCs/>
        </w:rPr>
        <w:t> y </w:t>
      </w:r>
      <w:r w:rsidRPr="000C633D">
        <w:rPr>
          <w:b/>
          <w:bCs/>
          <w:i/>
          <w:iCs/>
        </w:rPr>
        <w:t>Guardia SDS</w:t>
      </w:r>
      <w:r w:rsidRPr="000C633D">
        <w:rPr>
          <w:i/>
          <w:iCs/>
        </w:rPr>
        <w:t>.</w:t>
      </w:r>
    </w:p>
    <w:p w14:paraId="23619B42" w14:textId="77777777" w:rsidR="000C633D" w:rsidRPr="000C633D" w:rsidRDefault="000C633D" w:rsidP="000C633D">
      <w:r w:rsidRPr="000C633D">
        <w:t>* </w:t>
      </w:r>
      <w:r w:rsidRPr="000C633D">
        <w:rPr>
          <w:b/>
          <w:bCs/>
          <w:i/>
          <w:iCs/>
        </w:rPr>
        <w:t>En caso de Impacto</w:t>
      </w:r>
      <w:r w:rsidRPr="000C633D">
        <w:t> se deberá marcar en la plantilla de notificación y mantener el </w:t>
      </w:r>
      <w:proofErr w:type="spellStart"/>
      <w:r w:rsidRPr="000C633D">
        <w:rPr>
          <w:b/>
          <w:bCs/>
          <w:i/>
          <w:iCs/>
        </w:rPr>
        <w:t>Impact</w:t>
      </w:r>
      <w:proofErr w:type="spellEnd"/>
      <w:r w:rsidRPr="000C633D">
        <w:rPr>
          <w:b/>
          <w:bCs/>
          <w:i/>
          <w:iCs/>
        </w:rPr>
        <w:t>: Yes</w:t>
      </w:r>
      <w:r w:rsidRPr="000C633D">
        <w:t xml:space="preserve"> hasta el </w:t>
      </w:r>
      <w:proofErr w:type="spellStart"/>
      <w:r w:rsidRPr="000C633D">
        <w:t>Closure</w:t>
      </w:r>
      <w:proofErr w:type="spellEnd"/>
      <w:r w:rsidRPr="000C633D">
        <w:t xml:space="preserve"> de la incidencia.</w:t>
      </w:r>
    </w:p>
    <w:p w14:paraId="728DE7F3" w14:textId="77777777" w:rsidR="000C633D" w:rsidRPr="000C633D" w:rsidRDefault="000C633D" w:rsidP="000C633D">
      <w:r w:rsidRPr="000C633D">
        <w:t>* </w:t>
      </w:r>
      <w:r w:rsidRPr="000C633D">
        <w:rPr>
          <w:b/>
          <w:bCs/>
          <w:i/>
          <w:iCs/>
        </w:rPr>
        <w:t>En caso de Impacto</w:t>
      </w:r>
      <w:r w:rsidRPr="000C633D">
        <w:t> se deberá marcar en el reporte </w:t>
      </w:r>
      <w:hyperlink r:id="rId16" w:anchor="8.2-network-platform-dashboard-gsnet-service" w:history="1">
        <w:r w:rsidRPr="000C633D">
          <w:rPr>
            <w:rStyle w:val="Hipervnculo"/>
          </w:rPr>
          <w:t xml:space="preserve">Network Platform </w:t>
        </w:r>
        <w:proofErr w:type="spellStart"/>
        <w:r w:rsidRPr="000C633D">
          <w:rPr>
            <w:rStyle w:val="Hipervnculo"/>
          </w:rPr>
          <w:t>Dashboard</w:t>
        </w:r>
        <w:proofErr w:type="spellEnd"/>
        <w:r w:rsidRPr="000C633D">
          <w:rPr>
            <w:rStyle w:val="Hipervnculo"/>
          </w:rPr>
          <w:t xml:space="preserve"> - GSNET </w:t>
        </w:r>
        <w:proofErr w:type="spellStart"/>
        <w:r w:rsidRPr="000C633D">
          <w:rPr>
            <w:rStyle w:val="Hipervnculo"/>
          </w:rPr>
          <w:t>Service</w:t>
        </w:r>
        <w:proofErr w:type="spellEnd"/>
      </w:hyperlink>
      <w:r w:rsidRPr="000C633D">
        <w:t> como </w:t>
      </w:r>
      <w:r w:rsidRPr="000C633D">
        <w:rPr>
          <w:b/>
          <w:bCs/>
        </w:rPr>
        <w:t>2 - SERVICE DEGRADE - IMPACT</w:t>
      </w:r>
      <w:r w:rsidRPr="000C633D">
        <w:t>.</w:t>
      </w:r>
    </w:p>
    <w:p w14:paraId="49083F3A" w14:textId="77777777" w:rsidR="000C633D" w:rsidRPr="000C633D" w:rsidRDefault="000C633D" w:rsidP="000C633D">
      <w:r w:rsidRPr="000C633D">
        <w:t> </w:t>
      </w:r>
    </w:p>
    <w:p w14:paraId="5C6E67EA" w14:textId="77777777" w:rsidR="000C633D" w:rsidRPr="000C633D" w:rsidRDefault="000C633D" w:rsidP="000C633D">
      <w:pPr>
        <w:rPr>
          <w:b/>
          <w:bCs/>
        </w:rPr>
      </w:pPr>
      <w:r w:rsidRPr="000C633D">
        <w:rPr>
          <w:b/>
          <w:bCs/>
        </w:rPr>
        <w:t>5.1.4 Notificación de Incidencias a Santander</w:t>
      </w:r>
    </w:p>
    <w:p w14:paraId="12955FAA" w14:textId="77777777" w:rsidR="000C633D" w:rsidRPr="000C633D" w:rsidRDefault="000C633D" w:rsidP="000C633D">
      <w:r w:rsidRPr="000C633D">
        <w:lastRenderedPageBreak/>
        <w:t xml:space="preserve">Se envía correo informativo o </w:t>
      </w:r>
      <w:proofErr w:type="spellStart"/>
      <w:r w:rsidRPr="000C633D">
        <w:t>Aperture</w:t>
      </w:r>
      <w:proofErr w:type="spellEnd"/>
      <w:r w:rsidRPr="000C633D">
        <w:t xml:space="preserve"> según corresponda, de acuerdo a lo explicado en la sección </w:t>
      </w:r>
      <w:hyperlink r:id="rId17" w:anchor="i.-notificaciones-de-incidencias-a-santander" w:history="1">
        <w:r w:rsidRPr="000C633D">
          <w:rPr>
            <w:rStyle w:val="Hipervnculo"/>
            <w:b/>
            <w:bCs/>
          </w:rPr>
          <w:t>Notificaciones de Incidencia a Santander</w:t>
        </w:r>
      </w:hyperlink>
      <w:r w:rsidRPr="000C633D">
        <w:t>.</w:t>
      </w:r>
    </w:p>
    <w:p w14:paraId="0783C691" w14:textId="77777777" w:rsidR="000C633D" w:rsidRPr="000C633D" w:rsidRDefault="000C633D" w:rsidP="000C633D">
      <w:r w:rsidRPr="000C633D">
        <w:t> </w:t>
      </w:r>
    </w:p>
    <w:p w14:paraId="656558ED" w14:textId="77777777" w:rsidR="000C633D" w:rsidRPr="000C633D" w:rsidRDefault="000C633D" w:rsidP="000C633D">
      <w:pPr>
        <w:rPr>
          <w:b/>
          <w:bCs/>
        </w:rPr>
      </w:pPr>
      <w:r w:rsidRPr="000C633D">
        <w:rPr>
          <w:b/>
          <w:bCs/>
        </w:rPr>
        <w:t>5.1.5 Escalado a Grupo Resolutor</w:t>
      </w:r>
    </w:p>
    <w:p w14:paraId="7C117B66" w14:textId="77777777" w:rsidR="000C633D" w:rsidRPr="000C633D" w:rsidRDefault="000C633D" w:rsidP="000C633D">
      <w:r w:rsidRPr="000C633D">
        <w:t>Se reporta al proveedor o área resolutora correspondiente.</w:t>
      </w:r>
    </w:p>
    <w:p w14:paraId="45B7E932" w14:textId="77777777" w:rsidR="000C633D" w:rsidRPr="000C633D" w:rsidRDefault="000C633D" w:rsidP="000C633D">
      <w:r w:rsidRPr="000C633D">
        <w:t> </w:t>
      </w:r>
    </w:p>
    <w:p w14:paraId="3B7A07CB" w14:textId="77777777" w:rsidR="000C633D" w:rsidRPr="000C633D" w:rsidRDefault="000C633D" w:rsidP="000C633D">
      <w:pPr>
        <w:rPr>
          <w:b/>
          <w:bCs/>
        </w:rPr>
      </w:pPr>
      <w:r w:rsidRPr="000C633D">
        <w:rPr>
          <w:b/>
          <w:bCs/>
        </w:rPr>
        <w:t xml:space="preserve">5.1.6 Actualización de </w:t>
      </w:r>
      <w:proofErr w:type="gramStart"/>
      <w:r w:rsidRPr="000C633D">
        <w:rPr>
          <w:b/>
          <w:bCs/>
        </w:rPr>
        <w:t>tickets</w:t>
      </w:r>
      <w:proofErr w:type="gramEnd"/>
      <w:r w:rsidRPr="000C633D">
        <w:rPr>
          <w:b/>
          <w:bCs/>
        </w:rPr>
        <w:t xml:space="preserve"> ITSM (</w:t>
      </w:r>
      <w:proofErr w:type="spellStart"/>
      <w:r w:rsidRPr="000C633D">
        <w:rPr>
          <w:b/>
          <w:bCs/>
        </w:rPr>
        <w:t>Servicenow</w:t>
      </w:r>
      <w:proofErr w:type="spellEnd"/>
      <w:r w:rsidRPr="000C633D">
        <w:rPr>
          <w:b/>
          <w:bCs/>
        </w:rPr>
        <w:t>)</w:t>
      </w:r>
    </w:p>
    <w:p w14:paraId="5389CE69" w14:textId="77777777" w:rsidR="000C633D" w:rsidRPr="000C633D" w:rsidRDefault="000C633D" w:rsidP="000C633D">
      <w:r w:rsidRPr="000C633D">
        <w:t xml:space="preserve">De manera mandataria, se deberá actualizar cada </w:t>
      </w:r>
      <w:proofErr w:type="gramStart"/>
      <w:r w:rsidRPr="000C633D">
        <w:t>ticket</w:t>
      </w:r>
      <w:proofErr w:type="gramEnd"/>
      <w:r w:rsidRPr="000C633D">
        <w:t xml:space="preserve"> ITSM Activo o En Espera con un nuevo comentario al inicio de cada turno (mínimo) con el estado actual de la incidencia. El comentario debe contener la información necesaria para que cualquier persona sea capaz de entender en qué situación se encuentra la incidencia y por qué sigue activa.</w:t>
      </w:r>
    </w:p>
    <w:p w14:paraId="68C07FEA" w14:textId="77777777" w:rsidR="000C633D" w:rsidRPr="000C633D" w:rsidRDefault="000C633D" w:rsidP="000C633D">
      <w:r w:rsidRPr="000C633D">
        <w:t> </w:t>
      </w:r>
    </w:p>
    <w:p w14:paraId="62A26C3D" w14:textId="77777777" w:rsidR="007F2F67" w:rsidRPr="000C633D" w:rsidRDefault="007F2F67" w:rsidP="000C633D"/>
    <w:sectPr w:rsidR="007F2F67" w:rsidRPr="000C63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402B86"/>
    <w:multiLevelType w:val="hybridMultilevel"/>
    <w:tmpl w:val="3692E9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79323D20"/>
    <w:multiLevelType w:val="multilevel"/>
    <w:tmpl w:val="58B45E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5855531">
    <w:abstractNumId w:val="0"/>
    <w:lvlOverride w:ilvl="0"/>
    <w:lvlOverride w:ilvl="1"/>
    <w:lvlOverride w:ilvl="2"/>
    <w:lvlOverride w:ilvl="3"/>
    <w:lvlOverride w:ilvl="4"/>
    <w:lvlOverride w:ilvl="5"/>
    <w:lvlOverride w:ilvl="6"/>
    <w:lvlOverride w:ilvl="7"/>
    <w:lvlOverride w:ilvl="8"/>
  </w:num>
  <w:num w:numId="2" w16cid:durableId="396784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33D"/>
    <w:rsid w:val="000C633D"/>
    <w:rsid w:val="002E25D8"/>
    <w:rsid w:val="00586995"/>
    <w:rsid w:val="007F2F67"/>
    <w:rsid w:val="00940E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72685"/>
  <w15:chartTrackingRefBased/>
  <w15:docId w15:val="{BF32A646-5500-41F5-B53C-AE0912C05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C63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C63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C633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C633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C633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C633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C633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C633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C633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633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C633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C633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C633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C633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C633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C633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C633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C633D"/>
    <w:rPr>
      <w:rFonts w:eastAsiaTheme="majorEastAsia" w:cstheme="majorBidi"/>
      <w:color w:val="272727" w:themeColor="text1" w:themeTint="D8"/>
    </w:rPr>
  </w:style>
  <w:style w:type="paragraph" w:styleId="Ttulo">
    <w:name w:val="Title"/>
    <w:basedOn w:val="Normal"/>
    <w:next w:val="Normal"/>
    <w:link w:val="TtuloCar"/>
    <w:uiPriority w:val="10"/>
    <w:qFormat/>
    <w:rsid w:val="000C63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633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C633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C633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C633D"/>
    <w:pPr>
      <w:spacing w:before="160"/>
      <w:jc w:val="center"/>
    </w:pPr>
    <w:rPr>
      <w:i/>
      <w:iCs/>
      <w:color w:val="404040" w:themeColor="text1" w:themeTint="BF"/>
    </w:rPr>
  </w:style>
  <w:style w:type="character" w:customStyle="1" w:styleId="CitaCar">
    <w:name w:val="Cita Car"/>
    <w:basedOn w:val="Fuentedeprrafopredeter"/>
    <w:link w:val="Cita"/>
    <w:uiPriority w:val="29"/>
    <w:rsid w:val="000C633D"/>
    <w:rPr>
      <w:i/>
      <w:iCs/>
      <w:color w:val="404040" w:themeColor="text1" w:themeTint="BF"/>
    </w:rPr>
  </w:style>
  <w:style w:type="paragraph" w:styleId="Prrafodelista">
    <w:name w:val="List Paragraph"/>
    <w:basedOn w:val="Normal"/>
    <w:uiPriority w:val="34"/>
    <w:qFormat/>
    <w:rsid w:val="000C633D"/>
    <w:pPr>
      <w:ind w:left="720"/>
      <w:contextualSpacing/>
    </w:pPr>
  </w:style>
  <w:style w:type="character" w:styleId="nfasisintenso">
    <w:name w:val="Intense Emphasis"/>
    <w:basedOn w:val="Fuentedeprrafopredeter"/>
    <w:uiPriority w:val="21"/>
    <w:qFormat/>
    <w:rsid w:val="000C633D"/>
    <w:rPr>
      <w:i/>
      <w:iCs/>
      <w:color w:val="0F4761" w:themeColor="accent1" w:themeShade="BF"/>
    </w:rPr>
  </w:style>
  <w:style w:type="paragraph" w:styleId="Citadestacada">
    <w:name w:val="Intense Quote"/>
    <w:basedOn w:val="Normal"/>
    <w:next w:val="Normal"/>
    <w:link w:val="CitadestacadaCar"/>
    <w:uiPriority w:val="30"/>
    <w:qFormat/>
    <w:rsid w:val="000C63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C633D"/>
    <w:rPr>
      <w:i/>
      <w:iCs/>
      <w:color w:val="0F4761" w:themeColor="accent1" w:themeShade="BF"/>
    </w:rPr>
  </w:style>
  <w:style w:type="character" w:styleId="Referenciaintensa">
    <w:name w:val="Intense Reference"/>
    <w:basedOn w:val="Fuentedeprrafopredeter"/>
    <w:uiPriority w:val="32"/>
    <w:qFormat/>
    <w:rsid w:val="000C633D"/>
    <w:rPr>
      <w:b/>
      <w:bCs/>
      <w:smallCaps/>
      <w:color w:val="0F4761" w:themeColor="accent1" w:themeShade="BF"/>
      <w:spacing w:val="5"/>
    </w:rPr>
  </w:style>
  <w:style w:type="character" w:styleId="Hipervnculo">
    <w:name w:val="Hyperlink"/>
    <w:basedOn w:val="Fuentedeprrafopredeter"/>
    <w:uiPriority w:val="99"/>
    <w:unhideWhenUsed/>
    <w:rsid w:val="000C633D"/>
    <w:rPr>
      <w:color w:val="467886" w:themeColor="hyperlink"/>
      <w:u w:val="single"/>
    </w:rPr>
  </w:style>
  <w:style w:type="character" w:styleId="Mencinsinresolver">
    <w:name w:val="Unresolved Mention"/>
    <w:basedOn w:val="Fuentedeprrafopredeter"/>
    <w:uiPriority w:val="99"/>
    <w:semiHidden/>
    <w:unhideWhenUsed/>
    <w:rsid w:val="000C63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749592">
      <w:bodyDiv w:val="1"/>
      <w:marLeft w:val="0"/>
      <w:marRight w:val="0"/>
      <w:marTop w:val="0"/>
      <w:marBottom w:val="0"/>
      <w:divBdr>
        <w:top w:val="none" w:sz="0" w:space="0" w:color="auto"/>
        <w:left w:val="none" w:sz="0" w:space="0" w:color="auto"/>
        <w:bottom w:val="none" w:sz="0" w:space="0" w:color="auto"/>
        <w:right w:val="none" w:sz="0" w:space="0" w:color="auto"/>
      </w:divBdr>
    </w:div>
    <w:div w:id="491606867">
      <w:bodyDiv w:val="1"/>
      <w:marLeft w:val="0"/>
      <w:marRight w:val="0"/>
      <w:marTop w:val="0"/>
      <w:marBottom w:val="0"/>
      <w:divBdr>
        <w:top w:val="none" w:sz="0" w:space="0" w:color="auto"/>
        <w:left w:val="none" w:sz="0" w:space="0" w:color="auto"/>
        <w:bottom w:val="none" w:sz="0" w:space="0" w:color="auto"/>
        <w:right w:val="none" w:sz="0" w:space="0" w:color="auto"/>
      </w:divBdr>
      <w:divsChild>
        <w:div w:id="869031821">
          <w:marLeft w:val="0"/>
          <w:marRight w:val="0"/>
          <w:marTop w:val="0"/>
          <w:marBottom w:val="0"/>
          <w:divBdr>
            <w:top w:val="none" w:sz="0" w:space="0" w:color="auto"/>
            <w:left w:val="none" w:sz="0" w:space="0" w:color="auto"/>
            <w:bottom w:val="none" w:sz="0" w:space="0" w:color="auto"/>
            <w:right w:val="none" w:sz="0" w:space="0" w:color="auto"/>
          </w:divBdr>
        </w:div>
        <w:div w:id="1316376037">
          <w:marLeft w:val="0"/>
          <w:marRight w:val="0"/>
          <w:marTop w:val="0"/>
          <w:marBottom w:val="0"/>
          <w:divBdr>
            <w:top w:val="none" w:sz="0" w:space="0" w:color="auto"/>
            <w:left w:val="none" w:sz="0" w:space="0" w:color="auto"/>
            <w:bottom w:val="none" w:sz="0" w:space="0" w:color="auto"/>
            <w:right w:val="none" w:sz="0" w:space="0" w:color="auto"/>
          </w:divBdr>
        </w:div>
        <w:div w:id="1053609">
          <w:marLeft w:val="0"/>
          <w:marRight w:val="0"/>
          <w:marTop w:val="0"/>
          <w:marBottom w:val="0"/>
          <w:divBdr>
            <w:top w:val="none" w:sz="0" w:space="0" w:color="auto"/>
            <w:left w:val="none" w:sz="0" w:space="0" w:color="auto"/>
            <w:bottom w:val="none" w:sz="0" w:space="0" w:color="auto"/>
            <w:right w:val="none" w:sz="0" w:space="0" w:color="auto"/>
          </w:divBdr>
        </w:div>
        <w:div w:id="1391806117">
          <w:marLeft w:val="0"/>
          <w:marRight w:val="0"/>
          <w:marTop w:val="0"/>
          <w:marBottom w:val="0"/>
          <w:divBdr>
            <w:top w:val="none" w:sz="0" w:space="0" w:color="auto"/>
            <w:left w:val="none" w:sz="0" w:space="0" w:color="auto"/>
            <w:bottom w:val="none" w:sz="0" w:space="0" w:color="auto"/>
            <w:right w:val="none" w:sz="0" w:space="0" w:color="auto"/>
          </w:divBdr>
        </w:div>
        <w:div w:id="1258445151">
          <w:marLeft w:val="0"/>
          <w:marRight w:val="0"/>
          <w:marTop w:val="0"/>
          <w:marBottom w:val="0"/>
          <w:divBdr>
            <w:top w:val="none" w:sz="0" w:space="0" w:color="auto"/>
            <w:left w:val="none" w:sz="0" w:space="0" w:color="auto"/>
            <w:bottom w:val="none" w:sz="0" w:space="0" w:color="auto"/>
            <w:right w:val="none" w:sz="0" w:space="0" w:color="auto"/>
          </w:divBdr>
        </w:div>
        <w:div w:id="566889887">
          <w:marLeft w:val="0"/>
          <w:marRight w:val="0"/>
          <w:marTop w:val="0"/>
          <w:marBottom w:val="0"/>
          <w:divBdr>
            <w:top w:val="none" w:sz="0" w:space="0" w:color="auto"/>
            <w:left w:val="none" w:sz="0" w:space="0" w:color="auto"/>
            <w:bottom w:val="none" w:sz="0" w:space="0" w:color="auto"/>
            <w:right w:val="none" w:sz="0" w:space="0" w:color="auto"/>
          </w:divBdr>
        </w:div>
        <w:div w:id="420177243">
          <w:marLeft w:val="0"/>
          <w:marRight w:val="0"/>
          <w:marTop w:val="0"/>
          <w:marBottom w:val="0"/>
          <w:divBdr>
            <w:top w:val="none" w:sz="0" w:space="0" w:color="auto"/>
            <w:left w:val="none" w:sz="0" w:space="0" w:color="auto"/>
            <w:bottom w:val="none" w:sz="0" w:space="0" w:color="auto"/>
            <w:right w:val="none" w:sz="0" w:space="0" w:color="auto"/>
          </w:divBdr>
        </w:div>
        <w:div w:id="62485817">
          <w:marLeft w:val="0"/>
          <w:marRight w:val="0"/>
          <w:marTop w:val="0"/>
          <w:marBottom w:val="0"/>
          <w:divBdr>
            <w:top w:val="none" w:sz="0" w:space="0" w:color="auto"/>
            <w:left w:val="none" w:sz="0" w:space="0" w:color="auto"/>
            <w:bottom w:val="none" w:sz="0" w:space="0" w:color="auto"/>
            <w:right w:val="none" w:sz="0" w:space="0" w:color="auto"/>
          </w:divBdr>
        </w:div>
        <w:div w:id="947665411">
          <w:marLeft w:val="0"/>
          <w:marRight w:val="0"/>
          <w:marTop w:val="0"/>
          <w:marBottom w:val="0"/>
          <w:divBdr>
            <w:top w:val="none" w:sz="0" w:space="0" w:color="auto"/>
            <w:left w:val="none" w:sz="0" w:space="0" w:color="auto"/>
            <w:bottom w:val="none" w:sz="0" w:space="0" w:color="auto"/>
            <w:right w:val="none" w:sz="0" w:space="0" w:color="auto"/>
          </w:divBdr>
        </w:div>
      </w:divsChild>
    </w:div>
    <w:div w:id="1298872311">
      <w:bodyDiv w:val="1"/>
      <w:marLeft w:val="0"/>
      <w:marRight w:val="0"/>
      <w:marTop w:val="0"/>
      <w:marBottom w:val="0"/>
      <w:divBdr>
        <w:top w:val="none" w:sz="0" w:space="0" w:color="auto"/>
        <w:left w:val="none" w:sz="0" w:space="0" w:color="auto"/>
        <w:bottom w:val="none" w:sz="0" w:space="0" w:color="auto"/>
        <w:right w:val="none" w:sz="0" w:space="0" w:color="auto"/>
      </w:divBdr>
    </w:div>
    <w:div w:id="1509707801">
      <w:bodyDiv w:val="1"/>
      <w:marLeft w:val="0"/>
      <w:marRight w:val="0"/>
      <w:marTop w:val="0"/>
      <w:marBottom w:val="0"/>
      <w:divBdr>
        <w:top w:val="none" w:sz="0" w:space="0" w:color="auto"/>
        <w:left w:val="none" w:sz="0" w:space="0" w:color="auto"/>
        <w:bottom w:val="none" w:sz="0" w:space="0" w:color="auto"/>
        <w:right w:val="none" w:sz="0" w:space="0" w:color="auto"/>
      </w:divBdr>
      <w:divsChild>
        <w:div w:id="1888100179">
          <w:marLeft w:val="0"/>
          <w:marRight w:val="0"/>
          <w:marTop w:val="0"/>
          <w:marBottom w:val="0"/>
          <w:divBdr>
            <w:top w:val="none" w:sz="0" w:space="0" w:color="auto"/>
            <w:left w:val="none" w:sz="0" w:space="0" w:color="auto"/>
            <w:bottom w:val="none" w:sz="0" w:space="0" w:color="auto"/>
            <w:right w:val="none" w:sz="0" w:space="0" w:color="auto"/>
          </w:divBdr>
        </w:div>
        <w:div w:id="1394816614">
          <w:marLeft w:val="0"/>
          <w:marRight w:val="0"/>
          <w:marTop w:val="0"/>
          <w:marBottom w:val="0"/>
          <w:divBdr>
            <w:top w:val="none" w:sz="0" w:space="0" w:color="auto"/>
            <w:left w:val="none" w:sz="0" w:space="0" w:color="auto"/>
            <w:bottom w:val="none" w:sz="0" w:space="0" w:color="auto"/>
            <w:right w:val="none" w:sz="0" w:space="0" w:color="auto"/>
          </w:divBdr>
        </w:div>
        <w:div w:id="1123230494">
          <w:marLeft w:val="0"/>
          <w:marRight w:val="0"/>
          <w:marTop w:val="0"/>
          <w:marBottom w:val="0"/>
          <w:divBdr>
            <w:top w:val="none" w:sz="0" w:space="0" w:color="auto"/>
            <w:left w:val="none" w:sz="0" w:space="0" w:color="auto"/>
            <w:bottom w:val="none" w:sz="0" w:space="0" w:color="auto"/>
            <w:right w:val="none" w:sz="0" w:space="0" w:color="auto"/>
          </w:divBdr>
        </w:div>
        <w:div w:id="964965309">
          <w:marLeft w:val="0"/>
          <w:marRight w:val="0"/>
          <w:marTop w:val="0"/>
          <w:marBottom w:val="0"/>
          <w:divBdr>
            <w:top w:val="none" w:sz="0" w:space="0" w:color="auto"/>
            <w:left w:val="none" w:sz="0" w:space="0" w:color="auto"/>
            <w:bottom w:val="none" w:sz="0" w:space="0" w:color="auto"/>
            <w:right w:val="none" w:sz="0" w:space="0" w:color="auto"/>
          </w:divBdr>
        </w:div>
        <w:div w:id="42875714">
          <w:marLeft w:val="0"/>
          <w:marRight w:val="0"/>
          <w:marTop w:val="0"/>
          <w:marBottom w:val="0"/>
          <w:divBdr>
            <w:top w:val="none" w:sz="0" w:space="0" w:color="auto"/>
            <w:left w:val="none" w:sz="0" w:space="0" w:color="auto"/>
            <w:bottom w:val="none" w:sz="0" w:space="0" w:color="auto"/>
            <w:right w:val="none" w:sz="0" w:space="0" w:color="auto"/>
          </w:divBdr>
        </w:div>
        <w:div w:id="1722242505">
          <w:marLeft w:val="0"/>
          <w:marRight w:val="0"/>
          <w:marTop w:val="0"/>
          <w:marBottom w:val="0"/>
          <w:divBdr>
            <w:top w:val="none" w:sz="0" w:space="0" w:color="auto"/>
            <w:left w:val="none" w:sz="0" w:space="0" w:color="auto"/>
            <w:bottom w:val="none" w:sz="0" w:space="0" w:color="auto"/>
            <w:right w:val="none" w:sz="0" w:space="0" w:color="auto"/>
          </w:divBdr>
        </w:div>
        <w:div w:id="402216684">
          <w:marLeft w:val="0"/>
          <w:marRight w:val="0"/>
          <w:marTop w:val="0"/>
          <w:marBottom w:val="0"/>
          <w:divBdr>
            <w:top w:val="none" w:sz="0" w:space="0" w:color="auto"/>
            <w:left w:val="none" w:sz="0" w:space="0" w:color="auto"/>
            <w:bottom w:val="none" w:sz="0" w:space="0" w:color="auto"/>
            <w:right w:val="none" w:sz="0" w:space="0" w:color="auto"/>
          </w:divBdr>
        </w:div>
        <w:div w:id="734858835">
          <w:marLeft w:val="0"/>
          <w:marRight w:val="0"/>
          <w:marTop w:val="0"/>
          <w:marBottom w:val="0"/>
          <w:divBdr>
            <w:top w:val="none" w:sz="0" w:space="0" w:color="auto"/>
            <w:left w:val="none" w:sz="0" w:space="0" w:color="auto"/>
            <w:bottom w:val="none" w:sz="0" w:space="0" w:color="auto"/>
            <w:right w:val="none" w:sz="0" w:space="0" w:color="auto"/>
          </w:divBdr>
        </w:div>
        <w:div w:id="387077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ntandernet.sharepoint.com/sites/NaaS-Batch3/SitePages/Manual-Operativo%20-%20GSOC.aspx" TargetMode="External"/><Relationship Id="rId13" Type="http://schemas.openxmlformats.org/officeDocument/2006/relationships/hyperlink" Target="https://santandernet.sharepoint.com/sites/NaaS-Batch3/SitePages/Manual-Operativo%20-%20GSOC.asp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antandernet.sharepoint.com/sites/NaaS-Batch3/SitePages/Manual-Operativo%20-%20GSOC.aspx" TargetMode="External"/><Relationship Id="rId12" Type="http://schemas.openxmlformats.org/officeDocument/2006/relationships/hyperlink" Target="https://santandernet.sharepoint.com/sites/NaaS-Batch3/SitePages/Manual-Operativo%20-%20GSOC.aspx" TargetMode="External"/><Relationship Id="rId17" Type="http://schemas.openxmlformats.org/officeDocument/2006/relationships/hyperlink" Target="https://santandernet.sharepoint.com/sites/NaaS-Batch3/SitePages/Manual-Operativo%20-%20GSOC.aspx" TargetMode="External"/><Relationship Id="rId2" Type="http://schemas.openxmlformats.org/officeDocument/2006/relationships/styles" Target="styles.xml"/><Relationship Id="rId16" Type="http://schemas.openxmlformats.org/officeDocument/2006/relationships/hyperlink" Target="https://santandernet.sharepoint.com/sites/NaaS-Batch3/SitePages/Manual-Operativo%20-%20GSOC.aspx" TargetMode="External"/><Relationship Id="rId1" Type="http://schemas.openxmlformats.org/officeDocument/2006/relationships/numbering" Target="numbering.xml"/><Relationship Id="rId6" Type="http://schemas.openxmlformats.org/officeDocument/2006/relationships/hyperlink" Target="https://santandernet.sharepoint.com/sites/NaaS-Batch3/SitePages/Manual-Operativo%20-%20GSOC.aspx" TargetMode="External"/><Relationship Id="rId11" Type="http://schemas.openxmlformats.org/officeDocument/2006/relationships/hyperlink" Target="https://santandernet.sharepoint.com/sites/NaaS-Batch3/SitePages/Manual-Operativo%20-%20GSOC.aspx" TargetMode="External"/><Relationship Id="rId5" Type="http://schemas.openxmlformats.org/officeDocument/2006/relationships/hyperlink" Target="https://santandernet.sharepoint.com/sites/NaaS-Batch3/SitePages/Manual-Operativo%20-%20GSOC.aspx" TargetMode="External"/><Relationship Id="rId15" Type="http://schemas.openxmlformats.org/officeDocument/2006/relationships/hyperlink" Target="https://santandernet.sharepoint.com/sites/NaaS-Batch3/SitePages/Manual-Operativo%20-%20GSOC.aspx" TargetMode="External"/><Relationship Id="rId10" Type="http://schemas.openxmlformats.org/officeDocument/2006/relationships/hyperlink" Target="https://santandernet.sharepoint.com/sites/NaaS-Batch3/SitePages/Manual-Operativo%20-%20GSOC.a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antandernet.sharepoint.com/sites/NaaS-Batch3/SitePages/Manual-Operativo%20-%20GSOC.aspx" TargetMode="External"/><Relationship Id="rId14" Type="http://schemas.openxmlformats.org/officeDocument/2006/relationships/hyperlink" Target="https://santandernet.sharepoint.com/sites/NaaS-Batch3/SitePages/Manual-Operativo%20-%20GSOC.asp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874</Words>
  <Characters>4810</Characters>
  <Application>Microsoft Office Word</Application>
  <DocSecurity>0</DocSecurity>
  <Lines>40</Lines>
  <Paragraphs>11</Paragraphs>
  <ScaleCrop>false</ScaleCrop>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Benitez Gonzalez Inmaculada</dc:creator>
  <cp:keywords/>
  <dc:description/>
  <cp:lastModifiedBy>Benitez Gonzalez Inmaculada</cp:lastModifiedBy>
  <cp:revision>2</cp:revision>
  <dcterms:created xsi:type="dcterms:W3CDTF">2025-09-25T15:34:00Z</dcterms:created>
  <dcterms:modified xsi:type="dcterms:W3CDTF">2025-09-25T15:34:00Z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1b88ec2-a72b-4523-9e84-0458a1764731_Enabled">
    <vt:lpwstr>true</vt:lpwstr>
  </property>
  <property fmtid="{D5CDD505-2E9C-101B-9397-08002B2CF9AE}" pid="3" name="MSIP_Label_41b88ec2-a72b-4523-9e84-0458a1764731_SetDate">
    <vt:lpwstr>2025-09-25T15:11:00Z</vt:lpwstr>
  </property>
  <property fmtid="{D5CDD505-2E9C-101B-9397-08002B2CF9AE}" pid="4" name="MSIP_Label_41b88ec2-a72b-4523-9e84-0458a1764731_Method">
    <vt:lpwstr>Privileged</vt:lpwstr>
  </property>
  <property fmtid="{D5CDD505-2E9C-101B-9397-08002B2CF9AE}" pid="5" name="MSIP_Label_41b88ec2-a72b-4523-9e84-0458a1764731_Name">
    <vt:lpwstr>Public O365</vt:lpwstr>
  </property>
  <property fmtid="{D5CDD505-2E9C-101B-9397-08002B2CF9AE}" pid="6" name="MSIP_Label_41b88ec2-a72b-4523-9e84-0458a1764731_SiteId">
    <vt:lpwstr>35595a02-4d6d-44ac-99e1-f9ab4cd872db</vt:lpwstr>
  </property>
  <property fmtid="{D5CDD505-2E9C-101B-9397-08002B2CF9AE}" pid="7" name="MSIP_Label_41b88ec2-a72b-4523-9e84-0458a1764731_ActionId">
    <vt:lpwstr>724aadd6-169d-4093-a760-dba648992e17</vt:lpwstr>
  </property>
  <property fmtid="{D5CDD505-2E9C-101B-9397-08002B2CF9AE}" pid="8" name="MSIP_Label_41b88ec2-a72b-4523-9e84-0458a1764731_ContentBits">
    <vt:lpwstr>0</vt:lpwstr>
  </property>
  <property fmtid="{D5CDD505-2E9C-101B-9397-08002B2CF9AE}" pid="9" name="MSIP_Label_41b88ec2-a72b-4523-9e84-0458a1764731_Tag">
    <vt:lpwstr>10, 0, 1, 1</vt:lpwstr>
  </property>
</Properties>
</file>