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10D98" w14:textId="77777777" w:rsidR="00D51E0D" w:rsidRDefault="00D51E0D" w:rsidP="00D51E0D">
      <w:pPr>
        <w:pStyle w:val="Default"/>
      </w:pPr>
      <w:bookmarkStart w:id="0" w:name="_Toc196216243"/>
    </w:p>
    <w:p w14:paraId="45B50626" w14:textId="77777777" w:rsidR="009C7027" w:rsidRDefault="009C7027" w:rsidP="00D51E0D">
      <w:pPr>
        <w:pStyle w:val="Title"/>
        <w:rPr>
          <w:sz w:val="48"/>
        </w:rPr>
      </w:pPr>
    </w:p>
    <w:p w14:paraId="4CB9CA34" w14:textId="77777777" w:rsidR="009C7027" w:rsidRDefault="009C7027" w:rsidP="00D51E0D">
      <w:pPr>
        <w:pStyle w:val="Title"/>
        <w:rPr>
          <w:sz w:val="48"/>
        </w:rPr>
      </w:pPr>
    </w:p>
    <w:p w14:paraId="21234E5F" w14:textId="27585545" w:rsidR="00D51E0D" w:rsidRPr="009C7027" w:rsidRDefault="009C7027" w:rsidP="00D51E0D">
      <w:pPr>
        <w:pStyle w:val="Title"/>
        <w:rPr>
          <w:sz w:val="48"/>
        </w:rPr>
      </w:pPr>
      <w:r w:rsidRPr="009C7027">
        <w:rPr>
          <w:sz w:val="48"/>
        </w:rPr>
        <w:t>Identity Integration Solution Overview</w:t>
      </w:r>
    </w:p>
    <w:p w14:paraId="6282574B" w14:textId="77777777" w:rsidR="00D51E0D" w:rsidRPr="00D51E0D" w:rsidRDefault="00D51E0D" w:rsidP="00D51E0D">
      <w:pPr>
        <w:pStyle w:val="Subtitle"/>
        <w:rPr>
          <w:i w:val="0"/>
          <w:color w:val="1F497D" w:themeColor="text2"/>
        </w:rPr>
      </w:pPr>
      <w:r w:rsidRPr="00D51E0D">
        <w:rPr>
          <w:i w:val="0"/>
          <w:color w:val="1F497D" w:themeColor="text2"/>
        </w:rPr>
        <w:t xml:space="preserve">SLC Project Documentation </w:t>
      </w:r>
    </w:p>
    <w:p w14:paraId="3D5BCEB5" w14:textId="77777777" w:rsidR="00D51E0D" w:rsidRPr="001F4284" w:rsidRDefault="00D51E0D" w:rsidP="00D51E0D">
      <w:pPr>
        <w:pStyle w:val="Default"/>
        <w:rPr>
          <w:color w:val="1F497D" w:themeColor="text2"/>
          <w:sz w:val="28"/>
          <w:szCs w:val="28"/>
        </w:rPr>
      </w:pPr>
      <w:r w:rsidRPr="001F4284">
        <w:rPr>
          <w:color w:val="1F497D" w:themeColor="text2"/>
          <w:sz w:val="28"/>
          <w:szCs w:val="28"/>
        </w:rPr>
        <w:t xml:space="preserve">May 4, 2012 </w:t>
      </w:r>
    </w:p>
    <w:p w14:paraId="60DE0765" w14:textId="77777777" w:rsidR="00D51E0D" w:rsidRDefault="00D51E0D" w:rsidP="00D51E0D">
      <w:pPr>
        <w:pStyle w:val="Default"/>
        <w:rPr>
          <w:b/>
          <w:bCs/>
        </w:rPr>
      </w:pPr>
    </w:p>
    <w:p w14:paraId="40CE9BD6" w14:textId="77777777" w:rsidR="00D51E0D" w:rsidRDefault="00D51E0D" w:rsidP="00D51E0D">
      <w:pPr>
        <w:pStyle w:val="Default"/>
        <w:rPr>
          <w:b/>
          <w:bCs/>
        </w:rPr>
      </w:pPr>
    </w:p>
    <w:p w14:paraId="513D3B08" w14:textId="77777777" w:rsidR="00D51E0D" w:rsidRDefault="00D51E0D" w:rsidP="00D51E0D">
      <w:pPr>
        <w:pStyle w:val="Default"/>
        <w:rPr>
          <w:b/>
          <w:bCs/>
        </w:rPr>
      </w:pPr>
    </w:p>
    <w:p w14:paraId="433D9645" w14:textId="77777777" w:rsidR="009C7027" w:rsidRDefault="009C7027" w:rsidP="00D51E0D">
      <w:pPr>
        <w:pStyle w:val="Default"/>
        <w:rPr>
          <w:b/>
          <w:bCs/>
        </w:rPr>
      </w:pPr>
    </w:p>
    <w:p w14:paraId="103F52AE" w14:textId="77777777" w:rsidR="009C7027" w:rsidRDefault="009C7027" w:rsidP="00D51E0D">
      <w:pPr>
        <w:pStyle w:val="Default"/>
        <w:rPr>
          <w:b/>
          <w:bCs/>
        </w:rPr>
      </w:pPr>
    </w:p>
    <w:p w14:paraId="350E7707" w14:textId="77777777" w:rsidR="00D51E0D" w:rsidRDefault="00D51E0D" w:rsidP="00D51E0D">
      <w:pPr>
        <w:pStyle w:val="Default"/>
        <w:rPr>
          <w:b/>
          <w:bCs/>
        </w:rPr>
      </w:pPr>
    </w:p>
    <w:p w14:paraId="06F90836" w14:textId="77777777" w:rsidR="00D51E0D" w:rsidRDefault="00D51E0D" w:rsidP="00D51E0D">
      <w:pPr>
        <w:pStyle w:val="Default"/>
        <w:rPr>
          <w:b/>
          <w:bCs/>
        </w:rPr>
      </w:pPr>
    </w:p>
    <w:p w14:paraId="1ABCA9BB" w14:textId="77777777" w:rsidR="00D51E0D" w:rsidRDefault="00D51E0D" w:rsidP="00D51E0D">
      <w:pPr>
        <w:pStyle w:val="Default"/>
        <w:rPr>
          <w:b/>
          <w:bCs/>
        </w:rPr>
      </w:pPr>
    </w:p>
    <w:p w14:paraId="52C8218E" w14:textId="77777777" w:rsidR="00D51E0D" w:rsidRDefault="00D51E0D" w:rsidP="00D51E0D">
      <w:pPr>
        <w:pStyle w:val="Default"/>
        <w:rPr>
          <w:b/>
          <w:bCs/>
        </w:rPr>
      </w:pPr>
    </w:p>
    <w:p w14:paraId="62BC2E62" w14:textId="77777777" w:rsidR="00D51E0D" w:rsidRDefault="00D51E0D" w:rsidP="00D51E0D">
      <w:pPr>
        <w:pStyle w:val="Default"/>
        <w:rPr>
          <w:b/>
          <w:bCs/>
        </w:rPr>
      </w:pPr>
    </w:p>
    <w:p w14:paraId="672BD9D4" w14:textId="77777777" w:rsidR="009C7027" w:rsidRDefault="009C7027" w:rsidP="00D51E0D">
      <w:pPr>
        <w:pStyle w:val="Default"/>
        <w:rPr>
          <w:b/>
          <w:bCs/>
        </w:rPr>
      </w:pPr>
    </w:p>
    <w:p w14:paraId="1850937A" w14:textId="77777777" w:rsidR="009C7027" w:rsidRDefault="009C7027" w:rsidP="00D51E0D">
      <w:pPr>
        <w:pStyle w:val="Default"/>
        <w:rPr>
          <w:b/>
          <w:bCs/>
        </w:rPr>
      </w:pPr>
    </w:p>
    <w:p w14:paraId="663673A7" w14:textId="77777777" w:rsidR="009C7027" w:rsidRDefault="009C7027" w:rsidP="00D51E0D">
      <w:pPr>
        <w:pStyle w:val="Default"/>
        <w:rPr>
          <w:b/>
          <w:bCs/>
        </w:rPr>
      </w:pPr>
    </w:p>
    <w:p w14:paraId="51FFC0AF" w14:textId="77777777" w:rsidR="009C7027" w:rsidRDefault="009C7027" w:rsidP="00D51E0D">
      <w:pPr>
        <w:pStyle w:val="Default"/>
        <w:rPr>
          <w:b/>
          <w:bCs/>
        </w:rPr>
      </w:pPr>
    </w:p>
    <w:p w14:paraId="5B8FCC72" w14:textId="77777777" w:rsidR="009C7027" w:rsidRDefault="009C7027" w:rsidP="00D51E0D">
      <w:pPr>
        <w:pStyle w:val="Default"/>
        <w:rPr>
          <w:b/>
          <w:bCs/>
        </w:rPr>
      </w:pPr>
    </w:p>
    <w:p w14:paraId="684C51B9" w14:textId="77777777" w:rsidR="00D51E0D" w:rsidRDefault="00D51E0D" w:rsidP="00D51E0D">
      <w:pPr>
        <w:pStyle w:val="Default"/>
        <w:rPr>
          <w:b/>
          <w:bCs/>
        </w:rPr>
      </w:pPr>
    </w:p>
    <w:p w14:paraId="52E8042B" w14:textId="77777777" w:rsidR="00D51E0D" w:rsidRDefault="00D51E0D" w:rsidP="00D51E0D">
      <w:pPr>
        <w:pStyle w:val="Default"/>
        <w:rPr>
          <w:b/>
          <w:bCs/>
        </w:rPr>
      </w:pPr>
    </w:p>
    <w:p w14:paraId="29F4B6EC" w14:textId="77777777" w:rsidR="00D51E0D" w:rsidRDefault="00D51E0D" w:rsidP="00D51E0D">
      <w:pPr>
        <w:pStyle w:val="Default"/>
        <w:rPr>
          <w:b/>
          <w:bCs/>
        </w:rPr>
      </w:pPr>
    </w:p>
    <w:p w14:paraId="2C1A3249" w14:textId="77777777" w:rsidR="00D51E0D" w:rsidRDefault="00D51E0D" w:rsidP="00D51E0D">
      <w:pPr>
        <w:pStyle w:val="Copyright"/>
      </w:pPr>
      <w:r>
        <w:t xml:space="preserve">Copyright © 2012 Shared Learning Collaborative, LLC (SLC). All Rights Reserved. </w:t>
      </w:r>
    </w:p>
    <w:p w14:paraId="0407D6FE" w14:textId="77777777" w:rsidR="00D51E0D" w:rsidRDefault="00D51E0D" w:rsidP="00D51E0D">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p w14:paraId="1180E8D6" w14:textId="77777777" w:rsidR="00D51E0D" w:rsidRDefault="00D51E0D">
      <w:pPr>
        <w:spacing w:before="0"/>
      </w:pPr>
      <w:r>
        <w:rPr>
          <w:b/>
          <w:bCs/>
        </w:rPr>
        <w:br w:type="page"/>
      </w:r>
    </w:p>
    <w:p w14:paraId="09BF1A74" w14:textId="77777777" w:rsidR="00D51E0D" w:rsidRDefault="00D51E0D" w:rsidP="00D51E0D">
      <w:pPr>
        <w:pageBreakBefore/>
        <w:rPr>
          <w:sz w:val="28"/>
          <w:szCs w:val="28"/>
        </w:rPr>
      </w:pPr>
      <w:r>
        <w:rPr>
          <w:b/>
          <w:bCs/>
          <w:sz w:val="32"/>
          <w:szCs w:val="32"/>
        </w:rPr>
        <w:lastRenderedPageBreak/>
        <w:t>Revisions</w:t>
      </w:r>
    </w:p>
    <w:p w14:paraId="03668A78" w14:textId="77777777" w:rsidR="00D51E0D" w:rsidRDefault="00D51E0D" w:rsidP="00D51E0D">
      <w:pPr>
        <w:rPr>
          <w:b/>
          <w:bCs/>
          <w:sz w:val="32"/>
          <w:szCs w:val="32"/>
        </w:rPr>
      </w:pPr>
    </w:p>
    <w:tbl>
      <w:tblPr>
        <w:tblW w:w="452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550"/>
        <w:gridCol w:w="1079"/>
        <w:gridCol w:w="1618"/>
        <w:gridCol w:w="3761"/>
      </w:tblGrid>
      <w:tr w:rsidR="009C7027" w:rsidRPr="002F3073" w14:paraId="5A12A59A" w14:textId="77777777" w:rsidTr="009C7027">
        <w:tc>
          <w:tcPr>
            <w:tcW w:w="968" w:type="pct"/>
            <w:shd w:val="solid" w:color="000000" w:fill="FFFFFF"/>
          </w:tcPr>
          <w:p w14:paraId="24E59426" w14:textId="77777777" w:rsidR="009C7027" w:rsidRPr="002F3073" w:rsidRDefault="009C7027" w:rsidP="00BF1C5D">
            <w:pPr>
              <w:rPr>
                <w:rFonts w:cs="Arial"/>
                <w:b/>
                <w:bCs/>
                <w:color w:val="FFFFFF"/>
                <w:szCs w:val="20"/>
              </w:rPr>
            </w:pPr>
            <w:r w:rsidRPr="002F3073">
              <w:rPr>
                <w:rFonts w:cs="Arial"/>
                <w:b/>
                <w:bCs/>
                <w:color w:val="FFFFFF"/>
                <w:szCs w:val="20"/>
              </w:rPr>
              <w:t>Date</w:t>
            </w:r>
          </w:p>
        </w:tc>
        <w:tc>
          <w:tcPr>
            <w:tcW w:w="674" w:type="pct"/>
            <w:shd w:val="solid" w:color="000000" w:fill="FFFFFF"/>
          </w:tcPr>
          <w:p w14:paraId="16713965" w14:textId="77777777" w:rsidR="009C7027" w:rsidRPr="002F3073" w:rsidRDefault="009C7027" w:rsidP="00BF1C5D">
            <w:pPr>
              <w:rPr>
                <w:rFonts w:cs="Arial"/>
                <w:b/>
                <w:bCs/>
                <w:color w:val="FFFFFF"/>
                <w:szCs w:val="20"/>
              </w:rPr>
            </w:pPr>
            <w:r w:rsidRPr="002F3073">
              <w:rPr>
                <w:rFonts w:cs="Arial"/>
                <w:b/>
                <w:bCs/>
                <w:color w:val="FFFFFF"/>
                <w:szCs w:val="20"/>
              </w:rPr>
              <w:t>Version</w:t>
            </w:r>
          </w:p>
        </w:tc>
        <w:tc>
          <w:tcPr>
            <w:tcW w:w="1010" w:type="pct"/>
            <w:shd w:val="solid" w:color="000000" w:fill="FFFFFF"/>
          </w:tcPr>
          <w:p w14:paraId="10B38507" w14:textId="77777777" w:rsidR="009C7027" w:rsidRPr="002F3073" w:rsidRDefault="009C7027" w:rsidP="00BF1C5D">
            <w:pPr>
              <w:rPr>
                <w:rFonts w:cs="Arial"/>
                <w:b/>
                <w:bCs/>
                <w:color w:val="FFFFFF"/>
                <w:szCs w:val="20"/>
              </w:rPr>
            </w:pPr>
            <w:r w:rsidRPr="002F3073">
              <w:rPr>
                <w:rFonts w:cs="Arial"/>
                <w:b/>
                <w:bCs/>
                <w:color w:val="FFFFFF"/>
                <w:szCs w:val="20"/>
              </w:rPr>
              <w:t>Name</w:t>
            </w:r>
          </w:p>
        </w:tc>
        <w:tc>
          <w:tcPr>
            <w:tcW w:w="2348" w:type="pct"/>
            <w:shd w:val="solid" w:color="000000" w:fill="FFFFFF"/>
          </w:tcPr>
          <w:p w14:paraId="52030CE6" w14:textId="77777777" w:rsidR="009C7027" w:rsidRPr="002F3073" w:rsidRDefault="009C7027" w:rsidP="00BF1C5D">
            <w:pPr>
              <w:jc w:val="center"/>
              <w:rPr>
                <w:rFonts w:cs="Arial"/>
                <w:b/>
                <w:bCs/>
                <w:color w:val="FFFFFF"/>
                <w:szCs w:val="20"/>
              </w:rPr>
            </w:pPr>
            <w:r w:rsidRPr="002F3073">
              <w:rPr>
                <w:rFonts w:cs="Arial"/>
                <w:b/>
                <w:bCs/>
                <w:color w:val="FFFFFF"/>
                <w:szCs w:val="20"/>
              </w:rPr>
              <w:t>Change Summary</w:t>
            </w:r>
          </w:p>
        </w:tc>
      </w:tr>
      <w:tr w:rsidR="009C7027" w:rsidRPr="00EF0C18" w14:paraId="0E177951" w14:textId="77777777" w:rsidTr="009C7027">
        <w:tc>
          <w:tcPr>
            <w:tcW w:w="968" w:type="pct"/>
            <w:shd w:val="clear" w:color="auto" w:fill="auto"/>
          </w:tcPr>
          <w:p w14:paraId="1867DAD1" w14:textId="630CFC23" w:rsidR="009C7027" w:rsidRDefault="009C7027" w:rsidP="00BF1C5D">
            <w:pPr>
              <w:rPr>
                <w:rFonts w:cs="Arial"/>
                <w:szCs w:val="20"/>
              </w:rPr>
            </w:pPr>
            <w:r>
              <w:rPr>
                <w:rFonts w:cs="Arial"/>
                <w:szCs w:val="20"/>
              </w:rPr>
              <w:t>11/6</w:t>
            </w:r>
            <w:r w:rsidR="00683ECE">
              <w:rPr>
                <w:rFonts w:cs="Arial"/>
                <w:szCs w:val="20"/>
              </w:rPr>
              <w:t>/2011</w:t>
            </w:r>
          </w:p>
        </w:tc>
        <w:tc>
          <w:tcPr>
            <w:tcW w:w="674" w:type="pct"/>
            <w:shd w:val="clear" w:color="auto" w:fill="auto"/>
          </w:tcPr>
          <w:p w14:paraId="63423D8B" w14:textId="77777777" w:rsidR="009C7027" w:rsidRDefault="009C7027" w:rsidP="00BF1C5D">
            <w:pPr>
              <w:rPr>
                <w:rFonts w:cs="Arial"/>
                <w:szCs w:val="20"/>
              </w:rPr>
            </w:pPr>
            <w:r>
              <w:rPr>
                <w:rFonts w:cs="Arial"/>
                <w:szCs w:val="20"/>
              </w:rPr>
              <w:t>1.0</w:t>
            </w:r>
          </w:p>
        </w:tc>
        <w:tc>
          <w:tcPr>
            <w:tcW w:w="1010" w:type="pct"/>
            <w:shd w:val="clear" w:color="auto" w:fill="auto"/>
          </w:tcPr>
          <w:p w14:paraId="7F3FF17B" w14:textId="77777777" w:rsidR="009C7027" w:rsidRDefault="009C7027" w:rsidP="00BF1C5D">
            <w:pPr>
              <w:rPr>
                <w:rFonts w:cs="Arial"/>
                <w:szCs w:val="20"/>
              </w:rPr>
            </w:pPr>
            <w:r w:rsidRPr="002442BF">
              <w:rPr>
                <w:rFonts w:cs="Arial"/>
                <w:szCs w:val="20"/>
              </w:rPr>
              <w:t>Janko Bazhdavela</w:t>
            </w:r>
          </w:p>
        </w:tc>
        <w:tc>
          <w:tcPr>
            <w:tcW w:w="2348" w:type="pct"/>
            <w:shd w:val="clear" w:color="auto" w:fill="auto"/>
          </w:tcPr>
          <w:p w14:paraId="532002C7" w14:textId="6EE785AD" w:rsidR="009C7027" w:rsidRDefault="009C7027" w:rsidP="009C7027">
            <w:pPr>
              <w:rPr>
                <w:rFonts w:cs="Arial"/>
                <w:szCs w:val="20"/>
              </w:rPr>
            </w:pPr>
            <w:r>
              <w:rPr>
                <w:rFonts w:cs="Arial"/>
                <w:szCs w:val="20"/>
              </w:rPr>
              <w:t>Internally reviewed Draft</w:t>
            </w:r>
          </w:p>
        </w:tc>
      </w:tr>
      <w:tr w:rsidR="009C7027" w:rsidRPr="00EF0C18" w14:paraId="0B65629C" w14:textId="77777777" w:rsidTr="009C7027">
        <w:tc>
          <w:tcPr>
            <w:tcW w:w="968" w:type="pct"/>
            <w:shd w:val="clear" w:color="auto" w:fill="auto"/>
          </w:tcPr>
          <w:p w14:paraId="3595D6EB" w14:textId="1F9CF26D" w:rsidR="009C7027" w:rsidRDefault="009C7027" w:rsidP="009C7027">
            <w:pPr>
              <w:rPr>
                <w:rFonts w:cs="Arial"/>
                <w:szCs w:val="20"/>
              </w:rPr>
            </w:pPr>
            <w:r>
              <w:rPr>
                <w:rFonts w:cs="Arial"/>
                <w:szCs w:val="20"/>
              </w:rPr>
              <w:t>12/16/</w:t>
            </w:r>
            <w:r w:rsidR="00683ECE">
              <w:rPr>
                <w:rFonts w:cs="Arial"/>
                <w:szCs w:val="20"/>
              </w:rPr>
              <w:t>20</w:t>
            </w:r>
            <w:r>
              <w:rPr>
                <w:rFonts w:cs="Arial"/>
                <w:szCs w:val="20"/>
              </w:rPr>
              <w:t>11</w:t>
            </w:r>
          </w:p>
        </w:tc>
        <w:tc>
          <w:tcPr>
            <w:tcW w:w="674" w:type="pct"/>
            <w:shd w:val="clear" w:color="auto" w:fill="auto"/>
          </w:tcPr>
          <w:p w14:paraId="5062BB94" w14:textId="77777777" w:rsidR="009C7027" w:rsidRDefault="009C7027" w:rsidP="00BF1C5D">
            <w:pPr>
              <w:rPr>
                <w:rFonts w:cs="Arial"/>
                <w:szCs w:val="20"/>
              </w:rPr>
            </w:pPr>
            <w:r>
              <w:rPr>
                <w:rFonts w:cs="Arial"/>
                <w:szCs w:val="20"/>
              </w:rPr>
              <w:t>1.1</w:t>
            </w:r>
          </w:p>
        </w:tc>
        <w:tc>
          <w:tcPr>
            <w:tcW w:w="1010" w:type="pct"/>
            <w:shd w:val="clear" w:color="auto" w:fill="auto"/>
          </w:tcPr>
          <w:p w14:paraId="76C2FE2B" w14:textId="77777777" w:rsidR="009C7027" w:rsidRPr="002442BF" w:rsidRDefault="009C7027" w:rsidP="00BF1C5D">
            <w:pPr>
              <w:rPr>
                <w:rFonts w:cs="Arial"/>
                <w:szCs w:val="20"/>
              </w:rPr>
            </w:pPr>
            <w:r w:rsidRPr="008B3383">
              <w:rPr>
                <w:rFonts w:cs="Arial"/>
                <w:szCs w:val="20"/>
              </w:rPr>
              <w:t>Janko Bazhdavela</w:t>
            </w:r>
          </w:p>
        </w:tc>
        <w:tc>
          <w:tcPr>
            <w:tcW w:w="2348" w:type="pct"/>
            <w:shd w:val="clear" w:color="auto" w:fill="auto"/>
          </w:tcPr>
          <w:p w14:paraId="319DBCEB" w14:textId="6DDA34E3" w:rsidR="009C7027" w:rsidRDefault="009C7027" w:rsidP="009C7027">
            <w:pPr>
              <w:rPr>
                <w:rFonts w:cs="Arial"/>
                <w:szCs w:val="20"/>
              </w:rPr>
            </w:pPr>
            <w:r>
              <w:rPr>
                <w:rFonts w:cs="Arial"/>
                <w:szCs w:val="20"/>
              </w:rPr>
              <w:t>Updated Draft</w:t>
            </w:r>
          </w:p>
        </w:tc>
      </w:tr>
      <w:tr w:rsidR="009C7027" w:rsidRPr="00EF0C18" w14:paraId="481DB943" w14:textId="77777777" w:rsidTr="009C7027">
        <w:tc>
          <w:tcPr>
            <w:tcW w:w="968" w:type="pct"/>
            <w:shd w:val="clear" w:color="auto" w:fill="auto"/>
          </w:tcPr>
          <w:p w14:paraId="4B84A8FA" w14:textId="44C39E4E" w:rsidR="009C7027" w:rsidRDefault="009C7027" w:rsidP="00BF1C5D">
            <w:pPr>
              <w:rPr>
                <w:rFonts w:cs="Arial"/>
                <w:szCs w:val="20"/>
              </w:rPr>
            </w:pPr>
            <w:r>
              <w:rPr>
                <w:rFonts w:cs="Arial"/>
                <w:szCs w:val="20"/>
              </w:rPr>
              <w:t>1/10/</w:t>
            </w:r>
            <w:r w:rsidR="00683ECE">
              <w:rPr>
                <w:rFonts w:cs="Arial"/>
                <w:szCs w:val="20"/>
              </w:rPr>
              <w:t>20</w:t>
            </w:r>
            <w:r>
              <w:rPr>
                <w:rFonts w:cs="Arial"/>
                <w:szCs w:val="20"/>
              </w:rPr>
              <w:t>12</w:t>
            </w:r>
          </w:p>
        </w:tc>
        <w:tc>
          <w:tcPr>
            <w:tcW w:w="674" w:type="pct"/>
            <w:shd w:val="clear" w:color="auto" w:fill="auto"/>
          </w:tcPr>
          <w:p w14:paraId="3B536267" w14:textId="77777777" w:rsidR="009C7027" w:rsidRDefault="009C7027" w:rsidP="00BF1C5D">
            <w:pPr>
              <w:rPr>
                <w:rFonts w:cs="Arial"/>
                <w:szCs w:val="20"/>
              </w:rPr>
            </w:pPr>
            <w:r>
              <w:rPr>
                <w:rFonts w:cs="Arial"/>
                <w:szCs w:val="20"/>
              </w:rPr>
              <w:t>1.2</w:t>
            </w:r>
          </w:p>
        </w:tc>
        <w:tc>
          <w:tcPr>
            <w:tcW w:w="1010" w:type="pct"/>
            <w:shd w:val="clear" w:color="auto" w:fill="auto"/>
          </w:tcPr>
          <w:p w14:paraId="08F2CC42" w14:textId="77777777" w:rsidR="009C7027" w:rsidRPr="008B3383" w:rsidRDefault="009C7027" w:rsidP="00BF1C5D">
            <w:pPr>
              <w:rPr>
                <w:rFonts w:cs="Arial"/>
                <w:szCs w:val="20"/>
              </w:rPr>
            </w:pPr>
            <w:r w:rsidRPr="00356F83">
              <w:rPr>
                <w:rFonts w:cs="Arial"/>
                <w:szCs w:val="20"/>
              </w:rPr>
              <w:t>Janko Bazhdavela</w:t>
            </w:r>
          </w:p>
        </w:tc>
        <w:tc>
          <w:tcPr>
            <w:tcW w:w="2348" w:type="pct"/>
            <w:shd w:val="clear" w:color="auto" w:fill="auto"/>
          </w:tcPr>
          <w:p w14:paraId="6592B459" w14:textId="1582FAD2" w:rsidR="009C7027" w:rsidRDefault="009C7027" w:rsidP="009C7027">
            <w:pPr>
              <w:rPr>
                <w:rFonts w:cs="Arial"/>
                <w:szCs w:val="20"/>
              </w:rPr>
            </w:pPr>
            <w:r>
              <w:rPr>
                <w:rFonts w:cs="Arial"/>
                <w:szCs w:val="20"/>
              </w:rPr>
              <w:t>Updated Draft</w:t>
            </w:r>
          </w:p>
        </w:tc>
      </w:tr>
      <w:tr w:rsidR="009C7027" w:rsidRPr="00EF0C18" w14:paraId="3934B060" w14:textId="77777777" w:rsidTr="009C7027">
        <w:tc>
          <w:tcPr>
            <w:tcW w:w="968" w:type="pct"/>
            <w:shd w:val="clear" w:color="auto" w:fill="auto"/>
          </w:tcPr>
          <w:p w14:paraId="37590DA4" w14:textId="0CE192A6" w:rsidR="009C7027" w:rsidRDefault="009C7027" w:rsidP="009C7027">
            <w:pPr>
              <w:rPr>
                <w:rFonts w:cs="Arial"/>
                <w:szCs w:val="20"/>
              </w:rPr>
            </w:pPr>
            <w:r>
              <w:rPr>
                <w:rFonts w:cs="Arial"/>
                <w:szCs w:val="20"/>
              </w:rPr>
              <w:t>5/4/</w:t>
            </w:r>
            <w:r w:rsidR="00683ECE">
              <w:rPr>
                <w:rFonts w:cs="Arial"/>
                <w:szCs w:val="20"/>
              </w:rPr>
              <w:t>20</w:t>
            </w:r>
            <w:r>
              <w:rPr>
                <w:rFonts w:cs="Arial"/>
                <w:szCs w:val="20"/>
              </w:rPr>
              <w:t>12</w:t>
            </w:r>
          </w:p>
        </w:tc>
        <w:tc>
          <w:tcPr>
            <w:tcW w:w="674" w:type="pct"/>
            <w:shd w:val="clear" w:color="auto" w:fill="auto"/>
          </w:tcPr>
          <w:p w14:paraId="6E6D1F4C" w14:textId="77777777" w:rsidR="009C7027" w:rsidRDefault="009C7027" w:rsidP="00BF1C5D">
            <w:pPr>
              <w:rPr>
                <w:rFonts w:cs="Arial"/>
                <w:szCs w:val="20"/>
              </w:rPr>
            </w:pPr>
            <w:r>
              <w:rPr>
                <w:rFonts w:cs="Arial"/>
                <w:szCs w:val="20"/>
              </w:rPr>
              <w:t>1.3</w:t>
            </w:r>
          </w:p>
        </w:tc>
        <w:tc>
          <w:tcPr>
            <w:tcW w:w="1010" w:type="pct"/>
            <w:shd w:val="clear" w:color="auto" w:fill="auto"/>
          </w:tcPr>
          <w:p w14:paraId="6B5694D4" w14:textId="7BD20119" w:rsidR="009C7027" w:rsidRPr="00356F83" w:rsidRDefault="009C7027" w:rsidP="009C7027">
            <w:pPr>
              <w:rPr>
                <w:rFonts w:cs="Arial"/>
                <w:szCs w:val="20"/>
              </w:rPr>
            </w:pPr>
            <w:r>
              <w:rPr>
                <w:rFonts w:cs="Arial"/>
                <w:szCs w:val="20"/>
              </w:rPr>
              <w:t>Stephen Cole, Janko Bazhdavela</w:t>
            </w:r>
          </w:p>
        </w:tc>
        <w:tc>
          <w:tcPr>
            <w:tcW w:w="2348" w:type="pct"/>
            <w:shd w:val="clear" w:color="auto" w:fill="auto"/>
          </w:tcPr>
          <w:p w14:paraId="73986A58" w14:textId="77777777" w:rsidR="009C7027" w:rsidRDefault="009C7027" w:rsidP="00BF1C5D">
            <w:pPr>
              <w:rPr>
                <w:rFonts w:cs="Arial"/>
                <w:szCs w:val="20"/>
              </w:rPr>
            </w:pPr>
            <w:r>
              <w:rPr>
                <w:rFonts w:cs="Arial"/>
                <w:szCs w:val="20"/>
              </w:rPr>
              <w:t xml:space="preserve">Major edits in the Federation process. Added details for Application On-boarding, Application Authorization. Minor edits in Roles and Permissions overview and Default Roles and Permissions. </w:t>
            </w:r>
          </w:p>
        </w:tc>
      </w:tr>
      <w:tr w:rsidR="000D39A9" w:rsidRPr="00EF0C18" w14:paraId="4C9BDD58" w14:textId="77777777" w:rsidTr="009C7027">
        <w:tc>
          <w:tcPr>
            <w:tcW w:w="968" w:type="pct"/>
            <w:shd w:val="clear" w:color="auto" w:fill="auto"/>
          </w:tcPr>
          <w:p w14:paraId="7402EAA1" w14:textId="3A2DDF70" w:rsidR="000D39A9" w:rsidRDefault="000D39A9" w:rsidP="009C7027">
            <w:pPr>
              <w:rPr>
                <w:rFonts w:cs="Arial"/>
                <w:szCs w:val="20"/>
              </w:rPr>
            </w:pPr>
            <w:r>
              <w:rPr>
                <w:rFonts w:cs="Arial"/>
                <w:szCs w:val="20"/>
              </w:rPr>
              <w:t>5/9/</w:t>
            </w:r>
            <w:r w:rsidR="00683ECE">
              <w:rPr>
                <w:rFonts w:cs="Arial"/>
                <w:szCs w:val="20"/>
              </w:rPr>
              <w:t>20</w:t>
            </w:r>
            <w:r>
              <w:rPr>
                <w:rFonts w:cs="Arial"/>
                <w:szCs w:val="20"/>
              </w:rPr>
              <w:t>12</w:t>
            </w:r>
          </w:p>
        </w:tc>
        <w:tc>
          <w:tcPr>
            <w:tcW w:w="674" w:type="pct"/>
            <w:shd w:val="clear" w:color="auto" w:fill="auto"/>
          </w:tcPr>
          <w:p w14:paraId="2EF017C1" w14:textId="1BC15B9E" w:rsidR="000D39A9" w:rsidRDefault="000D39A9" w:rsidP="00BF1C5D">
            <w:pPr>
              <w:rPr>
                <w:rFonts w:cs="Arial"/>
                <w:szCs w:val="20"/>
              </w:rPr>
            </w:pPr>
            <w:r>
              <w:rPr>
                <w:rFonts w:cs="Arial"/>
                <w:szCs w:val="20"/>
              </w:rPr>
              <w:t>1.3a</w:t>
            </w:r>
          </w:p>
        </w:tc>
        <w:tc>
          <w:tcPr>
            <w:tcW w:w="1010" w:type="pct"/>
            <w:shd w:val="clear" w:color="auto" w:fill="auto"/>
          </w:tcPr>
          <w:p w14:paraId="4BCC04EE" w14:textId="309BFE13" w:rsidR="000D39A9" w:rsidRDefault="000D39A9" w:rsidP="009C7027">
            <w:pPr>
              <w:rPr>
                <w:rFonts w:cs="Arial"/>
                <w:szCs w:val="20"/>
              </w:rPr>
            </w:pPr>
            <w:r>
              <w:rPr>
                <w:rFonts w:cs="Arial"/>
                <w:szCs w:val="20"/>
              </w:rPr>
              <w:t>J. Ross</w:t>
            </w:r>
          </w:p>
        </w:tc>
        <w:tc>
          <w:tcPr>
            <w:tcW w:w="2348" w:type="pct"/>
            <w:shd w:val="clear" w:color="auto" w:fill="auto"/>
          </w:tcPr>
          <w:p w14:paraId="6CE5F2AE" w14:textId="631468F3" w:rsidR="000D39A9" w:rsidRDefault="000D39A9" w:rsidP="00BF1C5D">
            <w:pPr>
              <w:rPr>
                <w:rFonts w:cs="Arial"/>
                <w:szCs w:val="20"/>
              </w:rPr>
            </w:pPr>
            <w:r>
              <w:rPr>
                <w:rFonts w:cs="Arial"/>
                <w:szCs w:val="20"/>
              </w:rPr>
              <w:t>Edits based on multiple sources of feedback, prioritized by Matt and Josh</w:t>
            </w:r>
          </w:p>
        </w:tc>
      </w:tr>
      <w:tr w:rsidR="00683ECE" w:rsidRPr="00EF0C18" w14:paraId="17C0D1C5" w14:textId="77777777" w:rsidTr="009C7027">
        <w:tc>
          <w:tcPr>
            <w:tcW w:w="968" w:type="pct"/>
            <w:shd w:val="clear" w:color="auto" w:fill="auto"/>
          </w:tcPr>
          <w:p w14:paraId="5B3C2C43" w14:textId="2E7ADAEF" w:rsidR="00683ECE" w:rsidRDefault="00683ECE" w:rsidP="009C7027">
            <w:pPr>
              <w:rPr>
                <w:rFonts w:cs="Arial"/>
                <w:szCs w:val="20"/>
              </w:rPr>
            </w:pPr>
            <w:r>
              <w:rPr>
                <w:rFonts w:cs="Arial"/>
                <w:szCs w:val="20"/>
              </w:rPr>
              <w:t>6/4/2012</w:t>
            </w:r>
          </w:p>
          <w:p w14:paraId="61F833C0" w14:textId="77777777" w:rsidR="00683ECE" w:rsidRDefault="00683ECE" w:rsidP="009C7027">
            <w:pPr>
              <w:rPr>
                <w:rFonts w:cs="Arial"/>
                <w:szCs w:val="20"/>
              </w:rPr>
            </w:pPr>
          </w:p>
        </w:tc>
        <w:tc>
          <w:tcPr>
            <w:tcW w:w="674" w:type="pct"/>
            <w:shd w:val="clear" w:color="auto" w:fill="auto"/>
          </w:tcPr>
          <w:p w14:paraId="09E6374D" w14:textId="0431C1EE" w:rsidR="00683ECE" w:rsidRDefault="00683ECE" w:rsidP="00BF1C5D">
            <w:pPr>
              <w:rPr>
                <w:rFonts w:cs="Arial"/>
                <w:szCs w:val="20"/>
              </w:rPr>
            </w:pPr>
            <w:r>
              <w:rPr>
                <w:rFonts w:cs="Arial"/>
                <w:szCs w:val="20"/>
              </w:rPr>
              <w:t>1.3b</w:t>
            </w:r>
          </w:p>
        </w:tc>
        <w:tc>
          <w:tcPr>
            <w:tcW w:w="1010" w:type="pct"/>
            <w:shd w:val="clear" w:color="auto" w:fill="auto"/>
          </w:tcPr>
          <w:p w14:paraId="5FE443B0" w14:textId="03E97A91" w:rsidR="00683ECE" w:rsidRDefault="00683ECE" w:rsidP="009C7027">
            <w:pPr>
              <w:rPr>
                <w:rFonts w:cs="Arial"/>
                <w:szCs w:val="20"/>
              </w:rPr>
            </w:pPr>
            <w:r>
              <w:rPr>
                <w:rFonts w:cs="Arial"/>
                <w:szCs w:val="20"/>
              </w:rPr>
              <w:t>S. Watson</w:t>
            </w:r>
          </w:p>
        </w:tc>
        <w:tc>
          <w:tcPr>
            <w:tcW w:w="2348" w:type="pct"/>
            <w:shd w:val="clear" w:color="auto" w:fill="auto"/>
          </w:tcPr>
          <w:p w14:paraId="5305920D" w14:textId="25818244" w:rsidR="00683ECE" w:rsidRDefault="00683ECE" w:rsidP="00BF1C5D">
            <w:pPr>
              <w:rPr>
                <w:rFonts w:cs="Arial"/>
                <w:szCs w:val="20"/>
              </w:rPr>
            </w:pPr>
            <w:r>
              <w:rPr>
                <w:rFonts w:cs="Arial"/>
                <w:szCs w:val="20"/>
              </w:rPr>
              <w:t>Minor revisions based on reviewer feedback. Sections affected: 3.9.</w:t>
            </w:r>
            <w:bookmarkStart w:id="1" w:name="_GoBack"/>
            <w:bookmarkEnd w:id="1"/>
          </w:p>
        </w:tc>
      </w:tr>
    </w:tbl>
    <w:p w14:paraId="608FDA85" w14:textId="77777777" w:rsidR="00D51E0D" w:rsidRDefault="00D51E0D">
      <w:pPr>
        <w:spacing w:before="0"/>
        <w:rPr>
          <w:rFonts w:eastAsiaTheme="majorEastAsia" w:cstheme="majorBidi"/>
          <w:b/>
          <w:bCs/>
          <w:color w:val="004C6C"/>
          <w:sz w:val="36"/>
          <w:szCs w:val="32"/>
        </w:rPr>
      </w:pPr>
      <w:r>
        <w:br w:type="page"/>
      </w:r>
    </w:p>
    <w:p w14:paraId="4FB096EF" w14:textId="77777777" w:rsidR="00D51E0D" w:rsidRDefault="00D51E0D" w:rsidP="00D51E0D">
      <w:pPr>
        <w:pageBreakBefore/>
      </w:pPr>
      <w:r>
        <w:rPr>
          <w:b/>
          <w:bCs/>
          <w:sz w:val="32"/>
          <w:szCs w:val="32"/>
        </w:rPr>
        <w:lastRenderedPageBreak/>
        <w:t>Table of Contents</w:t>
      </w:r>
    </w:p>
    <w:p w14:paraId="449B3CF8" w14:textId="77777777" w:rsidR="00D51E0D" w:rsidRDefault="00D51E0D">
      <w:pPr>
        <w:spacing w:before="0"/>
      </w:pPr>
    </w:p>
    <w:p w14:paraId="158EEA23" w14:textId="77777777" w:rsidR="00B919F8" w:rsidRDefault="00D51E0D">
      <w:pPr>
        <w:pStyle w:val="TOC1"/>
        <w:tabs>
          <w:tab w:val="right" w:leader="dot" w:pos="8630"/>
        </w:tabs>
        <w:rPr>
          <w:rFonts w:asciiTheme="minorHAnsi" w:hAnsiTheme="minorHAnsi"/>
          <w:noProof/>
          <w:szCs w:val="22"/>
        </w:rPr>
      </w:pPr>
      <w:r w:rsidRPr="00477406">
        <w:rPr>
          <w:sz w:val="24"/>
        </w:rPr>
        <w:fldChar w:fldCharType="begin"/>
      </w:r>
      <w:r w:rsidRPr="00477406">
        <w:rPr>
          <w:sz w:val="24"/>
        </w:rPr>
        <w:instrText xml:space="preserve"> TOC \o "1-3" </w:instrText>
      </w:r>
      <w:r w:rsidRPr="00477406">
        <w:rPr>
          <w:sz w:val="24"/>
        </w:rPr>
        <w:fldChar w:fldCharType="separate"/>
      </w:r>
      <w:r w:rsidR="00B919F8">
        <w:rPr>
          <w:noProof/>
        </w:rPr>
        <w:t>1 Purpose and Scope</w:t>
      </w:r>
      <w:r w:rsidR="00B919F8">
        <w:rPr>
          <w:noProof/>
        </w:rPr>
        <w:tab/>
      </w:r>
      <w:r w:rsidR="00B919F8">
        <w:rPr>
          <w:noProof/>
        </w:rPr>
        <w:fldChar w:fldCharType="begin"/>
      </w:r>
      <w:r w:rsidR="00B919F8">
        <w:rPr>
          <w:noProof/>
        </w:rPr>
        <w:instrText xml:space="preserve"> PAGEREF _Toc324348155 \h </w:instrText>
      </w:r>
      <w:r w:rsidR="00B919F8">
        <w:rPr>
          <w:noProof/>
        </w:rPr>
      </w:r>
      <w:r w:rsidR="00B919F8">
        <w:rPr>
          <w:noProof/>
        </w:rPr>
        <w:fldChar w:fldCharType="separate"/>
      </w:r>
      <w:r w:rsidR="00B919F8">
        <w:rPr>
          <w:noProof/>
        </w:rPr>
        <w:t>4</w:t>
      </w:r>
      <w:r w:rsidR="00B919F8">
        <w:rPr>
          <w:noProof/>
        </w:rPr>
        <w:fldChar w:fldCharType="end"/>
      </w:r>
    </w:p>
    <w:p w14:paraId="26B8FAB6" w14:textId="77777777" w:rsidR="00B919F8" w:rsidRDefault="00B919F8">
      <w:pPr>
        <w:pStyle w:val="TOC1"/>
        <w:tabs>
          <w:tab w:val="right" w:leader="dot" w:pos="8630"/>
        </w:tabs>
        <w:rPr>
          <w:rFonts w:asciiTheme="minorHAnsi" w:hAnsiTheme="minorHAnsi"/>
          <w:noProof/>
          <w:szCs w:val="22"/>
        </w:rPr>
      </w:pPr>
      <w:r>
        <w:rPr>
          <w:noProof/>
        </w:rPr>
        <w:t>2 Definitions</w:t>
      </w:r>
      <w:r>
        <w:rPr>
          <w:noProof/>
        </w:rPr>
        <w:tab/>
      </w:r>
      <w:r>
        <w:rPr>
          <w:noProof/>
        </w:rPr>
        <w:fldChar w:fldCharType="begin"/>
      </w:r>
      <w:r>
        <w:rPr>
          <w:noProof/>
        </w:rPr>
        <w:instrText xml:space="preserve"> PAGEREF _Toc324348156 \h </w:instrText>
      </w:r>
      <w:r>
        <w:rPr>
          <w:noProof/>
        </w:rPr>
      </w:r>
      <w:r>
        <w:rPr>
          <w:noProof/>
        </w:rPr>
        <w:fldChar w:fldCharType="separate"/>
      </w:r>
      <w:r>
        <w:rPr>
          <w:noProof/>
        </w:rPr>
        <w:t>4</w:t>
      </w:r>
      <w:r>
        <w:rPr>
          <w:noProof/>
        </w:rPr>
        <w:fldChar w:fldCharType="end"/>
      </w:r>
    </w:p>
    <w:p w14:paraId="2176E239" w14:textId="77777777" w:rsidR="00B919F8" w:rsidRDefault="00B919F8">
      <w:pPr>
        <w:pStyle w:val="TOC1"/>
        <w:tabs>
          <w:tab w:val="right" w:leader="dot" w:pos="8630"/>
        </w:tabs>
        <w:rPr>
          <w:rFonts w:asciiTheme="minorHAnsi" w:hAnsiTheme="minorHAnsi"/>
          <w:noProof/>
          <w:szCs w:val="22"/>
        </w:rPr>
      </w:pPr>
      <w:r>
        <w:rPr>
          <w:noProof/>
        </w:rPr>
        <w:t>3 Directory and Identity Integration</w:t>
      </w:r>
      <w:r>
        <w:rPr>
          <w:noProof/>
        </w:rPr>
        <w:tab/>
      </w:r>
      <w:r>
        <w:rPr>
          <w:noProof/>
        </w:rPr>
        <w:fldChar w:fldCharType="begin"/>
      </w:r>
      <w:r>
        <w:rPr>
          <w:noProof/>
        </w:rPr>
        <w:instrText xml:space="preserve"> PAGEREF _Toc324348157 \h </w:instrText>
      </w:r>
      <w:r>
        <w:rPr>
          <w:noProof/>
        </w:rPr>
      </w:r>
      <w:r>
        <w:rPr>
          <w:noProof/>
        </w:rPr>
        <w:fldChar w:fldCharType="separate"/>
      </w:r>
      <w:r>
        <w:rPr>
          <w:noProof/>
        </w:rPr>
        <w:t>5</w:t>
      </w:r>
      <w:r>
        <w:rPr>
          <w:noProof/>
        </w:rPr>
        <w:fldChar w:fldCharType="end"/>
      </w:r>
    </w:p>
    <w:p w14:paraId="68D170D5" w14:textId="77777777" w:rsidR="00B919F8" w:rsidRDefault="00B919F8">
      <w:pPr>
        <w:pStyle w:val="TOC2"/>
        <w:tabs>
          <w:tab w:val="right" w:leader="dot" w:pos="8630"/>
        </w:tabs>
        <w:rPr>
          <w:rFonts w:asciiTheme="minorHAnsi" w:hAnsiTheme="minorHAnsi"/>
          <w:noProof/>
          <w:szCs w:val="22"/>
        </w:rPr>
      </w:pPr>
      <w:r>
        <w:rPr>
          <w:noProof/>
        </w:rPr>
        <w:t>3.1 Overview</w:t>
      </w:r>
      <w:r>
        <w:rPr>
          <w:noProof/>
        </w:rPr>
        <w:tab/>
      </w:r>
      <w:r>
        <w:rPr>
          <w:noProof/>
        </w:rPr>
        <w:fldChar w:fldCharType="begin"/>
      </w:r>
      <w:r>
        <w:rPr>
          <w:noProof/>
        </w:rPr>
        <w:instrText xml:space="preserve"> PAGEREF _Toc324348158 \h </w:instrText>
      </w:r>
      <w:r>
        <w:rPr>
          <w:noProof/>
        </w:rPr>
      </w:r>
      <w:r>
        <w:rPr>
          <w:noProof/>
        </w:rPr>
        <w:fldChar w:fldCharType="separate"/>
      </w:r>
      <w:r>
        <w:rPr>
          <w:noProof/>
        </w:rPr>
        <w:t>5</w:t>
      </w:r>
      <w:r>
        <w:rPr>
          <w:noProof/>
        </w:rPr>
        <w:fldChar w:fldCharType="end"/>
      </w:r>
    </w:p>
    <w:p w14:paraId="45E28A33" w14:textId="77777777" w:rsidR="00B919F8" w:rsidRDefault="00B919F8">
      <w:pPr>
        <w:pStyle w:val="TOC3"/>
        <w:tabs>
          <w:tab w:val="right" w:leader="dot" w:pos="8630"/>
        </w:tabs>
        <w:rPr>
          <w:rFonts w:asciiTheme="minorHAnsi" w:hAnsiTheme="minorHAnsi"/>
          <w:noProof/>
          <w:szCs w:val="22"/>
        </w:rPr>
      </w:pPr>
      <w:r w:rsidRPr="000B4A27">
        <w:rPr>
          <w:noProof/>
          <w14:scene3d>
            <w14:camera w14:prst="orthographicFront"/>
            <w14:lightRig w14:rig="threePt" w14:dir="t">
              <w14:rot w14:lat="0" w14:lon="0" w14:rev="0"/>
            </w14:lightRig>
          </w14:scene3d>
        </w:rPr>
        <w:t>3.1.1</w:t>
      </w:r>
      <w:r>
        <w:rPr>
          <w:noProof/>
        </w:rPr>
        <w:t xml:space="preserve"> Guiding Security Principles</w:t>
      </w:r>
      <w:r>
        <w:rPr>
          <w:noProof/>
        </w:rPr>
        <w:tab/>
      </w:r>
      <w:r>
        <w:rPr>
          <w:noProof/>
        </w:rPr>
        <w:fldChar w:fldCharType="begin"/>
      </w:r>
      <w:r>
        <w:rPr>
          <w:noProof/>
        </w:rPr>
        <w:instrText xml:space="preserve"> PAGEREF _Toc324348159 \h </w:instrText>
      </w:r>
      <w:r>
        <w:rPr>
          <w:noProof/>
        </w:rPr>
      </w:r>
      <w:r>
        <w:rPr>
          <w:noProof/>
        </w:rPr>
        <w:fldChar w:fldCharType="separate"/>
      </w:r>
      <w:r>
        <w:rPr>
          <w:noProof/>
        </w:rPr>
        <w:t>6</w:t>
      </w:r>
      <w:r>
        <w:rPr>
          <w:noProof/>
        </w:rPr>
        <w:fldChar w:fldCharType="end"/>
      </w:r>
    </w:p>
    <w:p w14:paraId="1EDC92CF" w14:textId="77777777" w:rsidR="00B919F8" w:rsidRDefault="00B919F8">
      <w:pPr>
        <w:pStyle w:val="TOC2"/>
        <w:tabs>
          <w:tab w:val="right" w:leader="dot" w:pos="8630"/>
        </w:tabs>
        <w:rPr>
          <w:rFonts w:asciiTheme="minorHAnsi" w:hAnsiTheme="minorHAnsi"/>
          <w:noProof/>
          <w:szCs w:val="22"/>
        </w:rPr>
      </w:pPr>
      <w:r>
        <w:rPr>
          <w:noProof/>
        </w:rPr>
        <w:t>3.2 Federated Directory Integration Strategy</w:t>
      </w:r>
      <w:r>
        <w:rPr>
          <w:noProof/>
        </w:rPr>
        <w:tab/>
      </w:r>
      <w:r>
        <w:rPr>
          <w:noProof/>
        </w:rPr>
        <w:fldChar w:fldCharType="begin"/>
      </w:r>
      <w:r>
        <w:rPr>
          <w:noProof/>
        </w:rPr>
        <w:instrText xml:space="preserve"> PAGEREF _Toc324348160 \h </w:instrText>
      </w:r>
      <w:r>
        <w:rPr>
          <w:noProof/>
        </w:rPr>
      </w:r>
      <w:r>
        <w:rPr>
          <w:noProof/>
        </w:rPr>
        <w:fldChar w:fldCharType="separate"/>
      </w:r>
      <w:r>
        <w:rPr>
          <w:noProof/>
        </w:rPr>
        <w:t>7</w:t>
      </w:r>
      <w:r>
        <w:rPr>
          <w:noProof/>
        </w:rPr>
        <w:fldChar w:fldCharType="end"/>
      </w:r>
    </w:p>
    <w:p w14:paraId="0EF8BF3B" w14:textId="77777777" w:rsidR="00B919F8" w:rsidRDefault="00B919F8">
      <w:pPr>
        <w:pStyle w:val="TOC2"/>
        <w:tabs>
          <w:tab w:val="right" w:leader="dot" w:pos="8630"/>
        </w:tabs>
        <w:rPr>
          <w:rFonts w:asciiTheme="minorHAnsi" w:hAnsiTheme="minorHAnsi"/>
          <w:noProof/>
          <w:szCs w:val="22"/>
        </w:rPr>
      </w:pPr>
      <w:r>
        <w:rPr>
          <w:noProof/>
        </w:rPr>
        <w:t>3.3 Federated Authentication Design</w:t>
      </w:r>
      <w:r>
        <w:rPr>
          <w:noProof/>
        </w:rPr>
        <w:tab/>
      </w:r>
      <w:r>
        <w:rPr>
          <w:noProof/>
        </w:rPr>
        <w:fldChar w:fldCharType="begin"/>
      </w:r>
      <w:r>
        <w:rPr>
          <w:noProof/>
        </w:rPr>
        <w:instrText xml:space="preserve"> PAGEREF _Toc324348161 \h </w:instrText>
      </w:r>
      <w:r>
        <w:rPr>
          <w:noProof/>
        </w:rPr>
      </w:r>
      <w:r>
        <w:rPr>
          <w:noProof/>
        </w:rPr>
        <w:fldChar w:fldCharType="separate"/>
      </w:r>
      <w:r>
        <w:rPr>
          <w:noProof/>
        </w:rPr>
        <w:t>8</w:t>
      </w:r>
      <w:r>
        <w:rPr>
          <w:noProof/>
        </w:rPr>
        <w:fldChar w:fldCharType="end"/>
      </w:r>
    </w:p>
    <w:p w14:paraId="77CCFE77" w14:textId="77777777" w:rsidR="00B919F8" w:rsidRDefault="00B919F8">
      <w:pPr>
        <w:pStyle w:val="TOC2"/>
        <w:tabs>
          <w:tab w:val="right" w:leader="dot" w:pos="8630"/>
        </w:tabs>
        <w:rPr>
          <w:rFonts w:asciiTheme="minorHAnsi" w:hAnsiTheme="minorHAnsi"/>
          <w:noProof/>
          <w:szCs w:val="22"/>
        </w:rPr>
      </w:pPr>
      <w:r>
        <w:rPr>
          <w:noProof/>
        </w:rPr>
        <w:t>3.4 Overall Directory Integration Implementation Process</w:t>
      </w:r>
      <w:r>
        <w:rPr>
          <w:noProof/>
        </w:rPr>
        <w:tab/>
      </w:r>
      <w:r>
        <w:rPr>
          <w:noProof/>
        </w:rPr>
        <w:fldChar w:fldCharType="begin"/>
      </w:r>
      <w:r>
        <w:rPr>
          <w:noProof/>
        </w:rPr>
        <w:instrText xml:space="preserve"> PAGEREF _Toc324348162 \h </w:instrText>
      </w:r>
      <w:r>
        <w:rPr>
          <w:noProof/>
        </w:rPr>
      </w:r>
      <w:r>
        <w:rPr>
          <w:noProof/>
        </w:rPr>
        <w:fldChar w:fldCharType="separate"/>
      </w:r>
      <w:r>
        <w:rPr>
          <w:noProof/>
        </w:rPr>
        <w:t>9</w:t>
      </w:r>
      <w:r>
        <w:rPr>
          <w:noProof/>
        </w:rPr>
        <w:fldChar w:fldCharType="end"/>
      </w:r>
    </w:p>
    <w:p w14:paraId="0E4B18BD" w14:textId="77777777" w:rsidR="00B919F8" w:rsidRDefault="00B919F8">
      <w:pPr>
        <w:pStyle w:val="TOC2"/>
        <w:tabs>
          <w:tab w:val="right" w:leader="dot" w:pos="8630"/>
        </w:tabs>
        <w:rPr>
          <w:rFonts w:asciiTheme="minorHAnsi" w:hAnsiTheme="minorHAnsi"/>
          <w:noProof/>
          <w:szCs w:val="22"/>
        </w:rPr>
      </w:pPr>
      <w:r>
        <w:rPr>
          <w:noProof/>
        </w:rPr>
        <w:t>3.5 SEA/LEA Directory information requirements</w:t>
      </w:r>
      <w:r>
        <w:rPr>
          <w:noProof/>
        </w:rPr>
        <w:tab/>
      </w:r>
      <w:r>
        <w:rPr>
          <w:noProof/>
        </w:rPr>
        <w:fldChar w:fldCharType="begin"/>
      </w:r>
      <w:r>
        <w:rPr>
          <w:noProof/>
        </w:rPr>
        <w:instrText xml:space="preserve"> PAGEREF _Toc324348163 \h </w:instrText>
      </w:r>
      <w:r>
        <w:rPr>
          <w:noProof/>
        </w:rPr>
      </w:r>
      <w:r>
        <w:rPr>
          <w:noProof/>
        </w:rPr>
        <w:fldChar w:fldCharType="separate"/>
      </w:r>
      <w:r>
        <w:rPr>
          <w:noProof/>
        </w:rPr>
        <w:t>9</w:t>
      </w:r>
      <w:r>
        <w:rPr>
          <w:noProof/>
        </w:rPr>
        <w:fldChar w:fldCharType="end"/>
      </w:r>
    </w:p>
    <w:p w14:paraId="7200C7B9" w14:textId="77777777" w:rsidR="00B919F8" w:rsidRDefault="00B919F8">
      <w:pPr>
        <w:pStyle w:val="TOC2"/>
        <w:tabs>
          <w:tab w:val="right" w:leader="dot" w:pos="8630"/>
        </w:tabs>
        <w:rPr>
          <w:rFonts w:asciiTheme="minorHAnsi" w:hAnsiTheme="minorHAnsi"/>
          <w:noProof/>
          <w:szCs w:val="22"/>
        </w:rPr>
      </w:pPr>
      <w:r>
        <w:rPr>
          <w:noProof/>
        </w:rPr>
        <w:t>3.6 Federated Application Authentication Flow</w:t>
      </w:r>
      <w:r>
        <w:rPr>
          <w:noProof/>
        </w:rPr>
        <w:tab/>
      </w:r>
      <w:r>
        <w:rPr>
          <w:noProof/>
        </w:rPr>
        <w:fldChar w:fldCharType="begin"/>
      </w:r>
      <w:r>
        <w:rPr>
          <w:noProof/>
        </w:rPr>
        <w:instrText xml:space="preserve"> PAGEREF _Toc324348164 \h </w:instrText>
      </w:r>
      <w:r>
        <w:rPr>
          <w:noProof/>
        </w:rPr>
      </w:r>
      <w:r>
        <w:rPr>
          <w:noProof/>
        </w:rPr>
        <w:fldChar w:fldCharType="separate"/>
      </w:r>
      <w:r>
        <w:rPr>
          <w:noProof/>
        </w:rPr>
        <w:t>10</w:t>
      </w:r>
      <w:r>
        <w:rPr>
          <w:noProof/>
        </w:rPr>
        <w:fldChar w:fldCharType="end"/>
      </w:r>
    </w:p>
    <w:p w14:paraId="22FB05D6" w14:textId="77777777" w:rsidR="00B919F8" w:rsidRDefault="00B919F8">
      <w:pPr>
        <w:pStyle w:val="TOC2"/>
        <w:tabs>
          <w:tab w:val="right" w:leader="dot" w:pos="8630"/>
        </w:tabs>
        <w:rPr>
          <w:rFonts w:asciiTheme="minorHAnsi" w:hAnsiTheme="minorHAnsi"/>
          <w:noProof/>
          <w:szCs w:val="22"/>
        </w:rPr>
      </w:pPr>
      <w:r>
        <w:rPr>
          <w:noProof/>
        </w:rPr>
        <w:t>3.7 Authenticating Non Web-based Applications</w:t>
      </w:r>
      <w:r>
        <w:rPr>
          <w:noProof/>
        </w:rPr>
        <w:tab/>
      </w:r>
      <w:r>
        <w:rPr>
          <w:noProof/>
        </w:rPr>
        <w:fldChar w:fldCharType="begin"/>
      </w:r>
      <w:r>
        <w:rPr>
          <w:noProof/>
        </w:rPr>
        <w:instrText xml:space="preserve"> PAGEREF _Toc324348165 \h </w:instrText>
      </w:r>
      <w:r>
        <w:rPr>
          <w:noProof/>
        </w:rPr>
      </w:r>
      <w:r>
        <w:rPr>
          <w:noProof/>
        </w:rPr>
        <w:fldChar w:fldCharType="separate"/>
      </w:r>
      <w:r>
        <w:rPr>
          <w:noProof/>
        </w:rPr>
        <w:t>13</w:t>
      </w:r>
      <w:r>
        <w:rPr>
          <w:noProof/>
        </w:rPr>
        <w:fldChar w:fldCharType="end"/>
      </w:r>
    </w:p>
    <w:p w14:paraId="131B9F83" w14:textId="77777777" w:rsidR="00B919F8" w:rsidRDefault="00B919F8">
      <w:pPr>
        <w:pStyle w:val="TOC2"/>
        <w:tabs>
          <w:tab w:val="right" w:leader="dot" w:pos="8630"/>
        </w:tabs>
        <w:rPr>
          <w:rFonts w:asciiTheme="minorHAnsi" w:hAnsiTheme="minorHAnsi"/>
          <w:noProof/>
          <w:szCs w:val="22"/>
        </w:rPr>
      </w:pPr>
      <w:r>
        <w:rPr>
          <w:noProof/>
        </w:rPr>
        <w:t>3.8 Application Onboarding</w:t>
      </w:r>
      <w:r>
        <w:rPr>
          <w:noProof/>
        </w:rPr>
        <w:tab/>
      </w:r>
      <w:r>
        <w:rPr>
          <w:noProof/>
        </w:rPr>
        <w:fldChar w:fldCharType="begin"/>
      </w:r>
      <w:r>
        <w:rPr>
          <w:noProof/>
        </w:rPr>
        <w:instrText xml:space="preserve"> PAGEREF _Toc324348166 \h </w:instrText>
      </w:r>
      <w:r>
        <w:rPr>
          <w:noProof/>
        </w:rPr>
      </w:r>
      <w:r>
        <w:rPr>
          <w:noProof/>
        </w:rPr>
        <w:fldChar w:fldCharType="separate"/>
      </w:r>
      <w:r>
        <w:rPr>
          <w:noProof/>
        </w:rPr>
        <w:t>13</w:t>
      </w:r>
      <w:r>
        <w:rPr>
          <w:noProof/>
        </w:rPr>
        <w:fldChar w:fldCharType="end"/>
      </w:r>
    </w:p>
    <w:p w14:paraId="25C323FB" w14:textId="77777777" w:rsidR="00B919F8" w:rsidRDefault="00B919F8">
      <w:pPr>
        <w:pStyle w:val="TOC2"/>
        <w:tabs>
          <w:tab w:val="right" w:leader="dot" w:pos="8630"/>
        </w:tabs>
        <w:rPr>
          <w:rFonts w:asciiTheme="minorHAnsi" w:hAnsiTheme="minorHAnsi"/>
          <w:noProof/>
          <w:szCs w:val="22"/>
        </w:rPr>
      </w:pPr>
      <w:r>
        <w:rPr>
          <w:noProof/>
        </w:rPr>
        <w:t>3.9 Application Registration</w:t>
      </w:r>
      <w:r>
        <w:rPr>
          <w:noProof/>
        </w:rPr>
        <w:tab/>
      </w:r>
      <w:r>
        <w:rPr>
          <w:noProof/>
        </w:rPr>
        <w:fldChar w:fldCharType="begin"/>
      </w:r>
      <w:r>
        <w:rPr>
          <w:noProof/>
        </w:rPr>
        <w:instrText xml:space="preserve"> PAGEREF _Toc324348167 \h </w:instrText>
      </w:r>
      <w:r>
        <w:rPr>
          <w:noProof/>
        </w:rPr>
      </w:r>
      <w:r>
        <w:rPr>
          <w:noProof/>
        </w:rPr>
        <w:fldChar w:fldCharType="separate"/>
      </w:r>
      <w:r>
        <w:rPr>
          <w:noProof/>
        </w:rPr>
        <w:t>14</w:t>
      </w:r>
      <w:r>
        <w:rPr>
          <w:noProof/>
        </w:rPr>
        <w:fldChar w:fldCharType="end"/>
      </w:r>
    </w:p>
    <w:p w14:paraId="4A482149" w14:textId="77777777" w:rsidR="00B919F8" w:rsidRDefault="00B919F8">
      <w:pPr>
        <w:pStyle w:val="TOC2"/>
        <w:tabs>
          <w:tab w:val="right" w:leader="dot" w:pos="8630"/>
        </w:tabs>
        <w:rPr>
          <w:rFonts w:asciiTheme="minorHAnsi" w:hAnsiTheme="minorHAnsi"/>
          <w:noProof/>
          <w:szCs w:val="22"/>
        </w:rPr>
      </w:pPr>
      <w:r>
        <w:rPr>
          <w:noProof/>
        </w:rPr>
        <w:t>3.10 Application Enablement</w:t>
      </w:r>
      <w:r>
        <w:rPr>
          <w:noProof/>
        </w:rPr>
        <w:tab/>
      </w:r>
      <w:r>
        <w:rPr>
          <w:noProof/>
        </w:rPr>
        <w:fldChar w:fldCharType="begin"/>
      </w:r>
      <w:r>
        <w:rPr>
          <w:noProof/>
        </w:rPr>
        <w:instrText xml:space="preserve"> PAGEREF _Toc324348168 \h </w:instrText>
      </w:r>
      <w:r>
        <w:rPr>
          <w:noProof/>
        </w:rPr>
      </w:r>
      <w:r>
        <w:rPr>
          <w:noProof/>
        </w:rPr>
        <w:fldChar w:fldCharType="separate"/>
      </w:r>
      <w:r>
        <w:rPr>
          <w:noProof/>
        </w:rPr>
        <w:t>14</w:t>
      </w:r>
      <w:r>
        <w:rPr>
          <w:noProof/>
        </w:rPr>
        <w:fldChar w:fldCharType="end"/>
      </w:r>
    </w:p>
    <w:p w14:paraId="4C31C3D6" w14:textId="77777777" w:rsidR="00B919F8" w:rsidRDefault="00B919F8">
      <w:pPr>
        <w:pStyle w:val="TOC2"/>
        <w:tabs>
          <w:tab w:val="right" w:leader="dot" w:pos="8630"/>
        </w:tabs>
        <w:rPr>
          <w:rFonts w:asciiTheme="minorHAnsi" w:hAnsiTheme="minorHAnsi"/>
          <w:noProof/>
          <w:szCs w:val="22"/>
        </w:rPr>
      </w:pPr>
      <w:r>
        <w:rPr>
          <w:noProof/>
        </w:rPr>
        <w:t>3.11 Application Authorization</w:t>
      </w:r>
      <w:r>
        <w:rPr>
          <w:noProof/>
        </w:rPr>
        <w:tab/>
      </w:r>
      <w:r>
        <w:rPr>
          <w:noProof/>
        </w:rPr>
        <w:fldChar w:fldCharType="begin"/>
      </w:r>
      <w:r>
        <w:rPr>
          <w:noProof/>
        </w:rPr>
        <w:instrText xml:space="preserve"> PAGEREF _Toc324348169 \h </w:instrText>
      </w:r>
      <w:r>
        <w:rPr>
          <w:noProof/>
        </w:rPr>
      </w:r>
      <w:r>
        <w:rPr>
          <w:noProof/>
        </w:rPr>
        <w:fldChar w:fldCharType="separate"/>
      </w:r>
      <w:r>
        <w:rPr>
          <w:noProof/>
        </w:rPr>
        <w:t>14</w:t>
      </w:r>
      <w:r>
        <w:rPr>
          <w:noProof/>
        </w:rPr>
        <w:fldChar w:fldCharType="end"/>
      </w:r>
    </w:p>
    <w:p w14:paraId="2C32CC2C" w14:textId="77777777" w:rsidR="00B919F8" w:rsidRDefault="00B919F8">
      <w:pPr>
        <w:pStyle w:val="TOC2"/>
        <w:tabs>
          <w:tab w:val="right" w:leader="dot" w:pos="8630"/>
        </w:tabs>
        <w:rPr>
          <w:rFonts w:asciiTheme="minorHAnsi" w:hAnsiTheme="minorHAnsi"/>
          <w:noProof/>
          <w:szCs w:val="22"/>
        </w:rPr>
      </w:pPr>
      <w:r>
        <w:rPr>
          <w:noProof/>
        </w:rPr>
        <w:t>3.12 Data Access Authorization</w:t>
      </w:r>
      <w:r>
        <w:rPr>
          <w:noProof/>
        </w:rPr>
        <w:tab/>
      </w:r>
      <w:r>
        <w:rPr>
          <w:noProof/>
        </w:rPr>
        <w:fldChar w:fldCharType="begin"/>
      </w:r>
      <w:r>
        <w:rPr>
          <w:noProof/>
        </w:rPr>
        <w:instrText xml:space="preserve"> PAGEREF _Toc324348170 \h </w:instrText>
      </w:r>
      <w:r>
        <w:rPr>
          <w:noProof/>
        </w:rPr>
      </w:r>
      <w:r>
        <w:rPr>
          <w:noProof/>
        </w:rPr>
        <w:fldChar w:fldCharType="separate"/>
      </w:r>
      <w:r>
        <w:rPr>
          <w:noProof/>
        </w:rPr>
        <w:t>14</w:t>
      </w:r>
      <w:r>
        <w:rPr>
          <w:noProof/>
        </w:rPr>
        <w:fldChar w:fldCharType="end"/>
      </w:r>
    </w:p>
    <w:p w14:paraId="33CF8F40" w14:textId="77777777" w:rsidR="00B919F8" w:rsidRDefault="00B919F8">
      <w:pPr>
        <w:pStyle w:val="TOC2"/>
        <w:tabs>
          <w:tab w:val="right" w:leader="dot" w:pos="8630"/>
        </w:tabs>
        <w:rPr>
          <w:rFonts w:asciiTheme="minorHAnsi" w:hAnsiTheme="minorHAnsi"/>
          <w:noProof/>
          <w:szCs w:val="22"/>
        </w:rPr>
      </w:pPr>
      <w:r>
        <w:rPr>
          <w:noProof/>
        </w:rPr>
        <w:t>3.13 Mapping entities to Directory entries</w:t>
      </w:r>
      <w:r>
        <w:rPr>
          <w:noProof/>
        </w:rPr>
        <w:tab/>
      </w:r>
      <w:r>
        <w:rPr>
          <w:noProof/>
        </w:rPr>
        <w:fldChar w:fldCharType="begin"/>
      </w:r>
      <w:r>
        <w:rPr>
          <w:noProof/>
        </w:rPr>
        <w:instrText xml:space="preserve"> PAGEREF _Toc324348171 \h </w:instrText>
      </w:r>
      <w:r>
        <w:rPr>
          <w:noProof/>
        </w:rPr>
      </w:r>
      <w:r>
        <w:rPr>
          <w:noProof/>
        </w:rPr>
        <w:fldChar w:fldCharType="separate"/>
      </w:r>
      <w:r>
        <w:rPr>
          <w:noProof/>
        </w:rPr>
        <w:t>16</w:t>
      </w:r>
      <w:r>
        <w:rPr>
          <w:noProof/>
        </w:rPr>
        <w:fldChar w:fldCharType="end"/>
      </w:r>
    </w:p>
    <w:p w14:paraId="3CB746DE" w14:textId="77777777" w:rsidR="00B919F8" w:rsidRDefault="00B919F8">
      <w:pPr>
        <w:pStyle w:val="TOC3"/>
        <w:tabs>
          <w:tab w:val="right" w:leader="dot" w:pos="8630"/>
        </w:tabs>
        <w:rPr>
          <w:rFonts w:asciiTheme="minorHAnsi" w:hAnsiTheme="minorHAnsi"/>
          <w:noProof/>
          <w:szCs w:val="22"/>
        </w:rPr>
      </w:pPr>
      <w:r w:rsidRPr="000B4A27">
        <w:rPr>
          <w:noProof/>
          <w14:scene3d>
            <w14:camera w14:prst="orthographicFront"/>
            <w14:lightRig w14:rig="threePt" w14:dir="t">
              <w14:rot w14:lat="0" w14:lon="0" w14:rev="0"/>
            </w14:lightRig>
          </w14:scene3d>
        </w:rPr>
        <w:t>3.13.1</w:t>
      </w:r>
      <w:r>
        <w:rPr>
          <w:noProof/>
        </w:rPr>
        <w:t xml:space="preserve"> How ID-to-Entity Mapping Determines Access Control</w:t>
      </w:r>
      <w:r>
        <w:rPr>
          <w:noProof/>
        </w:rPr>
        <w:tab/>
      </w:r>
      <w:r>
        <w:rPr>
          <w:noProof/>
        </w:rPr>
        <w:fldChar w:fldCharType="begin"/>
      </w:r>
      <w:r>
        <w:rPr>
          <w:noProof/>
        </w:rPr>
        <w:instrText xml:space="preserve"> PAGEREF _Toc324348172 \h </w:instrText>
      </w:r>
      <w:r>
        <w:rPr>
          <w:noProof/>
        </w:rPr>
      </w:r>
      <w:r>
        <w:rPr>
          <w:noProof/>
        </w:rPr>
        <w:fldChar w:fldCharType="separate"/>
      </w:r>
      <w:r>
        <w:rPr>
          <w:noProof/>
        </w:rPr>
        <w:t>16</w:t>
      </w:r>
      <w:r>
        <w:rPr>
          <w:noProof/>
        </w:rPr>
        <w:fldChar w:fldCharType="end"/>
      </w:r>
    </w:p>
    <w:p w14:paraId="5E268A76" w14:textId="77777777" w:rsidR="00B919F8" w:rsidRDefault="00B919F8">
      <w:pPr>
        <w:pStyle w:val="TOC1"/>
        <w:tabs>
          <w:tab w:val="right" w:leader="dot" w:pos="8630"/>
        </w:tabs>
        <w:rPr>
          <w:rFonts w:asciiTheme="minorHAnsi" w:hAnsiTheme="minorHAnsi"/>
          <w:noProof/>
          <w:szCs w:val="22"/>
        </w:rPr>
      </w:pPr>
      <w:r>
        <w:rPr>
          <w:noProof/>
        </w:rPr>
        <w:t>4 SLI User Role and Permission Management</w:t>
      </w:r>
      <w:r>
        <w:rPr>
          <w:noProof/>
        </w:rPr>
        <w:tab/>
      </w:r>
      <w:r>
        <w:rPr>
          <w:noProof/>
        </w:rPr>
        <w:fldChar w:fldCharType="begin"/>
      </w:r>
      <w:r>
        <w:rPr>
          <w:noProof/>
        </w:rPr>
        <w:instrText xml:space="preserve"> PAGEREF _Toc324348173 \h </w:instrText>
      </w:r>
      <w:r>
        <w:rPr>
          <w:noProof/>
        </w:rPr>
      </w:r>
      <w:r>
        <w:rPr>
          <w:noProof/>
        </w:rPr>
        <w:fldChar w:fldCharType="separate"/>
      </w:r>
      <w:r>
        <w:rPr>
          <w:noProof/>
        </w:rPr>
        <w:t>18</w:t>
      </w:r>
      <w:r>
        <w:rPr>
          <w:noProof/>
        </w:rPr>
        <w:fldChar w:fldCharType="end"/>
      </w:r>
    </w:p>
    <w:p w14:paraId="079ACC94" w14:textId="77777777" w:rsidR="00B919F8" w:rsidRDefault="00B919F8">
      <w:pPr>
        <w:pStyle w:val="TOC2"/>
        <w:tabs>
          <w:tab w:val="right" w:leader="dot" w:pos="8630"/>
        </w:tabs>
        <w:rPr>
          <w:rFonts w:asciiTheme="minorHAnsi" w:hAnsiTheme="minorHAnsi"/>
          <w:noProof/>
          <w:szCs w:val="22"/>
        </w:rPr>
      </w:pPr>
      <w:r>
        <w:rPr>
          <w:noProof/>
        </w:rPr>
        <w:t>4.1 Data Stewardship</w:t>
      </w:r>
      <w:r>
        <w:rPr>
          <w:noProof/>
        </w:rPr>
        <w:tab/>
      </w:r>
      <w:r>
        <w:rPr>
          <w:noProof/>
        </w:rPr>
        <w:fldChar w:fldCharType="begin"/>
      </w:r>
      <w:r>
        <w:rPr>
          <w:noProof/>
        </w:rPr>
        <w:instrText xml:space="preserve"> PAGEREF _Toc324348174 \h </w:instrText>
      </w:r>
      <w:r>
        <w:rPr>
          <w:noProof/>
        </w:rPr>
      </w:r>
      <w:r>
        <w:rPr>
          <w:noProof/>
        </w:rPr>
        <w:fldChar w:fldCharType="separate"/>
      </w:r>
      <w:r>
        <w:rPr>
          <w:noProof/>
        </w:rPr>
        <w:t>18</w:t>
      </w:r>
      <w:r>
        <w:rPr>
          <w:noProof/>
        </w:rPr>
        <w:fldChar w:fldCharType="end"/>
      </w:r>
    </w:p>
    <w:p w14:paraId="58A6F8F8" w14:textId="77777777" w:rsidR="00B919F8" w:rsidRDefault="00B919F8">
      <w:pPr>
        <w:pStyle w:val="TOC2"/>
        <w:tabs>
          <w:tab w:val="right" w:leader="dot" w:pos="8630"/>
        </w:tabs>
        <w:rPr>
          <w:rFonts w:asciiTheme="minorHAnsi" w:hAnsiTheme="minorHAnsi"/>
          <w:noProof/>
          <w:szCs w:val="22"/>
        </w:rPr>
      </w:pPr>
      <w:r>
        <w:rPr>
          <w:noProof/>
        </w:rPr>
        <w:t>4.2 Roles and Permissions Overview</w:t>
      </w:r>
      <w:r>
        <w:rPr>
          <w:noProof/>
        </w:rPr>
        <w:tab/>
      </w:r>
      <w:r>
        <w:rPr>
          <w:noProof/>
        </w:rPr>
        <w:fldChar w:fldCharType="begin"/>
      </w:r>
      <w:r>
        <w:rPr>
          <w:noProof/>
        </w:rPr>
        <w:instrText xml:space="preserve"> PAGEREF _Toc324348175 \h </w:instrText>
      </w:r>
      <w:r>
        <w:rPr>
          <w:noProof/>
        </w:rPr>
      </w:r>
      <w:r>
        <w:rPr>
          <w:noProof/>
        </w:rPr>
        <w:fldChar w:fldCharType="separate"/>
      </w:r>
      <w:r>
        <w:rPr>
          <w:noProof/>
        </w:rPr>
        <w:t>19</w:t>
      </w:r>
      <w:r>
        <w:rPr>
          <w:noProof/>
        </w:rPr>
        <w:fldChar w:fldCharType="end"/>
      </w:r>
    </w:p>
    <w:p w14:paraId="18AA2C92" w14:textId="77777777" w:rsidR="00B919F8" w:rsidRDefault="00B919F8">
      <w:pPr>
        <w:pStyle w:val="TOC2"/>
        <w:tabs>
          <w:tab w:val="right" w:leader="dot" w:pos="8630"/>
        </w:tabs>
        <w:rPr>
          <w:rFonts w:asciiTheme="minorHAnsi" w:hAnsiTheme="minorHAnsi"/>
          <w:noProof/>
          <w:szCs w:val="22"/>
        </w:rPr>
      </w:pPr>
      <w:r>
        <w:rPr>
          <w:noProof/>
        </w:rPr>
        <w:t>4.3 Default Permissions and Custom Roles</w:t>
      </w:r>
      <w:r>
        <w:rPr>
          <w:noProof/>
        </w:rPr>
        <w:tab/>
      </w:r>
      <w:r>
        <w:rPr>
          <w:noProof/>
        </w:rPr>
        <w:fldChar w:fldCharType="begin"/>
      </w:r>
      <w:r>
        <w:rPr>
          <w:noProof/>
        </w:rPr>
        <w:instrText xml:space="preserve"> PAGEREF _Toc324348176 \h </w:instrText>
      </w:r>
      <w:r>
        <w:rPr>
          <w:noProof/>
        </w:rPr>
      </w:r>
      <w:r>
        <w:rPr>
          <w:noProof/>
        </w:rPr>
        <w:fldChar w:fldCharType="separate"/>
      </w:r>
      <w:r>
        <w:rPr>
          <w:noProof/>
        </w:rPr>
        <w:t>20</w:t>
      </w:r>
      <w:r>
        <w:rPr>
          <w:noProof/>
        </w:rPr>
        <w:fldChar w:fldCharType="end"/>
      </w:r>
    </w:p>
    <w:p w14:paraId="537C94C9" w14:textId="77777777" w:rsidR="00B919F8" w:rsidRDefault="00B919F8">
      <w:pPr>
        <w:pStyle w:val="TOC2"/>
        <w:tabs>
          <w:tab w:val="right" w:leader="dot" w:pos="8630"/>
        </w:tabs>
        <w:rPr>
          <w:rFonts w:asciiTheme="minorHAnsi" w:hAnsiTheme="minorHAnsi"/>
          <w:noProof/>
          <w:szCs w:val="22"/>
        </w:rPr>
      </w:pPr>
      <w:r>
        <w:rPr>
          <w:noProof/>
        </w:rPr>
        <w:t>4.4 Default Roles and Permissions (Alpha)</w:t>
      </w:r>
      <w:r>
        <w:rPr>
          <w:noProof/>
        </w:rPr>
        <w:tab/>
      </w:r>
      <w:r>
        <w:rPr>
          <w:noProof/>
        </w:rPr>
        <w:fldChar w:fldCharType="begin"/>
      </w:r>
      <w:r>
        <w:rPr>
          <w:noProof/>
        </w:rPr>
        <w:instrText xml:space="preserve"> PAGEREF _Toc324348177 \h </w:instrText>
      </w:r>
      <w:r>
        <w:rPr>
          <w:noProof/>
        </w:rPr>
      </w:r>
      <w:r>
        <w:rPr>
          <w:noProof/>
        </w:rPr>
        <w:fldChar w:fldCharType="separate"/>
      </w:r>
      <w:r>
        <w:rPr>
          <w:noProof/>
        </w:rPr>
        <w:t>20</w:t>
      </w:r>
      <w:r>
        <w:rPr>
          <w:noProof/>
        </w:rPr>
        <w:fldChar w:fldCharType="end"/>
      </w:r>
    </w:p>
    <w:p w14:paraId="6D64C240" w14:textId="77777777" w:rsidR="00B919F8" w:rsidRDefault="00B919F8">
      <w:pPr>
        <w:pStyle w:val="TOC2"/>
        <w:tabs>
          <w:tab w:val="right" w:leader="dot" w:pos="8630"/>
        </w:tabs>
        <w:rPr>
          <w:rFonts w:asciiTheme="minorHAnsi" w:hAnsiTheme="minorHAnsi"/>
          <w:noProof/>
          <w:szCs w:val="22"/>
        </w:rPr>
      </w:pPr>
      <w:r>
        <w:rPr>
          <w:noProof/>
        </w:rPr>
        <w:t>4.5 Default SLI Roles</w:t>
      </w:r>
      <w:r>
        <w:rPr>
          <w:noProof/>
        </w:rPr>
        <w:tab/>
      </w:r>
      <w:r>
        <w:rPr>
          <w:noProof/>
        </w:rPr>
        <w:fldChar w:fldCharType="begin"/>
      </w:r>
      <w:r>
        <w:rPr>
          <w:noProof/>
        </w:rPr>
        <w:instrText xml:space="preserve"> PAGEREF _Toc324348178 \h </w:instrText>
      </w:r>
      <w:r>
        <w:rPr>
          <w:noProof/>
        </w:rPr>
      </w:r>
      <w:r>
        <w:rPr>
          <w:noProof/>
        </w:rPr>
        <w:fldChar w:fldCharType="separate"/>
      </w:r>
      <w:r>
        <w:rPr>
          <w:noProof/>
        </w:rPr>
        <w:t>20</w:t>
      </w:r>
      <w:r>
        <w:rPr>
          <w:noProof/>
        </w:rPr>
        <w:fldChar w:fldCharType="end"/>
      </w:r>
    </w:p>
    <w:p w14:paraId="4D7D0C48" w14:textId="77777777" w:rsidR="00B919F8" w:rsidRDefault="00B919F8">
      <w:pPr>
        <w:pStyle w:val="TOC2"/>
        <w:tabs>
          <w:tab w:val="right" w:leader="dot" w:pos="8630"/>
        </w:tabs>
        <w:rPr>
          <w:rFonts w:asciiTheme="minorHAnsi" w:hAnsiTheme="minorHAnsi"/>
          <w:noProof/>
          <w:szCs w:val="22"/>
        </w:rPr>
      </w:pPr>
      <w:r>
        <w:rPr>
          <w:noProof/>
        </w:rPr>
        <w:t>4.6 Permissions by Student Data Category</w:t>
      </w:r>
      <w:r>
        <w:rPr>
          <w:noProof/>
        </w:rPr>
        <w:tab/>
      </w:r>
      <w:r>
        <w:rPr>
          <w:noProof/>
        </w:rPr>
        <w:fldChar w:fldCharType="begin"/>
      </w:r>
      <w:r>
        <w:rPr>
          <w:noProof/>
        </w:rPr>
        <w:instrText xml:space="preserve"> PAGEREF _Toc324348179 \h </w:instrText>
      </w:r>
      <w:r>
        <w:rPr>
          <w:noProof/>
        </w:rPr>
      </w:r>
      <w:r>
        <w:rPr>
          <w:noProof/>
        </w:rPr>
        <w:fldChar w:fldCharType="separate"/>
      </w:r>
      <w:r>
        <w:rPr>
          <w:noProof/>
        </w:rPr>
        <w:t>20</w:t>
      </w:r>
      <w:r>
        <w:rPr>
          <w:noProof/>
        </w:rPr>
        <w:fldChar w:fldCharType="end"/>
      </w:r>
    </w:p>
    <w:p w14:paraId="514D09E3" w14:textId="77777777" w:rsidR="00B919F8" w:rsidRDefault="00B919F8">
      <w:pPr>
        <w:pStyle w:val="TOC2"/>
        <w:tabs>
          <w:tab w:val="right" w:leader="dot" w:pos="8630"/>
        </w:tabs>
        <w:rPr>
          <w:rFonts w:asciiTheme="minorHAnsi" w:hAnsiTheme="minorHAnsi"/>
          <w:noProof/>
          <w:szCs w:val="22"/>
        </w:rPr>
      </w:pPr>
      <w:r>
        <w:rPr>
          <w:noProof/>
        </w:rPr>
        <w:t>4.7 SLI Roles to Student Data Category Mapping</w:t>
      </w:r>
      <w:r>
        <w:rPr>
          <w:noProof/>
        </w:rPr>
        <w:tab/>
      </w:r>
      <w:r>
        <w:rPr>
          <w:noProof/>
        </w:rPr>
        <w:fldChar w:fldCharType="begin"/>
      </w:r>
      <w:r>
        <w:rPr>
          <w:noProof/>
        </w:rPr>
        <w:instrText xml:space="preserve"> PAGEREF _Toc324348180 \h </w:instrText>
      </w:r>
      <w:r>
        <w:rPr>
          <w:noProof/>
        </w:rPr>
      </w:r>
      <w:r>
        <w:rPr>
          <w:noProof/>
        </w:rPr>
        <w:fldChar w:fldCharType="separate"/>
      </w:r>
      <w:r>
        <w:rPr>
          <w:noProof/>
        </w:rPr>
        <w:t>21</w:t>
      </w:r>
      <w:r>
        <w:rPr>
          <w:noProof/>
        </w:rPr>
        <w:fldChar w:fldCharType="end"/>
      </w:r>
    </w:p>
    <w:p w14:paraId="13811A3E" w14:textId="77777777" w:rsidR="00B919F8" w:rsidRDefault="00B919F8">
      <w:pPr>
        <w:pStyle w:val="TOC2"/>
        <w:tabs>
          <w:tab w:val="right" w:leader="dot" w:pos="8630"/>
        </w:tabs>
        <w:rPr>
          <w:rFonts w:asciiTheme="minorHAnsi" w:hAnsiTheme="minorHAnsi"/>
          <w:noProof/>
          <w:szCs w:val="22"/>
        </w:rPr>
      </w:pPr>
      <w:r>
        <w:rPr>
          <w:noProof/>
        </w:rPr>
        <w:t>4.8 Roles and Permissions (1.0 and Beyond)</w:t>
      </w:r>
      <w:r>
        <w:rPr>
          <w:noProof/>
        </w:rPr>
        <w:tab/>
      </w:r>
      <w:r>
        <w:rPr>
          <w:noProof/>
        </w:rPr>
        <w:fldChar w:fldCharType="begin"/>
      </w:r>
      <w:r>
        <w:rPr>
          <w:noProof/>
        </w:rPr>
        <w:instrText xml:space="preserve"> PAGEREF _Toc324348181 \h </w:instrText>
      </w:r>
      <w:r>
        <w:rPr>
          <w:noProof/>
        </w:rPr>
      </w:r>
      <w:r>
        <w:rPr>
          <w:noProof/>
        </w:rPr>
        <w:fldChar w:fldCharType="separate"/>
      </w:r>
      <w:r>
        <w:rPr>
          <w:noProof/>
        </w:rPr>
        <w:t>21</w:t>
      </w:r>
      <w:r>
        <w:rPr>
          <w:noProof/>
        </w:rPr>
        <w:fldChar w:fldCharType="end"/>
      </w:r>
    </w:p>
    <w:p w14:paraId="06959322" w14:textId="77777777" w:rsidR="00D51E0D" w:rsidRPr="00477406" w:rsidRDefault="00D51E0D" w:rsidP="00D51E0D">
      <w:pPr>
        <w:rPr>
          <w:b/>
          <w:bCs/>
          <w:sz w:val="24"/>
        </w:rPr>
      </w:pPr>
      <w:r w:rsidRPr="00477406">
        <w:rPr>
          <w:sz w:val="24"/>
        </w:rPr>
        <w:fldChar w:fldCharType="end"/>
      </w:r>
    </w:p>
    <w:p w14:paraId="674B52B3" w14:textId="77777777" w:rsidR="00D51E0D" w:rsidRDefault="00D51E0D">
      <w:pPr>
        <w:spacing w:before="0"/>
        <w:rPr>
          <w:rFonts w:eastAsiaTheme="majorEastAsia" w:cstheme="majorBidi"/>
          <w:b/>
          <w:bCs/>
          <w:color w:val="004C6C"/>
          <w:sz w:val="36"/>
          <w:szCs w:val="32"/>
        </w:rPr>
      </w:pPr>
      <w:r>
        <w:br w:type="page"/>
      </w:r>
    </w:p>
    <w:p w14:paraId="3BE88D31" w14:textId="702219F9" w:rsidR="00644E03" w:rsidRDefault="00644E03" w:rsidP="00A1298C">
      <w:pPr>
        <w:pStyle w:val="Heading1"/>
      </w:pPr>
      <w:bookmarkStart w:id="2" w:name="_Ref324334403"/>
      <w:bookmarkStart w:id="3" w:name="_Ref324334418"/>
      <w:bookmarkStart w:id="4" w:name="_Ref324334426"/>
      <w:bookmarkStart w:id="5" w:name="_Ref324334432"/>
      <w:bookmarkStart w:id="6" w:name="_Ref324334524"/>
      <w:bookmarkStart w:id="7" w:name="_Ref324334531"/>
      <w:bookmarkStart w:id="8" w:name="_Ref324334552"/>
      <w:bookmarkStart w:id="9" w:name="_Ref324334564"/>
      <w:bookmarkStart w:id="10" w:name="_Ref324334569"/>
      <w:bookmarkStart w:id="11" w:name="_Ref324334576"/>
      <w:bookmarkStart w:id="12" w:name="_Ref324334605"/>
      <w:bookmarkStart w:id="13" w:name="_Ref324343478"/>
      <w:bookmarkStart w:id="14" w:name="_Toc324348155"/>
      <w:r>
        <w:lastRenderedPageBreak/>
        <w:t>Purpose and Scope</w:t>
      </w:r>
      <w:bookmarkEnd w:id="0"/>
      <w:bookmarkEnd w:id="2"/>
      <w:bookmarkEnd w:id="3"/>
      <w:bookmarkEnd w:id="4"/>
      <w:bookmarkEnd w:id="5"/>
      <w:bookmarkEnd w:id="6"/>
      <w:bookmarkEnd w:id="7"/>
      <w:bookmarkEnd w:id="8"/>
      <w:bookmarkEnd w:id="9"/>
      <w:bookmarkEnd w:id="10"/>
      <w:bookmarkEnd w:id="11"/>
      <w:bookmarkEnd w:id="12"/>
      <w:bookmarkEnd w:id="13"/>
      <w:bookmarkEnd w:id="14"/>
    </w:p>
    <w:p w14:paraId="0CF2B90C" w14:textId="77777777" w:rsidR="00941415" w:rsidRDefault="00941415" w:rsidP="00941415">
      <w:r>
        <w:t>The purpose of this document is to describe how SLI will implement identity integration with State Education Agency (SEA) and Local Education Agency (LEA) directories through Federation, how the users are authenticated and authorized on the system, and to outline the application authentication and authorization process. In addition, the Identity Integration Solution document outlines the default SLI roles and permissions that will be available to SEAs and LEAs for assignment to users.</w:t>
      </w:r>
    </w:p>
    <w:p w14:paraId="56B1BC07" w14:textId="77777777" w:rsidR="00941415" w:rsidRPr="004D2189" w:rsidRDefault="00941415" w:rsidP="00941415">
      <w:r>
        <w:t>The content of this document addresses the scope for the SLI Alpha release.</w:t>
      </w:r>
    </w:p>
    <w:p w14:paraId="7B873AFF" w14:textId="77777777" w:rsidR="00941415" w:rsidRDefault="00941415" w:rsidP="00941415">
      <w:r>
        <w:t>The intended audiences of this documentation are mainly District/State IT Administrators, Application Developers, and SLI Operators.</w:t>
      </w:r>
    </w:p>
    <w:p w14:paraId="0DEF3C68" w14:textId="77777777" w:rsidR="00941415" w:rsidRDefault="00941415" w:rsidP="00941415">
      <w:r>
        <w:t xml:space="preserve">This document extends the </w:t>
      </w:r>
      <w:r w:rsidRPr="00D01EFE">
        <w:rPr>
          <w:i/>
        </w:rPr>
        <w:t xml:space="preserve">Identity Integration and Management Overview Whitepaper </w:t>
      </w:r>
      <w:r w:rsidRPr="00890989">
        <w:t>(</w:t>
      </w:r>
      <w:r w:rsidRPr="00D01EFE">
        <w:t xml:space="preserve">published </w:t>
      </w:r>
      <w:r w:rsidRPr="00890989">
        <w:t>9/17/11)</w:t>
      </w:r>
      <w:r>
        <w:t xml:space="preserve"> in the areas of SEA/LEA Directory integration through </w:t>
      </w:r>
      <w:r w:rsidRPr="004D2189">
        <w:t>Federation</w:t>
      </w:r>
      <w:r>
        <w:t xml:space="preserve"> and</w:t>
      </w:r>
      <w:r w:rsidRPr="00B03286">
        <w:t xml:space="preserve"> </w:t>
      </w:r>
      <w:r>
        <w:t>Federated Authentication design, including web a</w:t>
      </w:r>
      <w:r w:rsidRPr="00B03286">
        <w:t>pplication Authentication</w:t>
      </w:r>
      <w:r>
        <w:t>, user data a</w:t>
      </w:r>
      <w:r w:rsidRPr="00B03286">
        <w:t>ccess Authorization</w:t>
      </w:r>
      <w:r>
        <w:t>, and default user Role and Permission m</w:t>
      </w:r>
      <w:r w:rsidRPr="0086419D">
        <w:t>anagement</w:t>
      </w:r>
      <w:r>
        <w:t xml:space="preserve">. </w:t>
      </w:r>
    </w:p>
    <w:p w14:paraId="45DB3BDD" w14:textId="793EAEB3" w:rsidR="00644E03" w:rsidRDefault="00941415" w:rsidP="00644E03">
      <w:r>
        <w:t>For an overview of the SLI Architecture, SEA/LEA registration, onboarding and opt-out, creation and management of Super-Administrator Roles, application approval and d</w:t>
      </w:r>
      <w:r w:rsidRPr="00950F25">
        <w:t>eployment</w:t>
      </w:r>
      <w:r>
        <w:t xml:space="preserve">, custom Roles, and Delegated integration strategy, please refer to the </w:t>
      </w:r>
      <w:r w:rsidRPr="00233F98">
        <w:rPr>
          <w:i/>
        </w:rPr>
        <w:t>Identity Integration and Management Overview Whitepaper</w:t>
      </w:r>
      <w:r>
        <w:rPr>
          <w:i/>
        </w:rPr>
        <w:t xml:space="preserve"> </w:t>
      </w:r>
      <w:r w:rsidRPr="00D01EFE">
        <w:t>as a primary</w:t>
      </w:r>
      <w:r>
        <w:rPr>
          <w:i/>
        </w:rPr>
        <w:t xml:space="preserve"> </w:t>
      </w:r>
      <w:r w:rsidRPr="00D01EFE">
        <w:t>resource.</w:t>
      </w:r>
    </w:p>
    <w:p w14:paraId="5052C7A0" w14:textId="77777777" w:rsidR="007233DA" w:rsidRDefault="007233DA" w:rsidP="00A1298C">
      <w:pPr>
        <w:pStyle w:val="Heading1"/>
      </w:pPr>
      <w:bookmarkStart w:id="15" w:name="_Toc196216244"/>
      <w:bookmarkStart w:id="16" w:name="_Toc324348156"/>
      <w:r>
        <w:t>Definitions</w:t>
      </w:r>
      <w:bookmarkEnd w:id="15"/>
      <w:bookmarkEnd w:id="16"/>
      <w:r>
        <w:t xml:space="preserve"> </w:t>
      </w:r>
    </w:p>
    <w:p w14:paraId="43A2A783" w14:textId="77777777" w:rsidR="00941415" w:rsidRDefault="00941415" w:rsidP="00941415">
      <w:r w:rsidRPr="00C16F7E">
        <w:t xml:space="preserve">This section contains </w:t>
      </w:r>
      <w:r w:rsidRPr="000F6A42">
        <w:t>definitions</w:t>
      </w:r>
      <w:r w:rsidRPr="00C16F7E">
        <w:t xml:space="preserve"> of terms that are used in this document.</w:t>
      </w:r>
    </w:p>
    <w:p w14:paraId="52011771" w14:textId="77777777" w:rsidR="00941415" w:rsidRPr="00C16F7E" w:rsidRDefault="00941415" w:rsidP="00941415">
      <w:pPr>
        <w:pStyle w:val="TermList"/>
      </w:pPr>
      <w:r w:rsidRPr="00C16F7E">
        <w:rPr>
          <w:b/>
          <w:bCs/>
        </w:rPr>
        <w:t xml:space="preserve">Authentication </w:t>
      </w:r>
      <w:r>
        <w:t>T</w:t>
      </w:r>
      <w:r w:rsidRPr="00C16F7E">
        <w:t xml:space="preserve">he process of verifying that a user is who they claim to be. </w:t>
      </w:r>
      <w:r>
        <w:t>For example,</w:t>
      </w:r>
      <w:r w:rsidRPr="00C16F7E">
        <w:t xml:space="preserve"> I am “</w:t>
      </w:r>
      <w:r w:rsidRPr="00C16F7E">
        <w:rPr>
          <w:i/>
          <w:iCs/>
        </w:rPr>
        <w:t>jsmith</w:t>
      </w:r>
      <w:r w:rsidRPr="00C16F7E">
        <w:t xml:space="preserve">” because I entered the correct username and password for the </w:t>
      </w:r>
      <w:r w:rsidRPr="00C16F7E">
        <w:rPr>
          <w:i/>
          <w:iCs/>
        </w:rPr>
        <w:t xml:space="preserve">jsmith </w:t>
      </w:r>
      <w:r w:rsidRPr="00C16F7E">
        <w:t xml:space="preserve">account. SLI supports Federated Authentication. </w:t>
      </w:r>
    </w:p>
    <w:p w14:paraId="0EED3580" w14:textId="77777777" w:rsidR="00941415" w:rsidRDefault="00941415" w:rsidP="00941415">
      <w:pPr>
        <w:pStyle w:val="TermList"/>
      </w:pPr>
      <w:r w:rsidRPr="00C16F7E">
        <w:rPr>
          <w:b/>
          <w:bCs/>
        </w:rPr>
        <w:t xml:space="preserve">Authorization </w:t>
      </w:r>
      <w:r>
        <w:t>T</w:t>
      </w:r>
      <w:r w:rsidRPr="00C16F7E">
        <w:t xml:space="preserve">he process of determining what resources a user has permission to access and what actions the user has permission to do. </w:t>
      </w:r>
      <w:r>
        <w:t>For example,</w:t>
      </w:r>
      <w:r w:rsidRPr="00C16F7E">
        <w:t xml:space="preserve"> the user </w:t>
      </w:r>
      <w:r w:rsidRPr="00C16F7E">
        <w:rPr>
          <w:i/>
          <w:iCs/>
        </w:rPr>
        <w:t xml:space="preserve">jsmith </w:t>
      </w:r>
      <w:r w:rsidRPr="00C16F7E">
        <w:t xml:space="preserve">is allowed to view data associated with students in his classes. </w:t>
      </w:r>
    </w:p>
    <w:p w14:paraId="3D2A351C" w14:textId="77777777" w:rsidR="00941415" w:rsidRPr="00C16F7E" w:rsidRDefault="00941415" w:rsidP="00941415">
      <w:pPr>
        <w:pStyle w:val="TermList"/>
      </w:pPr>
      <w:r w:rsidRPr="00D01EFE">
        <w:rPr>
          <w:b/>
        </w:rPr>
        <w:t>Data Category</w:t>
      </w:r>
      <w:r>
        <w:t xml:space="preserve"> Predefined list of student data fields</w:t>
      </w:r>
    </w:p>
    <w:p w14:paraId="17444333" w14:textId="77777777" w:rsidR="00941415" w:rsidRPr="00C16F7E" w:rsidRDefault="00941415" w:rsidP="00941415">
      <w:pPr>
        <w:pStyle w:val="TermList"/>
      </w:pPr>
      <w:r w:rsidRPr="00C16F7E">
        <w:rPr>
          <w:b/>
          <w:bCs/>
        </w:rPr>
        <w:t xml:space="preserve">Delegated Authentication </w:t>
      </w:r>
      <w:r w:rsidRPr="00C16F7E">
        <w:t>SLI uses an Institution’s Directory to authenticate a user; however, that identity is not shared with other applications such as the District portal.</w:t>
      </w:r>
      <w:r>
        <w:t xml:space="preserve"> </w:t>
      </w:r>
      <w:r w:rsidRPr="00C16F7E">
        <w:t xml:space="preserve">With </w:t>
      </w:r>
      <w:r>
        <w:t>d</w:t>
      </w:r>
      <w:r w:rsidRPr="00C16F7E">
        <w:t xml:space="preserve">elegated </w:t>
      </w:r>
      <w:r>
        <w:t>a</w:t>
      </w:r>
      <w:r w:rsidRPr="00C16F7E">
        <w:t>uthentication, user identity is controlled in one place (the Institution’s Directory), but users will need to login for each application.</w:t>
      </w:r>
    </w:p>
    <w:p w14:paraId="30D2AEB4" w14:textId="77777777" w:rsidR="00941415" w:rsidRPr="00C16F7E" w:rsidRDefault="00941415" w:rsidP="00941415">
      <w:pPr>
        <w:pStyle w:val="TermList"/>
      </w:pPr>
      <w:r w:rsidRPr="00C16F7E">
        <w:rPr>
          <w:b/>
          <w:bCs/>
        </w:rPr>
        <w:t xml:space="preserve">Directory </w:t>
      </w:r>
      <w:r>
        <w:t>A</w:t>
      </w:r>
      <w:r w:rsidRPr="00C16F7E">
        <w:t xml:space="preserve"> service that manages user identities and those users’ Roles. Roles in turn control access to specific resources </w:t>
      </w:r>
      <w:r>
        <w:t>through</w:t>
      </w:r>
      <w:r w:rsidRPr="00C16F7E">
        <w:t xml:space="preserve"> their assigned Permissions. Examples of commonly used Directories include Microsoft Active Directory, OpenLDAP, and Novell’s eDirectory. </w:t>
      </w:r>
    </w:p>
    <w:p w14:paraId="1D850B8E" w14:textId="77777777" w:rsidR="00941415" w:rsidRPr="00C16F7E" w:rsidRDefault="00941415" w:rsidP="00941415">
      <w:pPr>
        <w:pStyle w:val="TermList"/>
      </w:pPr>
      <w:r w:rsidRPr="00C16F7E">
        <w:rPr>
          <w:b/>
          <w:bCs/>
        </w:rPr>
        <w:t>Federated Authentication</w:t>
      </w:r>
      <w:r>
        <w:t xml:space="preserve"> A </w:t>
      </w:r>
      <w:r w:rsidRPr="00C16F7E">
        <w:t>means of linking an individual’s identity and attributes across multiple distinct systems.</w:t>
      </w:r>
      <w:r>
        <w:t xml:space="preserve"> </w:t>
      </w:r>
      <w:r w:rsidRPr="00C16F7E">
        <w:t xml:space="preserve">Federation is a common means of providing Single </w:t>
      </w:r>
      <w:r w:rsidRPr="00C16F7E">
        <w:lastRenderedPageBreak/>
        <w:t>Sign-on functionality.</w:t>
      </w:r>
      <w:r>
        <w:t xml:space="preserve"> </w:t>
      </w:r>
      <w:r w:rsidRPr="00C16F7E">
        <w:t xml:space="preserve">For example, by using Federation, the identity </w:t>
      </w:r>
      <w:r w:rsidRPr="00C16F7E">
        <w:rPr>
          <w:i/>
          <w:iCs/>
        </w:rPr>
        <w:t xml:space="preserve">jsmith </w:t>
      </w:r>
      <w:r w:rsidRPr="00C16F7E">
        <w:t xml:space="preserve">may be used to login to an SLI application and a District portal. Federation standards allow </w:t>
      </w:r>
      <w:r w:rsidRPr="00C16F7E">
        <w:rPr>
          <w:i/>
          <w:iCs/>
        </w:rPr>
        <w:t xml:space="preserve">jsmith </w:t>
      </w:r>
      <w:r w:rsidRPr="00C16F7E">
        <w:t xml:space="preserve">to login once to the District portal and have that identity automatically shared with the SLI application so that the user need not re-enter their password. SLI enables Federation </w:t>
      </w:r>
      <w:r>
        <w:t>through</w:t>
      </w:r>
      <w:r w:rsidRPr="00C16F7E">
        <w:t xml:space="preserve"> the industry standard Security Assertion Markup Language (SAML). </w:t>
      </w:r>
    </w:p>
    <w:p w14:paraId="14190A19" w14:textId="77777777" w:rsidR="00941415" w:rsidRPr="00F74A5D" w:rsidRDefault="00941415" w:rsidP="00941415">
      <w:pPr>
        <w:pStyle w:val="TermList"/>
      </w:pPr>
      <w:r w:rsidRPr="00C16F7E">
        <w:rPr>
          <w:b/>
          <w:bCs/>
        </w:rPr>
        <w:t xml:space="preserve">Identity Provider </w:t>
      </w:r>
      <w:r w:rsidRPr="00C16F7E">
        <w:t>A computer system that stores user identity information such as user names, passwords, and roles, and provides a way for other computer systems to access this data.</w:t>
      </w:r>
      <w:r>
        <w:t xml:space="preserve"> </w:t>
      </w:r>
      <w:r w:rsidRPr="00C16F7E">
        <w:t xml:space="preserve">An Identity Provider may be a Directory or it may be a service acting on behalf of one or more Directories. </w:t>
      </w:r>
      <w:r>
        <w:t>In a SAML federated environment, a</w:t>
      </w:r>
      <w:r w:rsidRPr="00F74A5D">
        <w:t xml:space="preserve"> SAML </w:t>
      </w:r>
      <w:r w:rsidRPr="00C16F7E">
        <w:t>Identity Provider</w:t>
      </w:r>
      <w:r w:rsidRPr="00F74A5D">
        <w:t xml:space="preserve"> produces SAML assertions</w:t>
      </w:r>
      <w:r>
        <w:t>.</w:t>
      </w:r>
    </w:p>
    <w:p w14:paraId="1FA52DD0" w14:textId="77777777" w:rsidR="00941415" w:rsidRPr="00C16F7E" w:rsidRDefault="00941415" w:rsidP="00941415">
      <w:pPr>
        <w:pStyle w:val="TermList"/>
      </w:pPr>
      <w:r w:rsidRPr="00C16F7E">
        <w:rPr>
          <w:b/>
          <w:bCs/>
        </w:rPr>
        <w:t xml:space="preserve">Institution </w:t>
      </w:r>
      <w:r>
        <w:t>A</w:t>
      </w:r>
      <w:r w:rsidRPr="00C16F7E">
        <w:t xml:space="preserve"> </w:t>
      </w:r>
      <w:r>
        <w:t>S</w:t>
      </w:r>
      <w:r w:rsidRPr="00C16F7E">
        <w:t xml:space="preserve">chool, a </w:t>
      </w:r>
      <w:r>
        <w:t>S</w:t>
      </w:r>
      <w:r w:rsidRPr="00C16F7E">
        <w:t xml:space="preserve">chool </w:t>
      </w:r>
      <w:r>
        <w:t>D</w:t>
      </w:r>
      <w:r w:rsidRPr="00C16F7E">
        <w:t xml:space="preserve">istrict, or a </w:t>
      </w:r>
      <w:r>
        <w:t>S</w:t>
      </w:r>
      <w:r w:rsidRPr="00C16F7E">
        <w:t xml:space="preserve">tate. </w:t>
      </w:r>
    </w:p>
    <w:p w14:paraId="1EDB380A" w14:textId="77777777" w:rsidR="00941415" w:rsidRPr="00C16F7E" w:rsidRDefault="00941415" w:rsidP="00941415">
      <w:pPr>
        <w:pStyle w:val="TermList"/>
      </w:pPr>
      <w:r w:rsidRPr="00C16F7E">
        <w:rPr>
          <w:b/>
          <w:bCs/>
        </w:rPr>
        <w:t xml:space="preserve">Permissions </w:t>
      </w:r>
      <w:r>
        <w:t>A</w:t>
      </w:r>
      <w:r w:rsidRPr="00C16F7E">
        <w:t xml:space="preserve"> set of actions that an actor is allowed to take in SLI (</w:t>
      </w:r>
      <w:r>
        <w:rPr>
          <w:i/>
          <w:iCs/>
        </w:rPr>
        <w:t>for example</w:t>
      </w:r>
      <w:r w:rsidRPr="00C16F7E">
        <w:t>, “Can see student assessment data for students the user teaches” or “Can change administrative setting for an account”).</w:t>
      </w:r>
      <w:r>
        <w:t xml:space="preserve"> </w:t>
      </w:r>
      <w:r w:rsidRPr="00C16F7E">
        <w:t xml:space="preserve">Permissions are assigned indirectly to specific users </w:t>
      </w:r>
      <w:r>
        <w:t>through</w:t>
      </w:r>
      <w:r w:rsidRPr="00C16F7E">
        <w:t xml:space="preserve"> Roles. </w:t>
      </w:r>
    </w:p>
    <w:p w14:paraId="5B01A94E" w14:textId="77777777" w:rsidR="00941415" w:rsidRPr="00C16F7E" w:rsidRDefault="00941415" w:rsidP="00941415">
      <w:pPr>
        <w:pStyle w:val="TermList"/>
      </w:pPr>
      <w:r w:rsidRPr="00C16F7E">
        <w:rPr>
          <w:b/>
          <w:bCs/>
        </w:rPr>
        <w:t xml:space="preserve">Role </w:t>
      </w:r>
      <w:r>
        <w:t>A</w:t>
      </w:r>
      <w:r w:rsidRPr="00C16F7E">
        <w:t xml:space="preserve"> pre-defined relationship between a user a specific set of Permissions. Roles within SLI will generally correspond to an individual’s function within an Institution, for example, “teacher” or “principal.” </w:t>
      </w:r>
    </w:p>
    <w:p w14:paraId="69C8EEB9" w14:textId="77777777" w:rsidR="00941415" w:rsidRDefault="00941415" w:rsidP="00941415">
      <w:pPr>
        <w:pStyle w:val="TermList"/>
      </w:pPr>
      <w:r w:rsidRPr="00F74A5D">
        <w:rPr>
          <w:b/>
          <w:bCs/>
        </w:rPr>
        <w:t>Service Provider</w:t>
      </w:r>
      <w:r>
        <w:rPr>
          <w:b/>
          <w:bCs/>
        </w:rPr>
        <w:t xml:space="preserve"> (SP) </w:t>
      </w:r>
      <w:r>
        <w:t>An entity that</w:t>
      </w:r>
      <w:r w:rsidRPr="00B67FB5">
        <w:t xml:space="preserve"> controls access to services and resources</w:t>
      </w:r>
      <w:r>
        <w:t xml:space="preserve">. </w:t>
      </w:r>
      <w:r>
        <w:rPr>
          <w:color w:val="000000" w:themeColor="text1"/>
        </w:rPr>
        <w:t>In a SAML federated environment, a</w:t>
      </w:r>
      <w:r w:rsidRPr="00B67FB5">
        <w:t xml:space="preserve"> SAML SP </w:t>
      </w:r>
      <w:r>
        <w:t xml:space="preserve">creates and </w:t>
      </w:r>
      <w:r w:rsidRPr="00B67FB5">
        <w:t>consumes SAML assertions</w:t>
      </w:r>
      <w:r>
        <w:t>.</w:t>
      </w:r>
    </w:p>
    <w:p w14:paraId="5C7B23CB" w14:textId="77777777" w:rsidR="00941415" w:rsidRDefault="00941415" w:rsidP="00941415">
      <w:pPr>
        <w:pStyle w:val="TermList"/>
      </w:pPr>
      <w:r w:rsidRPr="00C16F7E">
        <w:rPr>
          <w:b/>
          <w:bCs/>
        </w:rPr>
        <w:t xml:space="preserve">SLC </w:t>
      </w:r>
      <w:r w:rsidRPr="00C16F7E">
        <w:t>Shared Learning Collaborative, LLC</w:t>
      </w:r>
    </w:p>
    <w:p w14:paraId="7B1914DC" w14:textId="77777777" w:rsidR="00941415" w:rsidRDefault="00941415" w:rsidP="00941415">
      <w:pPr>
        <w:pStyle w:val="TermList"/>
      </w:pPr>
      <w:r w:rsidRPr="00C16F7E">
        <w:rPr>
          <w:b/>
          <w:bCs/>
        </w:rPr>
        <w:t>S</w:t>
      </w:r>
      <w:r>
        <w:rPr>
          <w:b/>
          <w:bCs/>
        </w:rPr>
        <w:t>uper-Administrator</w:t>
      </w:r>
      <w:r w:rsidRPr="00C16F7E">
        <w:rPr>
          <w:b/>
          <w:bCs/>
        </w:rPr>
        <w:t xml:space="preserve"> </w:t>
      </w:r>
      <w:r>
        <w:t>T</w:t>
      </w:r>
      <w:r w:rsidRPr="00950F25">
        <w:t xml:space="preserve">he Role description for a user </w:t>
      </w:r>
      <w:r>
        <w:t xml:space="preserve">who has been </w:t>
      </w:r>
      <w:r w:rsidRPr="00950F25">
        <w:t xml:space="preserve">assigned a set of Permissions within an Institution that grant the user complete administrative control over all data within SLI </w:t>
      </w:r>
      <w:r>
        <w:t xml:space="preserve">that is </w:t>
      </w:r>
      <w:r w:rsidRPr="00950F25">
        <w:t>associated with that Institution.</w:t>
      </w:r>
    </w:p>
    <w:p w14:paraId="0C422E44" w14:textId="77777777" w:rsidR="00941415" w:rsidRDefault="00941415" w:rsidP="00941415">
      <w:pPr>
        <w:pStyle w:val="TermList"/>
      </w:pPr>
      <w:r w:rsidRPr="009C2402">
        <w:rPr>
          <w:b/>
        </w:rPr>
        <w:t>Trust</w:t>
      </w:r>
      <w:r>
        <w:t xml:space="preserve"> </w:t>
      </w:r>
      <w:r w:rsidRPr="009C2402">
        <w:t>When the SLI identity provider accepts the validity of users logged into a SE</w:t>
      </w:r>
      <w:r>
        <w:t>A/LEA Directory, it is said to T</w:t>
      </w:r>
      <w:r w:rsidRPr="009C2402">
        <w:t xml:space="preserve">rust this </w:t>
      </w:r>
      <w:r>
        <w:t>Di</w:t>
      </w:r>
      <w:r w:rsidRPr="009C2402">
        <w:t>rectory.</w:t>
      </w:r>
    </w:p>
    <w:p w14:paraId="47B811DA" w14:textId="61F5A15F" w:rsidR="00545CDC" w:rsidRDefault="00941415" w:rsidP="00941415">
      <w:pPr>
        <w:pStyle w:val="TermList"/>
      </w:pPr>
      <w:r w:rsidRPr="0099063B">
        <w:rPr>
          <w:b/>
        </w:rPr>
        <w:t>UID</w:t>
      </w:r>
      <w:r>
        <w:t xml:space="preserve"> Unique Identifier</w:t>
      </w:r>
    </w:p>
    <w:p w14:paraId="72940A50" w14:textId="77777777" w:rsidR="007233DA" w:rsidRDefault="007233DA" w:rsidP="00A1298C">
      <w:pPr>
        <w:pStyle w:val="Heading1"/>
      </w:pPr>
      <w:bookmarkStart w:id="17" w:name="_Toc196216245"/>
      <w:bookmarkStart w:id="18" w:name="_Toc324348157"/>
      <w:r>
        <w:t>Directory and Identity Integration</w:t>
      </w:r>
      <w:bookmarkEnd w:id="17"/>
      <w:bookmarkEnd w:id="18"/>
      <w:r>
        <w:t xml:space="preserve"> </w:t>
      </w:r>
    </w:p>
    <w:p w14:paraId="345CA350" w14:textId="77777777" w:rsidR="007233DA" w:rsidRPr="004D2189" w:rsidRDefault="007233DA" w:rsidP="007233DA">
      <w:r>
        <w:t>This section provides a conceptual overview of the directory and identity integration process.</w:t>
      </w:r>
    </w:p>
    <w:p w14:paraId="60F1FE77" w14:textId="77777777" w:rsidR="007233DA" w:rsidRPr="00D51E0D" w:rsidRDefault="007233DA" w:rsidP="00A1298C">
      <w:pPr>
        <w:pStyle w:val="Heading2"/>
      </w:pPr>
      <w:bookmarkStart w:id="19" w:name="_Toc196216246"/>
      <w:bookmarkStart w:id="20" w:name="_Toc324348158"/>
      <w:r w:rsidRPr="00D51E0D">
        <w:t>Overview</w:t>
      </w:r>
      <w:bookmarkEnd w:id="19"/>
      <w:bookmarkEnd w:id="20"/>
    </w:p>
    <w:p w14:paraId="13F073AE" w14:textId="77777777" w:rsidR="00941415" w:rsidRDefault="00941415" w:rsidP="009D2402">
      <w:pPr>
        <w:pStyle w:val="NormalIntro"/>
      </w:pPr>
      <w:r w:rsidRPr="009216CE">
        <w:t xml:space="preserve">In order for </w:t>
      </w:r>
      <w:r>
        <w:t xml:space="preserve">an </w:t>
      </w:r>
      <w:r w:rsidRPr="009216CE">
        <w:t>SEA/LEA to achieve authentication integration and/or Single Sign-On (SSO)</w:t>
      </w:r>
      <w:r>
        <w:t xml:space="preserve"> with SLI</w:t>
      </w:r>
      <w:r w:rsidRPr="009216CE">
        <w:t>, they need to have a Directory (or set of Directories) that stores all of the user identities and roles that will access SLI and govern their permissions within SLI</w:t>
      </w:r>
      <w:r>
        <w:t xml:space="preserve"> (as </w:t>
      </w:r>
      <w:r>
        <w:lastRenderedPageBreak/>
        <w:t>illustrated in Figure 1)</w:t>
      </w:r>
      <w:r w:rsidRPr="009216CE">
        <w:t>.</w:t>
      </w:r>
      <w:r>
        <w:t xml:space="preserve"> </w:t>
      </w:r>
      <w:r w:rsidRPr="009216CE">
        <w:t>This Directory will need to be integrated with SLI and must contain identifiers for each user that map to the identifiers of those users in the SLI data store.</w:t>
      </w:r>
      <w:r>
        <w:t xml:space="preserve"> After</w:t>
      </w:r>
      <w:r w:rsidRPr="009216CE">
        <w:t xml:space="preserve"> </w:t>
      </w:r>
      <w:r>
        <w:t>D</w:t>
      </w:r>
      <w:r w:rsidRPr="009216CE">
        <w:t>irectory integration is established, when end users log in</w:t>
      </w:r>
      <w:r>
        <w:t xml:space="preserve"> </w:t>
      </w:r>
      <w:r w:rsidRPr="009216CE">
        <w:t>to the SLI portal or an</w:t>
      </w:r>
      <w:r>
        <w:t>y</w:t>
      </w:r>
      <w:r w:rsidRPr="009216CE">
        <w:t xml:space="preserve"> SLI application, their identity will be authenticated by the SEA/LEA Directory, not by the SLI system itself.</w:t>
      </w:r>
      <w:r>
        <w:t xml:space="preserve"> </w:t>
      </w:r>
      <w:r w:rsidRPr="009216CE">
        <w:t xml:space="preserve">The SEA/LEA Directory will verify that the username and password credentials </w:t>
      </w:r>
      <w:r>
        <w:t xml:space="preserve">that were </w:t>
      </w:r>
      <w:r w:rsidRPr="009216CE">
        <w:t xml:space="preserve">supplied are valid and </w:t>
      </w:r>
      <w:r>
        <w:t xml:space="preserve">will </w:t>
      </w:r>
      <w:r w:rsidRPr="009216CE">
        <w:t>return this information to SLI for further access control and authorization/auditing purposes.</w:t>
      </w:r>
    </w:p>
    <w:p w14:paraId="3EBC033B" w14:textId="18F541F8" w:rsidR="007233DA" w:rsidRDefault="007233DA" w:rsidP="007233DA"/>
    <w:p w14:paraId="4DD4CCC5" w14:textId="193C8ECA" w:rsidR="007233DA" w:rsidRDefault="00941415" w:rsidP="007233DA">
      <w:pPr>
        <w:keepNext/>
        <w:spacing w:line="360" w:lineRule="atLeast"/>
      </w:pPr>
      <w:r>
        <w:rPr>
          <w:noProof/>
        </w:rPr>
        <w:drawing>
          <wp:inline distT="0" distB="0" distL="0" distR="0" wp14:anchorId="433E9AD9" wp14:editId="44A197B5">
            <wp:extent cx="5486400" cy="289472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94722"/>
                    </a:xfrm>
                    <a:prstGeom prst="rect">
                      <a:avLst/>
                    </a:prstGeom>
                    <a:noFill/>
                    <a:ln>
                      <a:noFill/>
                    </a:ln>
                  </pic:spPr>
                </pic:pic>
              </a:graphicData>
            </a:graphic>
          </wp:inline>
        </w:drawing>
      </w:r>
    </w:p>
    <w:p w14:paraId="77C06F57" w14:textId="77777777" w:rsidR="007233DA" w:rsidRPr="00174231" w:rsidRDefault="007233DA" w:rsidP="007233DA">
      <w:pPr>
        <w:pStyle w:val="Caption"/>
        <w:rPr>
          <w:rFonts w:ascii="Trebuchet MS" w:eastAsia="Times New Roman" w:hAnsi="Trebuchet MS" w:cs="Times New Roman"/>
          <w:color w:val="6E706E"/>
        </w:rPr>
      </w:pPr>
      <w:bookmarkStart w:id="21" w:name="_Toc196213424"/>
      <w:r>
        <w:t xml:space="preserve">Figure </w:t>
      </w:r>
      <w:fldSimple w:instr=" SEQ Figure \* ARABIC ">
        <w:r w:rsidR="00A54FB1">
          <w:rPr>
            <w:noProof/>
          </w:rPr>
          <w:t>1</w:t>
        </w:r>
      </w:fldSimple>
      <w:r>
        <w:t xml:space="preserve"> – Overview Diagram</w:t>
      </w:r>
      <w:bookmarkEnd w:id="21"/>
    </w:p>
    <w:p w14:paraId="2C7C4B47" w14:textId="77777777" w:rsidR="007233DA" w:rsidRDefault="007233DA" w:rsidP="007233DA"/>
    <w:p w14:paraId="111553DC" w14:textId="699E580D" w:rsidR="007233DA" w:rsidRDefault="00941415" w:rsidP="00941415">
      <w:r w:rsidRPr="00174231">
        <w:t xml:space="preserve">It is expected that </w:t>
      </w:r>
      <w:r>
        <w:t>the Alpha R</w:t>
      </w:r>
      <w:r w:rsidRPr="00174231">
        <w:t>elease Institutions will provide one or more Directories that they manage and host</w:t>
      </w:r>
      <w:r>
        <w:t>. H</w:t>
      </w:r>
      <w:r w:rsidRPr="00174231">
        <w:t>owever, future SLI versions may provide an option for SLI to h</w:t>
      </w:r>
      <w:r>
        <w:t>ost a Directory that contains the I</w:t>
      </w:r>
      <w:r w:rsidRPr="00174231">
        <w:t>nstitution’s users. This s</w:t>
      </w:r>
      <w:r>
        <w:t>cenario may be appropriate for I</w:t>
      </w:r>
      <w:r w:rsidRPr="00174231">
        <w:t xml:space="preserve">nstitutions that do not have </w:t>
      </w:r>
      <w:r>
        <w:t>D</w:t>
      </w:r>
      <w:r w:rsidRPr="00174231">
        <w:t>irectory servers that can be easily integrated into the SLI system.</w:t>
      </w:r>
    </w:p>
    <w:p w14:paraId="7A3EDE15" w14:textId="77777777" w:rsidR="007233DA" w:rsidRPr="00BA50B2" w:rsidRDefault="007233DA" w:rsidP="00A1298C">
      <w:pPr>
        <w:pStyle w:val="Heading3"/>
      </w:pPr>
      <w:bookmarkStart w:id="22" w:name="_Toc196216247"/>
      <w:bookmarkStart w:id="23" w:name="_Toc324348159"/>
      <w:r w:rsidRPr="00BA50B2">
        <w:t>Guiding Security Principles</w:t>
      </w:r>
      <w:bookmarkEnd w:id="22"/>
      <w:bookmarkEnd w:id="23"/>
    </w:p>
    <w:p w14:paraId="23AA464B" w14:textId="77777777" w:rsidR="00941415" w:rsidRDefault="00941415" w:rsidP="00941415">
      <w:bookmarkStart w:id="24" w:name="_Toc196216248"/>
      <w:r>
        <w:t xml:space="preserve">Ensuring that only authorized individuals can gain access to the information that they are authorized to view or change is of the upmost importance. Therefore, the following security controls will be strictly enforced by SLI: </w:t>
      </w:r>
    </w:p>
    <w:p w14:paraId="5657629E" w14:textId="77777777" w:rsidR="00941415" w:rsidRDefault="00941415" w:rsidP="00941415">
      <w:pPr>
        <w:pStyle w:val="ListBullet"/>
        <w:spacing w:line="300" w:lineRule="auto"/>
        <w:contextualSpacing/>
      </w:pPr>
      <w:r>
        <w:t>All traffic between the SLI platform and the SEA/LEA directories will be encrypted.</w:t>
      </w:r>
    </w:p>
    <w:p w14:paraId="716F2A27" w14:textId="77777777" w:rsidR="00941415" w:rsidRDefault="00941415" w:rsidP="00941415">
      <w:pPr>
        <w:pStyle w:val="ListBullet"/>
        <w:spacing w:line="300" w:lineRule="auto"/>
        <w:contextualSpacing/>
      </w:pPr>
      <w:r>
        <w:t>All login activities that include the user id and password will be encrypted (SEA/LEA identity providers are largely responsible for this).</w:t>
      </w:r>
    </w:p>
    <w:p w14:paraId="50B10371" w14:textId="77777777" w:rsidR="00941415" w:rsidRDefault="00941415" w:rsidP="00941415">
      <w:pPr>
        <w:pStyle w:val="ListBullet"/>
        <w:spacing w:line="300" w:lineRule="auto"/>
        <w:contextualSpacing/>
      </w:pPr>
      <w:r>
        <w:lastRenderedPageBreak/>
        <w:t>All login activity (both success and failure) will be logged and reviewed (SEA/LEA identity providers are largely responsible for this).</w:t>
      </w:r>
    </w:p>
    <w:p w14:paraId="31DDE7D5" w14:textId="77777777" w:rsidR="00941415" w:rsidRDefault="00941415" w:rsidP="00941415">
      <w:pPr>
        <w:pStyle w:val="ListBullet"/>
        <w:spacing w:line="300" w:lineRule="auto"/>
        <w:contextualSpacing/>
      </w:pPr>
      <w:r>
        <w:t>All failed access attempts to data will be logged for audit purposes and to identify access model issues.</w:t>
      </w:r>
    </w:p>
    <w:p w14:paraId="2913B1CB" w14:textId="77777777" w:rsidR="00941415" w:rsidRDefault="00941415" w:rsidP="00941415">
      <w:pPr>
        <w:pStyle w:val="ListBullet"/>
        <w:spacing w:line="300" w:lineRule="auto"/>
        <w:contextualSpacing/>
      </w:pPr>
      <w:r>
        <w:t>All application and user access to the SLI API will require authentication. No anonymous access will be allowed.</w:t>
      </w:r>
    </w:p>
    <w:p w14:paraId="7398834C" w14:textId="77777777" w:rsidR="00941415" w:rsidRDefault="00941415" w:rsidP="00941415">
      <w:pPr>
        <w:pStyle w:val="ListBullet"/>
        <w:spacing w:line="300" w:lineRule="auto"/>
        <w:contextualSpacing/>
      </w:pPr>
      <w:r>
        <w:t>Controls will be established to ensure that session identification mechanisms will be protected to ensure that a session cannot be compromised.</w:t>
      </w:r>
    </w:p>
    <w:p w14:paraId="5DBFABC6" w14:textId="77777777" w:rsidR="007233DA" w:rsidRPr="00BA4A8C" w:rsidRDefault="007233DA" w:rsidP="00A1298C">
      <w:pPr>
        <w:pStyle w:val="Heading2"/>
      </w:pPr>
      <w:bookmarkStart w:id="25" w:name="_Toc324348160"/>
      <w:r>
        <w:t xml:space="preserve">Federated </w:t>
      </w:r>
      <w:r w:rsidRPr="00BA4A8C">
        <w:t>Directory Integration Strategy</w:t>
      </w:r>
      <w:bookmarkEnd w:id="24"/>
      <w:bookmarkEnd w:id="25"/>
    </w:p>
    <w:p w14:paraId="7C6A324E" w14:textId="77777777" w:rsidR="00D7538C" w:rsidRDefault="00D7538C" w:rsidP="00D7538C">
      <w:r>
        <w:t>SLI will support end-user authentication through Federation. In this approach, the SEA/LEA is responsible for authenticating the end user and managing the authentication credentials. SLI will serve as both a native Service Provider (application that requires authentication) and conduit for other Service Providers (applications) that make use of SLI. SLI will also provide interfaces/standards and suggest business rules and best practices for authentication to authorization mapping. When logging in to SLI, a user is prompted to provide the username and password directly to the SEA/LEA identity provider (the combination of Directory and SSO). This is done by using the SAML 2.0 protocol. The identity provider authenticates that the information is correct, and returns a SAML 2.0 assertion to the service provider (SLI) that indicates that the user supplied the correct credentials. Role information for that user, as well as a state-wide UID, are provided as an attribute of the SAML assertion.</w:t>
      </w:r>
    </w:p>
    <w:p w14:paraId="1AF58F20" w14:textId="2075899E" w:rsidR="00745C98" w:rsidRDefault="00745C98" w:rsidP="007233DA">
      <w:r>
        <w:t>Delegated Authentication will not be implemented for the SLI Alpha release, but will be provided in a future release based on site need.</w:t>
      </w:r>
    </w:p>
    <w:p w14:paraId="06290946" w14:textId="77777777" w:rsidR="00745C98" w:rsidRDefault="00745C98" w:rsidP="007233DA"/>
    <w:p w14:paraId="4267ACA1" w14:textId="77777777" w:rsidR="007233DA" w:rsidRDefault="007233DA" w:rsidP="00A1298C">
      <w:pPr>
        <w:pStyle w:val="Heading2"/>
      </w:pPr>
      <w:bookmarkStart w:id="26" w:name="_Toc196216249"/>
      <w:bookmarkStart w:id="27" w:name="_Toc324348161"/>
      <w:r>
        <w:lastRenderedPageBreak/>
        <w:t>Federated Authentication Design</w:t>
      </w:r>
      <w:bookmarkEnd w:id="26"/>
      <w:bookmarkEnd w:id="27"/>
    </w:p>
    <w:p w14:paraId="1E567A00" w14:textId="19D5D168" w:rsidR="007233DA" w:rsidRDefault="00D7538C" w:rsidP="009D2402">
      <w:pPr>
        <w:pStyle w:val="NormalIntro"/>
      </w:pPr>
      <w:r>
        <w:t>The federation is a group of identity providers that the SLI identity provider trusts. All communication within the circle of Trust is provided by SAML 2.0, which abstracts the idiosyncrasies of individual Directory providers and configurations from the application developer and the SLI API. The Trust relationship is one-way, that is, S/LEA directories will not allow SLI users to log in to S/LEA-specific systems that are not related to SLI.</w:t>
      </w:r>
    </w:p>
    <w:p w14:paraId="76931FD9" w14:textId="77777777" w:rsidR="007233DA" w:rsidRDefault="007233DA" w:rsidP="007233DA">
      <w:pPr>
        <w:keepNext/>
        <w:spacing w:line="360" w:lineRule="atLeast"/>
      </w:pPr>
      <w:r w:rsidRPr="000F6A42">
        <w:rPr>
          <w:rFonts w:ascii="Trebuchet MS" w:eastAsia="Times New Roman" w:hAnsi="Trebuchet MS" w:cs="Times New Roman"/>
          <w:noProof/>
          <w:color w:val="6E706E"/>
          <w:sz w:val="20"/>
          <w:szCs w:val="20"/>
        </w:rPr>
        <w:drawing>
          <wp:inline distT="0" distB="0" distL="0" distR="0" wp14:anchorId="7E406490" wp14:editId="075EF3C2">
            <wp:extent cx="5943600" cy="4881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81880"/>
                    </a:xfrm>
                    <a:prstGeom prst="rect">
                      <a:avLst/>
                    </a:prstGeom>
                    <a:noFill/>
                    <a:ln>
                      <a:noFill/>
                    </a:ln>
                  </pic:spPr>
                </pic:pic>
              </a:graphicData>
            </a:graphic>
          </wp:inline>
        </w:drawing>
      </w:r>
    </w:p>
    <w:p w14:paraId="0539BD79" w14:textId="77777777" w:rsidR="007233DA" w:rsidRDefault="007233DA" w:rsidP="007233DA">
      <w:pPr>
        <w:pStyle w:val="Caption"/>
      </w:pPr>
      <w:bookmarkStart w:id="28" w:name="_Toc196213425"/>
      <w:r>
        <w:t xml:space="preserve">Figure </w:t>
      </w:r>
      <w:fldSimple w:instr=" SEQ Figure \* ARABIC ">
        <w:r w:rsidR="00A54FB1">
          <w:rPr>
            <w:noProof/>
          </w:rPr>
          <w:t>2</w:t>
        </w:r>
      </w:fldSimple>
      <w:r>
        <w:t xml:space="preserve"> – Example of Identity Provider Federation</w:t>
      </w:r>
      <w:bookmarkEnd w:id="28"/>
    </w:p>
    <w:p w14:paraId="13268554" w14:textId="77777777" w:rsidR="007233DA" w:rsidRPr="00D70C5C" w:rsidRDefault="007233DA" w:rsidP="00A1298C">
      <w:pPr>
        <w:pStyle w:val="Heading2"/>
      </w:pPr>
      <w:bookmarkStart w:id="29" w:name="_Toc196216250"/>
      <w:bookmarkStart w:id="30" w:name="_Toc324348162"/>
      <w:r w:rsidRPr="00D70C5C">
        <w:lastRenderedPageBreak/>
        <w:t>Overall Directory Integration Implementation Process</w:t>
      </w:r>
      <w:bookmarkEnd w:id="29"/>
      <w:bookmarkEnd w:id="30"/>
      <w:r w:rsidRPr="00D70C5C">
        <w:t xml:space="preserve"> </w:t>
      </w:r>
    </w:p>
    <w:p w14:paraId="5A62D426" w14:textId="77777777" w:rsidR="001B0683" w:rsidRDefault="001B0683" w:rsidP="000A4042">
      <w:pPr>
        <w:pStyle w:val="NormalIntro"/>
      </w:pPr>
      <w:r>
        <w:t xml:space="preserve">The overall process of setting up SEA/LEA Directory integration involves two main steps: </w:t>
      </w:r>
    </w:p>
    <w:p w14:paraId="1C719A83" w14:textId="77777777" w:rsidR="001B0683" w:rsidRDefault="001B0683" w:rsidP="001B0683">
      <w:pPr>
        <w:pStyle w:val="ListBullet"/>
        <w:spacing w:line="300" w:lineRule="auto"/>
        <w:contextualSpacing/>
      </w:pPr>
      <w:r>
        <w:t>Provisioning and validating the SEA/LEA Directory and Identity Provider with which SLI will integrate</w:t>
      </w:r>
    </w:p>
    <w:p w14:paraId="4D414BDC" w14:textId="77777777" w:rsidR="001B0683" w:rsidRDefault="001B0683" w:rsidP="001B0683">
      <w:pPr>
        <w:pStyle w:val="ListBullet"/>
        <w:spacing w:line="300" w:lineRule="auto"/>
        <w:contextualSpacing/>
      </w:pPr>
      <w:r>
        <w:t>Mapping student information systems data to data entities within the SLI data store that have been ingested through the data integration process</w:t>
      </w:r>
    </w:p>
    <w:p w14:paraId="000A912A" w14:textId="5D082092" w:rsidR="007233DA" w:rsidRDefault="001B0683" w:rsidP="001B0683">
      <w:r>
        <w:t xml:space="preserve">For the Federated approach, these steps are described in greater detail through an example below. For information about the process of ingesting data, see </w:t>
      </w:r>
      <w:r w:rsidRPr="000F6A42">
        <w:rPr>
          <w:i/>
        </w:rPr>
        <w:t>SLI Data Ingestion Specification</w:t>
      </w:r>
      <w:r>
        <w:t>.</w:t>
      </w:r>
    </w:p>
    <w:p w14:paraId="306F9F4C" w14:textId="77777777" w:rsidR="007233DA" w:rsidRDefault="007233DA" w:rsidP="00A1298C">
      <w:pPr>
        <w:pStyle w:val="Heading2"/>
      </w:pPr>
      <w:bookmarkStart w:id="31" w:name="_Toc196216251"/>
      <w:bookmarkStart w:id="32" w:name="_Toc324348163"/>
      <w:r w:rsidRPr="00E04F66">
        <w:t xml:space="preserve">SEA/LEA </w:t>
      </w:r>
      <w:r>
        <w:t>D</w:t>
      </w:r>
      <w:r w:rsidRPr="00E04F66">
        <w:t>irectory information requirements</w:t>
      </w:r>
      <w:bookmarkEnd w:id="31"/>
      <w:bookmarkEnd w:id="32"/>
    </w:p>
    <w:p w14:paraId="453EF270" w14:textId="77777777" w:rsidR="007233DA" w:rsidRPr="004D2189" w:rsidRDefault="007233DA" w:rsidP="007233DA">
      <w:r>
        <w:t>This section describes requirements and processes for setting up an SEA/LEA Directory.</w:t>
      </w:r>
    </w:p>
    <w:p w14:paraId="1AE79346" w14:textId="77777777" w:rsidR="007233DA" w:rsidRDefault="007233DA" w:rsidP="00CA2F87">
      <w:pPr>
        <w:pStyle w:val="Heading4"/>
      </w:pPr>
      <w:r w:rsidRPr="003D5868">
        <w:t>State-wide UID</w:t>
      </w:r>
    </w:p>
    <w:p w14:paraId="41099D13" w14:textId="6FC425AD" w:rsidR="007233DA" w:rsidRDefault="007233DA" w:rsidP="007233DA">
      <w:r>
        <w:t>SLI's authorization process requires that each user is uniquely identified within the system so that SLI can identify all of the entities associated with the user (students, assessments, and so forth) within the SLI data store. At login time, SLI is only aware of the user's realm, for exampl</w:t>
      </w:r>
      <w:r w:rsidR="00CC54FA">
        <w:t>e, State1 or State2 &gt; District6.</w:t>
      </w:r>
      <w:r>
        <w:t xml:space="preserve"> Thus, a state-wide UID enables SLI to achieve uniqueness of users across SLI by concatenating the user’s realm and state-wide UID.</w:t>
      </w:r>
    </w:p>
    <w:p w14:paraId="28DBC808" w14:textId="77777777" w:rsidR="007233DA" w:rsidRDefault="007233DA" w:rsidP="00CA2F87">
      <w:pPr>
        <w:pStyle w:val="Heading4"/>
      </w:pPr>
      <w:r w:rsidRPr="003D5868">
        <w:t>SEA/LEA user role</w:t>
      </w:r>
    </w:p>
    <w:p w14:paraId="0708D012" w14:textId="77777777" w:rsidR="00CC54FA" w:rsidRDefault="00CC54FA" w:rsidP="00CC54FA">
      <w:bookmarkStart w:id="33" w:name="_Toc196216252"/>
      <w:r>
        <w:t xml:space="preserve">For SLI to apply appropriate filtering/permissions on the associated entities, SEA/LEA directories need to provide the user’s role info. This role info will be mapped to one of the default SLI roles (Aggregate Viewer, Educator, Leader and IT Administrator). Default SLI roles and permissions are described in more details in Section </w:t>
      </w:r>
      <w:r>
        <w:fldChar w:fldCharType="begin"/>
      </w:r>
      <w:r>
        <w:instrText xml:space="preserve"> REF _Ref185611222 \r \h </w:instrText>
      </w:r>
      <w:r>
        <w:fldChar w:fldCharType="separate"/>
      </w:r>
      <w:r w:rsidR="00A54FB1">
        <w:t>4</w:t>
      </w:r>
      <w:r>
        <w:fldChar w:fldCharType="end"/>
      </w:r>
      <w:r>
        <w:t>.</w:t>
      </w:r>
    </w:p>
    <w:p w14:paraId="11D41120" w14:textId="77777777" w:rsidR="007233DA" w:rsidRPr="00857A0E" w:rsidRDefault="007233DA" w:rsidP="00CA2F87">
      <w:pPr>
        <w:pStyle w:val="Heading4"/>
      </w:pPr>
      <w:r w:rsidRPr="00857A0E">
        <w:t>S</w:t>
      </w:r>
      <w:r>
        <w:t xml:space="preserve">etting up federated authentication for </w:t>
      </w:r>
      <w:r w:rsidRPr="00857A0E">
        <w:t>SEA/LEA</w:t>
      </w:r>
      <w:bookmarkEnd w:id="33"/>
    </w:p>
    <w:p w14:paraId="0FA1B791" w14:textId="77777777" w:rsidR="007233DA" w:rsidRPr="00610EF6" w:rsidRDefault="007233DA" w:rsidP="000A4042">
      <w:pPr>
        <w:pStyle w:val="NormalIntro"/>
      </w:pPr>
      <w:r>
        <w:t>To set up a federated authentication for a SEA/LEA, follow these general guidelines:</w:t>
      </w:r>
    </w:p>
    <w:p w14:paraId="4A0BFF54" w14:textId="77777777" w:rsidR="007233DA" w:rsidRDefault="007233DA" w:rsidP="007233DA">
      <w:pPr>
        <w:pStyle w:val="ListNumber"/>
      </w:pPr>
      <w:r>
        <w:t xml:space="preserve">Set up the Identity Provider for SEA/LEA: </w:t>
      </w:r>
    </w:p>
    <w:p w14:paraId="494F288F" w14:textId="77777777" w:rsidR="007233DA" w:rsidRDefault="007233DA" w:rsidP="007233DA">
      <w:pPr>
        <w:pStyle w:val="ListNumber2"/>
      </w:pPr>
      <w:r>
        <w:t>Verify that the pilot SEA/LEA already has a SAML 2.0 "ready" Directory service, such as Active Directory.</w:t>
      </w:r>
    </w:p>
    <w:p w14:paraId="7CD3D721" w14:textId="77777777" w:rsidR="007233DA" w:rsidRDefault="007233DA" w:rsidP="007233DA">
      <w:pPr>
        <w:pStyle w:val="ListNumber2"/>
      </w:pPr>
      <w:r>
        <w:t xml:space="preserve">Install and configure SAML 2.0 Federation. </w:t>
      </w:r>
    </w:p>
    <w:p w14:paraId="65F0FD61" w14:textId="77777777" w:rsidR="007233DA" w:rsidRDefault="007233DA" w:rsidP="007233DA">
      <w:pPr>
        <w:pStyle w:val="ListContinue2"/>
      </w:pPr>
      <w:r>
        <w:t xml:space="preserve">In an Active Directory environment, this may be done with Active Directory Federation Services (ADFS). Any other SAML 2.0 based SSO solution, such as CA SiteMinder or OpenAM, may also be used. </w:t>
      </w:r>
    </w:p>
    <w:p w14:paraId="69355DC2" w14:textId="77777777" w:rsidR="007233DA" w:rsidRDefault="007233DA" w:rsidP="007233DA">
      <w:pPr>
        <w:pStyle w:val="ListNumber2"/>
      </w:pPr>
      <w:r>
        <w:lastRenderedPageBreak/>
        <w:t xml:space="preserve">Enable the SLI and the SEA/LEA Identity Provider to communicate securely. </w:t>
      </w:r>
    </w:p>
    <w:p w14:paraId="3F5ACE6B" w14:textId="77777777" w:rsidR="007233DA" w:rsidRDefault="007233DA" w:rsidP="007233DA">
      <w:pPr>
        <w:pStyle w:val="ListContinue2"/>
      </w:pPr>
      <w:r>
        <w:t>Note that it is necessary to configure firewall setting at the SEA/LEA to allow the SLI Identity Service to access the Identity Provider server URL. All network traffic in this example is performed over HTTPS.</w:t>
      </w:r>
    </w:p>
    <w:p w14:paraId="19ADAAC7" w14:textId="77777777" w:rsidR="007233DA" w:rsidRDefault="007233DA" w:rsidP="007233DA">
      <w:pPr>
        <w:pStyle w:val="ListNumber"/>
      </w:pPr>
      <w:r>
        <w:t>Configure Federation</w:t>
      </w:r>
    </w:p>
    <w:p w14:paraId="367D47D8" w14:textId="77777777" w:rsidR="007233DA" w:rsidRDefault="007233DA" w:rsidP="007233DA">
      <w:pPr>
        <w:pStyle w:val="ListNumber2"/>
        <w:numPr>
          <w:ilvl w:val="0"/>
          <w:numId w:val="8"/>
        </w:numPr>
      </w:pPr>
      <w:r>
        <w:t>Configure the SEA/LEA SAML 2.0 Identity Provider to enable Trust from SLI.</w:t>
      </w:r>
    </w:p>
    <w:p w14:paraId="7F3A021B" w14:textId="2B5535EC" w:rsidR="007233DA" w:rsidRDefault="007233DA" w:rsidP="007233DA">
      <w:pPr>
        <w:pStyle w:val="ListNumber2"/>
      </w:pPr>
      <w:r>
        <w:t>Configure the SAML 2.0 Identity Provider to include th</w:t>
      </w:r>
      <w:r w:rsidR="00E27D93">
        <w:t xml:space="preserve">e </w:t>
      </w:r>
      <w:r w:rsidR="008F4AA0">
        <w:t xml:space="preserve">following </w:t>
      </w:r>
      <w:r w:rsidR="00E27D93">
        <w:t xml:space="preserve">required </w:t>
      </w:r>
      <w:r w:rsidR="00BF1C5D">
        <w:t xml:space="preserve">user </w:t>
      </w:r>
      <w:r w:rsidR="00E27D93">
        <w:t xml:space="preserve">attributes in </w:t>
      </w:r>
      <w:r>
        <w:t>SAML assertion</w:t>
      </w:r>
      <w:r w:rsidR="00E27D93">
        <w:t xml:space="preserve"> response</w:t>
      </w:r>
      <w:r w:rsidR="008F4AA0">
        <w:t>s</w:t>
      </w:r>
      <w:r w:rsidR="00E27D93">
        <w:t xml:space="preserve">. </w:t>
      </w:r>
    </w:p>
    <w:p w14:paraId="6F6FC170" w14:textId="77777777" w:rsidR="007233DA" w:rsidRDefault="007233DA" w:rsidP="007233DA">
      <w:pPr>
        <w:pStyle w:val="ListBullet3"/>
      </w:pPr>
      <w:r>
        <w:t>username – User’s full name</w:t>
      </w:r>
    </w:p>
    <w:p w14:paraId="2D5CDACD" w14:textId="19B0B56B" w:rsidR="007233DA" w:rsidRDefault="007233DA" w:rsidP="007233DA">
      <w:pPr>
        <w:pStyle w:val="ListBullet3"/>
      </w:pPr>
      <w:r>
        <w:t xml:space="preserve">userid – </w:t>
      </w:r>
      <w:r w:rsidR="003359EC">
        <w:rPr>
          <w:rStyle w:val="AttributeName"/>
        </w:rPr>
        <w:t>S</w:t>
      </w:r>
      <w:r w:rsidRPr="009D2402">
        <w:rPr>
          <w:rStyle w:val="AttributeName"/>
        </w:rPr>
        <w:t>taffUniqueStateId</w:t>
      </w:r>
      <w:r>
        <w:t xml:space="preserve"> in </w:t>
      </w:r>
      <w:r w:rsidR="00ED3C3B">
        <w:t xml:space="preserve">Ed-Fi </w:t>
      </w:r>
      <w:r>
        <w:t>Student Interchange</w:t>
      </w:r>
    </w:p>
    <w:p w14:paraId="5E42C0B7" w14:textId="2B2C8418" w:rsidR="007233DA" w:rsidRDefault="007233DA" w:rsidP="007233DA">
      <w:pPr>
        <w:pStyle w:val="ListBullet3"/>
      </w:pPr>
      <w:r>
        <w:t xml:space="preserve">roles – </w:t>
      </w:r>
      <w:r w:rsidR="00BF1C5D">
        <w:t>R</w:t>
      </w:r>
      <w:r w:rsidR="0077390F">
        <w:t xml:space="preserve">oles or </w:t>
      </w:r>
      <w:r>
        <w:t>group memberships</w:t>
      </w:r>
      <w:r w:rsidR="0077390F">
        <w:t xml:space="preserve"> </w:t>
      </w:r>
      <w:r>
        <w:t>that the user has</w:t>
      </w:r>
    </w:p>
    <w:p w14:paraId="3C4ADA63" w14:textId="71BB86FE" w:rsidR="00143A00" w:rsidRDefault="00143A00" w:rsidP="009D2402">
      <w:pPr>
        <w:pStyle w:val="ListContinue2"/>
      </w:pPr>
      <w:r>
        <w:t xml:space="preserve">To see a SAML assertion response in XML, refer to section </w:t>
      </w:r>
      <w:r w:rsidR="00683ECE">
        <w:fldChar w:fldCharType="begin"/>
      </w:r>
      <w:r w:rsidR="00683ECE">
        <w:instrText xml:space="preserve"> REF _Ref324343528 \w </w:instrText>
      </w:r>
      <w:r w:rsidR="00683ECE">
        <w:fldChar w:fldCharType="separate"/>
      </w:r>
      <w:r>
        <w:t>3.6</w:t>
      </w:r>
      <w:r w:rsidR="00683ECE">
        <w:fldChar w:fldCharType="end"/>
      </w:r>
      <w:r>
        <w:t>, “</w:t>
      </w:r>
      <w:hyperlink w:anchor="_Example_SAML_Response" w:history="1">
        <w:r w:rsidRPr="00214F6A">
          <w:rPr>
            <w:rStyle w:val="Hyperlink"/>
          </w:rPr>
          <w:t>Example SAML Response from ADFS  to SLI SP</w:t>
        </w:r>
      </w:hyperlink>
      <w:r>
        <w:t>”.</w:t>
      </w:r>
    </w:p>
    <w:p w14:paraId="41E808F1" w14:textId="06AFF2CF" w:rsidR="007233DA" w:rsidRDefault="007233DA" w:rsidP="007233DA">
      <w:pPr>
        <w:pStyle w:val="ListNumber2"/>
      </w:pPr>
      <w:r>
        <w:t xml:space="preserve">Within </w:t>
      </w:r>
      <w:r w:rsidR="00E27D93">
        <w:t xml:space="preserve">the </w:t>
      </w:r>
      <w:r>
        <w:t>SLI</w:t>
      </w:r>
      <w:r w:rsidR="00E27D93">
        <w:t xml:space="preserve"> Administrator Tool for Realm Management</w:t>
      </w:r>
      <w:r>
        <w:t xml:space="preserve">, configure </w:t>
      </w:r>
      <w:r w:rsidR="00E27D93">
        <w:t xml:space="preserve">a Realm which requires </w:t>
      </w:r>
      <w:r>
        <w:t xml:space="preserve">the SAML 2.0 </w:t>
      </w:r>
      <w:r w:rsidR="00E27D93">
        <w:t xml:space="preserve">SEA/LEAD organizations Identity Provider identifier and </w:t>
      </w:r>
      <w:r>
        <w:t xml:space="preserve">end point </w:t>
      </w:r>
      <w:r w:rsidR="00E27D93">
        <w:t>URL</w:t>
      </w:r>
      <w:r>
        <w:t>.</w:t>
      </w:r>
    </w:p>
    <w:p w14:paraId="467A876E" w14:textId="77777777" w:rsidR="007233DA" w:rsidRDefault="007233DA" w:rsidP="007233DA">
      <w:pPr>
        <w:pStyle w:val="ListNumber"/>
      </w:pPr>
      <w:r>
        <w:t>Map Roles</w:t>
      </w:r>
    </w:p>
    <w:p w14:paraId="65AA624C" w14:textId="77777777" w:rsidR="007233DA" w:rsidRDefault="007233DA" w:rsidP="007233DA">
      <w:pPr>
        <w:pStyle w:val="ListNumber2"/>
        <w:numPr>
          <w:ilvl w:val="0"/>
          <w:numId w:val="9"/>
        </w:numPr>
      </w:pPr>
      <w:r>
        <w:t>Use the SLI Role Mapping tool to map incoming role list entries from the IDP to the corresponding default SLI Roles</w:t>
      </w:r>
    </w:p>
    <w:p w14:paraId="5489E78F" w14:textId="77777777" w:rsidR="007233DA" w:rsidRDefault="007233DA" w:rsidP="007233DA">
      <w:pPr>
        <w:pStyle w:val="ListNumber"/>
      </w:pPr>
      <w:r>
        <w:t xml:space="preserve">Map SLI Entities </w:t>
      </w:r>
    </w:p>
    <w:p w14:paraId="49852CA5" w14:textId="77777777" w:rsidR="007233DA" w:rsidRDefault="007233DA" w:rsidP="007233DA">
      <w:pPr>
        <w:pStyle w:val="ListNumber2"/>
        <w:numPr>
          <w:ilvl w:val="0"/>
          <w:numId w:val="10"/>
        </w:numPr>
      </w:pPr>
      <w:r>
        <w:t>Ensure entity IDs (for example, Staff ID) within the SLI core entity data store (or data to be ingested) map to attributes within the Directory record.</w:t>
      </w:r>
    </w:p>
    <w:p w14:paraId="150E8BAA" w14:textId="7389B4CC" w:rsidR="007233DA" w:rsidRDefault="007233DA" w:rsidP="007233DA">
      <w:pPr>
        <w:pStyle w:val="ListNumber2"/>
      </w:pPr>
      <w:r>
        <w:t>Initiate the SLI data ingestion process to</w:t>
      </w:r>
      <w:r w:rsidR="00380FB6">
        <w:t xml:space="preserve"> which will include the</w:t>
      </w:r>
      <w:r>
        <w:t xml:space="preserve"> ingest</w:t>
      </w:r>
      <w:r w:rsidR="00380FB6">
        <w:t>ion of</w:t>
      </w:r>
      <w:r>
        <w:t xml:space="preserve"> </w:t>
      </w:r>
      <w:r w:rsidR="00380FB6">
        <w:t xml:space="preserve">staff and teacher users  that will map to users in the IDP via the </w:t>
      </w:r>
      <w:r w:rsidR="00380FB6" w:rsidRPr="009D2402">
        <w:rPr>
          <w:rStyle w:val="AttributeName"/>
        </w:rPr>
        <w:t>staffUniqueStateId</w:t>
      </w:r>
    </w:p>
    <w:p w14:paraId="6A10A470" w14:textId="77777777" w:rsidR="007233DA" w:rsidRPr="002D733C" w:rsidRDefault="007233DA" w:rsidP="00A1298C">
      <w:pPr>
        <w:pStyle w:val="Heading2"/>
      </w:pPr>
      <w:bookmarkStart w:id="34" w:name="_Toc196216253"/>
      <w:bookmarkStart w:id="35" w:name="_Ref324341506"/>
      <w:bookmarkStart w:id="36" w:name="_Ref324343492"/>
      <w:bookmarkStart w:id="37" w:name="_Ref324343528"/>
      <w:bookmarkStart w:id="38" w:name="_Toc324348164"/>
      <w:r w:rsidRPr="002D733C">
        <w:t>Federated Application Authentication Flow</w:t>
      </w:r>
      <w:bookmarkEnd w:id="34"/>
      <w:bookmarkEnd w:id="35"/>
      <w:bookmarkEnd w:id="36"/>
      <w:bookmarkEnd w:id="37"/>
      <w:bookmarkEnd w:id="38"/>
    </w:p>
    <w:p w14:paraId="57B567A9" w14:textId="77777777" w:rsidR="0077390F" w:rsidRDefault="007233DA" w:rsidP="00D0488D">
      <w:r>
        <w:t xml:space="preserve">Applications that use the SLI API must use the SLI’s OAuth 2.0 implementation to access the SLI. </w:t>
      </w:r>
      <w:r w:rsidR="00D0488D">
        <w:t xml:space="preserve">OAuth 2.0 is used to authenticate the application and to allow </w:t>
      </w:r>
      <w:r w:rsidR="007F3D76">
        <w:t xml:space="preserve">the SLI API to </w:t>
      </w:r>
      <w:r w:rsidR="00D0488D">
        <w:t>au</w:t>
      </w:r>
      <w:r w:rsidR="007F3D76">
        <w:t>thenticate</w:t>
      </w:r>
      <w:r w:rsidR="00D0488D">
        <w:t xml:space="preserve"> the user</w:t>
      </w:r>
      <w:r w:rsidR="007F3D76">
        <w:t xml:space="preserve"> for the application</w:t>
      </w:r>
      <w:r w:rsidR="00D0488D">
        <w:t>.</w:t>
      </w:r>
      <w:r w:rsidR="0077390F">
        <w:t xml:space="preserve"> In the diagram below steps 1, 5 and 6 are all part of the OAuth process and are discussed in more depth in the developer guide.</w:t>
      </w:r>
    </w:p>
    <w:p w14:paraId="1B8158EC" w14:textId="4C36DE07" w:rsidR="007233DA" w:rsidRDefault="0077390F" w:rsidP="00D0488D">
      <w:r>
        <w:t>A</w:t>
      </w:r>
      <w:r w:rsidR="00D0488D">
        <w:t>uthentication</w:t>
      </w:r>
      <w:r>
        <w:t xml:space="preserve"> of the user</w:t>
      </w:r>
      <w:r w:rsidR="00D0488D">
        <w:t xml:space="preserve"> is done with</w:t>
      </w:r>
      <w:r w:rsidR="007233DA">
        <w:t xml:space="preserve"> Single Sign-On (SSO) identity integration with SEA and LEA </w:t>
      </w:r>
      <w:r w:rsidR="007F3D76">
        <w:t>Identity Provider</w:t>
      </w:r>
      <w:r w:rsidR="007233DA">
        <w:t>.</w:t>
      </w:r>
      <w:r w:rsidR="00D0488D">
        <w:t xml:space="preserve"> The SLI API takes care of </w:t>
      </w:r>
      <w:r w:rsidR="007F3D76">
        <w:t>interacting with the SEA LEA IDP, t</w:t>
      </w:r>
      <w:r w:rsidR="007233DA">
        <w:t xml:space="preserve">his frees the application developer from the complexities of </w:t>
      </w:r>
      <w:r w:rsidR="007F3D76">
        <w:t>SAML integration</w:t>
      </w:r>
      <w:r w:rsidR="007233DA">
        <w:t>.</w:t>
      </w:r>
    </w:p>
    <w:p w14:paraId="5D82E3AF" w14:textId="1799B39C" w:rsidR="007233DA" w:rsidRDefault="007233DA" w:rsidP="007233DA">
      <w:r>
        <w:t>The SAML request sent</w:t>
      </w:r>
      <w:r w:rsidR="007F3D76">
        <w:t xml:space="preserve"> to the SEA and LEA IDP</w:t>
      </w:r>
      <w:r w:rsidR="0077390F">
        <w:t xml:space="preserve"> (step 3 in the diagram below)</w:t>
      </w:r>
      <w:r>
        <w:t xml:space="preserve"> includes the “ForceAuth” </w:t>
      </w:r>
      <w:r w:rsidR="007F3D76">
        <w:t xml:space="preserve">attribute. This attribute determines whether the user must authenticate even if an existing session exists in the IDP. The SLI API sets this value to true if the user has no existing SLI session. If the user opens another SLI Application and has a </w:t>
      </w:r>
      <w:r w:rsidR="007F3D76">
        <w:lastRenderedPageBreak/>
        <w:t>valid SLI session already then the SLI API still sends the SAML assertion to the SEA or LEA IDP to authenticate but the ForceAuth attribute is set to false. The SEA or LEA IDP can then decide whether the user needs to authenticate again or not.</w:t>
      </w:r>
    </w:p>
    <w:p w14:paraId="01659150" w14:textId="5DE89BB9" w:rsidR="007233DA" w:rsidRDefault="007233DA" w:rsidP="007233DA">
      <w:r>
        <w:t xml:space="preserve">After successful authentication </w:t>
      </w:r>
      <w:r w:rsidR="007F3D76">
        <w:t>at the SEA or LEA IDP, the IDP returns the required attributes about a user in the SAML response (userId, username, roles)</w:t>
      </w:r>
      <w:r w:rsidR="0077390F">
        <w:t xml:space="preserve"> (step 4 in the diagram below)</w:t>
      </w:r>
      <w:r w:rsidR="007F3D76">
        <w:t>. A single session is then created in the SLI API for that user using that application</w:t>
      </w:r>
      <w:r>
        <w:t xml:space="preserve">. </w:t>
      </w:r>
    </w:p>
    <w:p w14:paraId="30844A48" w14:textId="333ADA5C" w:rsidR="007233DA" w:rsidRDefault="007233DA" w:rsidP="007233DA">
      <w:r>
        <w:t xml:space="preserve">If the user starts a different </w:t>
      </w:r>
      <w:r w:rsidR="00380FB6">
        <w:t xml:space="preserve">SLI </w:t>
      </w:r>
      <w:r>
        <w:t xml:space="preserve">application while an existing </w:t>
      </w:r>
      <w:r w:rsidR="00380FB6">
        <w:t xml:space="preserve">SLI </w:t>
      </w:r>
      <w:r>
        <w:t xml:space="preserve">session exists, the SLI </w:t>
      </w:r>
      <w:r w:rsidR="002C117E">
        <w:t>API</w:t>
      </w:r>
      <w:r w:rsidR="00380FB6">
        <w:t xml:space="preserve"> </w:t>
      </w:r>
      <w:r>
        <w:t xml:space="preserve">will </w:t>
      </w:r>
      <w:r w:rsidR="002C117E">
        <w:t>still send the user to their IDP to authenticate. SLI API sessions are for one user using one application. Whether the user has to authenticate with their IDP or not depends on the configuration of the IDP, specifically the session timeout.</w:t>
      </w:r>
    </w:p>
    <w:p w14:paraId="5E228A0B" w14:textId="73D7DC74" w:rsidR="007233DA" w:rsidRDefault="00AE35C5" w:rsidP="007233DA">
      <w:pPr>
        <w:keepNext/>
        <w:spacing w:line="360" w:lineRule="atLeast"/>
      </w:pPr>
      <w:r>
        <w:rPr>
          <w:noProof/>
        </w:rPr>
        <w:drawing>
          <wp:inline distT="0" distB="0" distL="0" distR="0" wp14:anchorId="29C38D2D" wp14:editId="6C8F611C">
            <wp:extent cx="5486400" cy="316200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_-_application_redirect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62009"/>
                    </a:xfrm>
                    <a:prstGeom prst="rect">
                      <a:avLst/>
                    </a:prstGeom>
                  </pic:spPr>
                </pic:pic>
              </a:graphicData>
            </a:graphic>
          </wp:inline>
        </w:drawing>
      </w:r>
    </w:p>
    <w:p w14:paraId="6E169DD3" w14:textId="77777777" w:rsidR="007233DA" w:rsidRPr="002D764F" w:rsidRDefault="007233DA" w:rsidP="007233DA">
      <w:pPr>
        <w:pStyle w:val="Caption"/>
        <w:rPr>
          <w:rFonts w:ascii="Trebuchet MS" w:eastAsia="Times New Roman" w:hAnsi="Trebuchet MS" w:cs="Times New Roman"/>
          <w:color w:val="6E706E"/>
        </w:rPr>
      </w:pPr>
      <w:bookmarkStart w:id="39" w:name="_Toc196213426"/>
      <w:r>
        <w:t xml:space="preserve">Figure </w:t>
      </w:r>
      <w:fldSimple w:instr=" SEQ Figure \* ARABIC ">
        <w:r w:rsidR="00A54FB1">
          <w:rPr>
            <w:noProof/>
          </w:rPr>
          <w:t>3</w:t>
        </w:r>
      </w:fldSimple>
      <w:r>
        <w:t xml:space="preserve"> – Application Authentication Flow</w:t>
      </w:r>
      <w:bookmarkEnd w:id="39"/>
    </w:p>
    <w:p w14:paraId="74B1974B" w14:textId="77777777" w:rsidR="007233DA" w:rsidRDefault="007233DA" w:rsidP="00CA2F87">
      <w:pPr>
        <w:pStyle w:val="Heading4"/>
      </w:pPr>
      <w:r>
        <w:t>Metadata URL</w:t>
      </w:r>
    </w:p>
    <w:p w14:paraId="5C060AF6" w14:textId="3B313099" w:rsidR="007233DA" w:rsidRDefault="007233DA" w:rsidP="009D2402">
      <w:pPr>
        <w:pStyle w:val="NormalIntro"/>
        <w:rPr>
          <w:shd w:val="clear" w:color="auto" w:fill="FFFFFF"/>
        </w:rPr>
      </w:pPr>
      <w:r>
        <w:t xml:space="preserve">The metadata URL can be used to retrieve the SAML metadata for the SLI Service Provider. </w:t>
      </w:r>
      <w:r w:rsidR="00380FB6">
        <w:t xml:space="preserve">Some IDP’s can be configured using this URL. In some cases the IDP may call this URL at some interval to check if metadata about the Service Provider has changed. </w:t>
      </w:r>
      <w:r>
        <w:t xml:space="preserve">The URL will be </w:t>
      </w:r>
      <w:r w:rsidRPr="00D8204D">
        <w:rPr>
          <w:rStyle w:val="CodeInline"/>
        </w:rPr>
        <w:t>$BASE_URL$/api/rest/saml/metadata</w:t>
      </w:r>
      <w:r>
        <w:rPr>
          <w:shd w:val="clear" w:color="auto" w:fill="FFFFFF"/>
        </w:rPr>
        <w:t>. Here is an example of a response from this call:</w:t>
      </w:r>
    </w:p>
    <w:p w14:paraId="6EDF5CCD" w14:textId="77777777" w:rsidR="007233DA" w:rsidRPr="00EC006D" w:rsidRDefault="007233DA" w:rsidP="007233DA">
      <w:pPr>
        <w:pStyle w:val="CodeExample"/>
        <w:rPr>
          <w:rFonts w:ascii="Consolas" w:hAnsi="Consolas" w:cs="Times New Roman"/>
        </w:rPr>
      </w:pPr>
      <w:r w:rsidRPr="00EC006D">
        <w:t>EntityDescriptor xmlns="urn:oasis:names:tc:SAML:2.0:metadata"</w:t>
      </w:r>
    </w:p>
    <w:p w14:paraId="09F811B9" w14:textId="77777777" w:rsidR="007233DA" w:rsidRPr="00EC006D" w:rsidRDefault="007233DA" w:rsidP="007233DA">
      <w:pPr>
        <w:pStyle w:val="CodeExample"/>
        <w:rPr>
          <w:rFonts w:ascii="Consolas" w:hAnsi="Consolas" w:cs="Times New Roman"/>
        </w:rPr>
      </w:pPr>
      <w:r>
        <w:t xml:space="preserve">  </w:t>
      </w:r>
      <w:r w:rsidRPr="00EC006D">
        <w:t>entityID="&gt;</w:t>
      </w:r>
    </w:p>
    <w:p w14:paraId="0CCC9364" w14:textId="77777777" w:rsidR="007233DA" w:rsidRPr="00EC006D" w:rsidRDefault="007233DA" w:rsidP="007233DA">
      <w:pPr>
        <w:pStyle w:val="CodeExample"/>
        <w:rPr>
          <w:rFonts w:ascii="Consolas" w:hAnsi="Consolas" w:cs="Times New Roman"/>
        </w:rPr>
      </w:pPr>
      <w:r>
        <w:t xml:space="preserve">  </w:t>
      </w:r>
      <w:r w:rsidRPr="00EC006D">
        <w:t>&lt;SPSSODescriptor AuthnRequestsSigned="false"</w:t>
      </w:r>
    </w:p>
    <w:p w14:paraId="1F3F2B1D" w14:textId="77777777" w:rsidR="007233DA" w:rsidRPr="00EC006D" w:rsidRDefault="007233DA" w:rsidP="007233DA">
      <w:pPr>
        <w:pStyle w:val="CodeExample"/>
        <w:rPr>
          <w:rFonts w:ascii="Consolas" w:hAnsi="Consolas" w:cs="Times New Roman"/>
        </w:rPr>
      </w:pPr>
      <w:r>
        <w:t xml:space="preserve">    </w:t>
      </w:r>
      <w:r w:rsidRPr="00EC006D">
        <w:t>WantAssertionsSigned="false"</w:t>
      </w:r>
      <w:r w:rsidRPr="00EC006D">
        <w:rPr>
          <w:rFonts w:ascii="Consolas" w:hAnsi="Consolas" w:cs="Times New Roman"/>
        </w:rPr>
        <w:t xml:space="preserve"> </w:t>
      </w:r>
      <w:r w:rsidRPr="00EC006D">
        <w:t>protocolSupportEnumeration="urn:oasis:names:tc:SAML:2.0:protocol"&gt;</w:t>
      </w:r>
    </w:p>
    <w:p w14:paraId="5565AB76" w14:textId="77777777" w:rsidR="007233DA" w:rsidRPr="00EC006D" w:rsidRDefault="007233DA" w:rsidP="007233DA">
      <w:pPr>
        <w:pStyle w:val="CodeExample"/>
        <w:rPr>
          <w:rFonts w:ascii="Consolas" w:hAnsi="Consolas" w:cs="Times New Roman"/>
        </w:rPr>
      </w:pPr>
      <w:r>
        <w:t xml:space="preserve">    </w:t>
      </w:r>
      <w:r w:rsidRPr="00EC006D">
        <w:t>&lt;SingleLogoutService</w:t>
      </w:r>
    </w:p>
    <w:p w14:paraId="386FA2FD" w14:textId="77777777" w:rsidR="007233DA" w:rsidRPr="00EC006D" w:rsidRDefault="007233DA" w:rsidP="007233DA">
      <w:pPr>
        <w:pStyle w:val="CodeExample"/>
        <w:rPr>
          <w:rFonts w:ascii="Consolas" w:hAnsi="Consolas" w:cs="Times New Roman"/>
        </w:rPr>
      </w:pPr>
      <w:r>
        <w:lastRenderedPageBreak/>
        <w:t xml:space="preserve">      </w:t>
      </w:r>
      <w:r w:rsidRPr="00EC006D">
        <w:t>Binding="urn:oasis:names:tc:SAML:2.0:bindings:HTTP-Redirect"</w:t>
      </w:r>
    </w:p>
    <w:p w14:paraId="2DCC8493" w14:textId="77777777" w:rsidR="007233DA" w:rsidRPr="00EC006D" w:rsidRDefault="007233DA" w:rsidP="007233DA">
      <w:pPr>
        <w:pStyle w:val="CodeExample"/>
        <w:rPr>
          <w:rFonts w:ascii="Consolas" w:hAnsi="Consolas" w:cs="Times New Roman"/>
        </w:rPr>
      </w:pPr>
      <w:r>
        <w:t xml:space="preserve">      </w:t>
      </w:r>
      <w:r w:rsidRPr="00EC006D">
        <w:t>Location="</w:t>
      </w:r>
    </w:p>
    <w:p w14:paraId="1A06CBE1" w14:textId="77777777" w:rsidR="007233DA" w:rsidRPr="00EC006D" w:rsidRDefault="007233DA" w:rsidP="007233DA">
      <w:pPr>
        <w:pStyle w:val="CodeExample"/>
        <w:rPr>
          <w:rFonts w:ascii="Consolas" w:hAnsi="Consolas" w:cs="Times New Roman"/>
        </w:rPr>
      </w:pPr>
      <w:r>
        <w:t xml:space="preserve">      </w:t>
      </w:r>
      <w:r w:rsidRPr="00EC006D">
        <w:t>ResponseLocation="</w:t>
      </w:r>
      <w:r w:rsidRPr="00EC006D">
        <w:rPr>
          <w:rFonts w:ascii="Consolas" w:hAnsi="Consolas" w:cs="Times New Roman"/>
        </w:rPr>
        <w:t xml:space="preserve"> </w:t>
      </w:r>
      <w:r w:rsidRPr="00EC006D">
        <w:t>/&gt;</w:t>
      </w:r>
    </w:p>
    <w:p w14:paraId="11C82D5D" w14:textId="77777777" w:rsidR="007233DA" w:rsidRPr="00EC006D" w:rsidRDefault="007233DA" w:rsidP="007233DA">
      <w:pPr>
        <w:pStyle w:val="CodeExample"/>
        <w:rPr>
          <w:rFonts w:ascii="Consolas" w:hAnsi="Consolas" w:cs="Times New Roman"/>
        </w:rPr>
      </w:pPr>
      <w:r>
        <w:t xml:space="preserve">    </w:t>
      </w:r>
      <w:r w:rsidRPr="00EC006D">
        <w:t>&lt;SingleLogoutService Binding="urn:oasis:names:tc:SAML:2.0:bindings:HTTP-POST"</w:t>
      </w:r>
    </w:p>
    <w:p w14:paraId="47810C38" w14:textId="77777777" w:rsidR="007233DA" w:rsidRPr="00EC006D" w:rsidRDefault="007233DA" w:rsidP="007233DA">
      <w:pPr>
        <w:pStyle w:val="CodeExample"/>
        <w:rPr>
          <w:rFonts w:ascii="Consolas" w:hAnsi="Consolas" w:cs="Times New Roman"/>
        </w:rPr>
      </w:pPr>
      <w:r>
        <w:t xml:space="preserve">      </w:t>
      </w:r>
      <w:r w:rsidRPr="00EC006D">
        <w:t>Location="</w:t>
      </w:r>
    </w:p>
    <w:p w14:paraId="3CBEAC77" w14:textId="77777777" w:rsidR="007233DA" w:rsidRPr="00EC006D" w:rsidRDefault="007233DA" w:rsidP="007233DA">
      <w:pPr>
        <w:pStyle w:val="CodeExample"/>
        <w:rPr>
          <w:rFonts w:ascii="Consolas" w:hAnsi="Consolas" w:cs="Times New Roman"/>
        </w:rPr>
      </w:pPr>
      <w:r>
        <w:t xml:space="preserve">      </w:t>
      </w:r>
      <w:r w:rsidRPr="00EC006D">
        <w:t>ResponseLocation="</w:t>
      </w:r>
      <w:r w:rsidRPr="00EC006D">
        <w:rPr>
          <w:rFonts w:ascii="Consolas" w:hAnsi="Consolas" w:cs="Times New Roman"/>
        </w:rPr>
        <w:t xml:space="preserve"> </w:t>
      </w:r>
      <w:r w:rsidRPr="00EC006D">
        <w:t>/&gt;</w:t>
      </w:r>
    </w:p>
    <w:p w14:paraId="79EB2F30" w14:textId="77777777" w:rsidR="007233DA" w:rsidRPr="00EC006D" w:rsidRDefault="007233DA" w:rsidP="007233DA">
      <w:pPr>
        <w:pStyle w:val="CodeExample"/>
        <w:rPr>
          <w:rFonts w:ascii="Consolas" w:hAnsi="Consolas" w:cs="Times New Roman"/>
        </w:rPr>
      </w:pPr>
      <w:r>
        <w:t xml:space="preserve">    </w:t>
      </w:r>
      <w:r w:rsidRPr="00EC006D">
        <w:t>&lt;SingleLogoutService Binding="urn:oasis:names:tc:SAML:2.0:bindings:SOAP"</w:t>
      </w:r>
    </w:p>
    <w:p w14:paraId="4E7E3C19" w14:textId="77777777" w:rsidR="007233DA" w:rsidRPr="00EC006D" w:rsidRDefault="007233DA" w:rsidP="007233DA">
      <w:pPr>
        <w:pStyle w:val="CodeExample"/>
        <w:rPr>
          <w:rFonts w:ascii="Consolas" w:hAnsi="Consolas" w:cs="Times New Roman"/>
        </w:rPr>
      </w:pPr>
      <w:r>
        <w:t xml:space="preserve">      </w:t>
      </w:r>
      <w:r w:rsidRPr="00EC006D">
        <w:t>Location="</w:t>
      </w:r>
      <w:r w:rsidRPr="00EC006D">
        <w:rPr>
          <w:rFonts w:ascii="Consolas" w:hAnsi="Consolas" w:cs="Times New Roman"/>
        </w:rPr>
        <w:t xml:space="preserve"> </w:t>
      </w:r>
      <w:r w:rsidRPr="00EC006D">
        <w:t>/&gt;</w:t>
      </w:r>
    </w:p>
    <w:p w14:paraId="5BD46811" w14:textId="77777777" w:rsidR="007233DA" w:rsidRPr="00EC006D" w:rsidRDefault="007233DA" w:rsidP="007233DA">
      <w:pPr>
        <w:pStyle w:val="CodeExample"/>
        <w:rPr>
          <w:rFonts w:ascii="Consolas" w:hAnsi="Consolas" w:cs="Times New Roman"/>
        </w:rPr>
      </w:pPr>
      <w:r>
        <w:t xml:space="preserve">    </w:t>
      </w:r>
      <w:r w:rsidRPr="00EC006D">
        <w:t>&lt;ManageNameIDService</w:t>
      </w:r>
    </w:p>
    <w:p w14:paraId="7EA93DF9" w14:textId="77777777" w:rsidR="007233DA" w:rsidRPr="00EC006D" w:rsidRDefault="007233DA" w:rsidP="007233DA">
      <w:pPr>
        <w:pStyle w:val="CodeExample"/>
        <w:rPr>
          <w:rFonts w:ascii="Consolas" w:hAnsi="Consolas" w:cs="Times New Roman"/>
        </w:rPr>
      </w:pPr>
      <w:r>
        <w:t xml:space="preserve">      </w:t>
      </w:r>
      <w:r w:rsidRPr="00EC006D">
        <w:t>Binding="urn:oasis:names:tc:SAML:2.0:bindings:HTTP-Redirect"</w:t>
      </w:r>
    </w:p>
    <w:p w14:paraId="3DBB6594" w14:textId="77777777" w:rsidR="007233DA" w:rsidRPr="00EC006D" w:rsidRDefault="007233DA" w:rsidP="007233DA">
      <w:pPr>
        <w:pStyle w:val="CodeExample"/>
        <w:rPr>
          <w:rFonts w:ascii="Consolas" w:hAnsi="Consolas" w:cs="Times New Roman"/>
        </w:rPr>
      </w:pPr>
      <w:r>
        <w:t xml:space="preserve">      </w:t>
      </w:r>
      <w:r w:rsidRPr="00EC006D">
        <w:t>Location="</w:t>
      </w:r>
    </w:p>
    <w:p w14:paraId="5934BCCD" w14:textId="77777777" w:rsidR="007233DA" w:rsidRPr="00EC006D" w:rsidRDefault="007233DA" w:rsidP="007233DA">
      <w:pPr>
        <w:pStyle w:val="CodeExample"/>
        <w:rPr>
          <w:rFonts w:ascii="Consolas" w:hAnsi="Consolas" w:cs="Times New Roman"/>
        </w:rPr>
      </w:pPr>
      <w:r>
        <w:t xml:space="preserve">      </w:t>
      </w:r>
      <w:r w:rsidRPr="00EC006D">
        <w:t>ResponseLocation="</w:t>
      </w:r>
      <w:r w:rsidRPr="00EC006D">
        <w:rPr>
          <w:rFonts w:ascii="Consolas" w:hAnsi="Consolas" w:cs="Times New Roman"/>
        </w:rPr>
        <w:t xml:space="preserve"> </w:t>
      </w:r>
      <w:r w:rsidRPr="00EC006D">
        <w:t>/&gt;</w:t>
      </w:r>
    </w:p>
    <w:p w14:paraId="573BDCBD" w14:textId="77777777" w:rsidR="007233DA" w:rsidRPr="00EC006D" w:rsidRDefault="007233DA" w:rsidP="007233DA">
      <w:pPr>
        <w:pStyle w:val="CodeExample"/>
        <w:rPr>
          <w:rFonts w:ascii="Consolas" w:hAnsi="Consolas" w:cs="Times New Roman"/>
        </w:rPr>
      </w:pPr>
      <w:r>
        <w:t xml:space="preserve">    </w:t>
      </w:r>
      <w:r w:rsidRPr="00EC006D">
        <w:t>&lt;ManageNameIDService Binding="urn:oasis:names:tc:SAML:2.0:bindings:HTTP-POST"</w:t>
      </w:r>
    </w:p>
    <w:p w14:paraId="2E901774" w14:textId="77777777" w:rsidR="007233DA" w:rsidRPr="00EC006D" w:rsidRDefault="007233DA" w:rsidP="007233DA">
      <w:pPr>
        <w:pStyle w:val="CodeExample"/>
        <w:rPr>
          <w:rFonts w:ascii="Consolas" w:hAnsi="Consolas" w:cs="Times New Roman"/>
        </w:rPr>
      </w:pPr>
      <w:r>
        <w:t xml:space="preserve">      </w:t>
      </w:r>
      <w:r w:rsidRPr="00EC006D">
        <w:t>Location="</w:t>
      </w:r>
    </w:p>
    <w:p w14:paraId="68E079FB" w14:textId="77777777" w:rsidR="007233DA" w:rsidRPr="00EC006D" w:rsidRDefault="007233DA" w:rsidP="007233DA">
      <w:pPr>
        <w:pStyle w:val="CodeExample"/>
        <w:rPr>
          <w:rFonts w:ascii="Consolas" w:hAnsi="Consolas" w:cs="Times New Roman"/>
        </w:rPr>
      </w:pPr>
      <w:r>
        <w:t xml:space="preserve">      </w:t>
      </w:r>
      <w:r w:rsidRPr="00EC006D">
        <w:t>ResponseLocation="</w:t>
      </w:r>
      <w:r w:rsidRPr="00EC006D">
        <w:rPr>
          <w:rFonts w:ascii="Consolas" w:hAnsi="Consolas" w:cs="Times New Roman"/>
        </w:rPr>
        <w:t xml:space="preserve"> </w:t>
      </w:r>
      <w:r w:rsidRPr="00EC006D">
        <w:t>/&gt;</w:t>
      </w:r>
    </w:p>
    <w:p w14:paraId="06B47EE9" w14:textId="77777777" w:rsidR="007233DA" w:rsidRPr="00EC006D" w:rsidRDefault="007233DA" w:rsidP="007233DA">
      <w:pPr>
        <w:pStyle w:val="CodeExample"/>
        <w:rPr>
          <w:rFonts w:ascii="Consolas" w:hAnsi="Consolas" w:cs="Times New Roman"/>
        </w:rPr>
      </w:pPr>
      <w:r>
        <w:t xml:space="preserve">    </w:t>
      </w:r>
      <w:r w:rsidRPr="00EC006D">
        <w:t>&lt;ManageNameIDService Binding="urn:oasis:names:tc:SAML:2.0:bindings:SOAP"</w:t>
      </w:r>
    </w:p>
    <w:p w14:paraId="55755343" w14:textId="77777777" w:rsidR="007233DA" w:rsidRPr="00EC006D" w:rsidRDefault="007233DA" w:rsidP="007233DA">
      <w:pPr>
        <w:pStyle w:val="CodeExample"/>
        <w:rPr>
          <w:rFonts w:ascii="Consolas" w:hAnsi="Consolas" w:cs="Times New Roman"/>
        </w:rPr>
      </w:pPr>
      <w:r>
        <w:t xml:space="preserve">      </w:t>
      </w:r>
      <w:r w:rsidRPr="00EC006D">
        <w:t>Location="</w:t>
      </w:r>
    </w:p>
    <w:p w14:paraId="11080809" w14:textId="77777777" w:rsidR="007233DA" w:rsidRPr="00EC006D" w:rsidRDefault="007233DA" w:rsidP="007233DA">
      <w:pPr>
        <w:pStyle w:val="CodeExample"/>
        <w:rPr>
          <w:rFonts w:ascii="Consolas" w:hAnsi="Consolas" w:cs="Times New Roman"/>
        </w:rPr>
      </w:pPr>
      <w:r>
        <w:t xml:space="preserve">      </w:t>
      </w:r>
      <w:r w:rsidRPr="00EC006D">
        <w:t>ResponseLocation="</w:t>
      </w:r>
      <w:r w:rsidRPr="00EC006D">
        <w:rPr>
          <w:rFonts w:ascii="Consolas" w:hAnsi="Consolas" w:cs="Times New Roman"/>
        </w:rPr>
        <w:t xml:space="preserve"> </w:t>
      </w:r>
      <w:r w:rsidRPr="00EC006D">
        <w:t>/&gt;</w:t>
      </w:r>
    </w:p>
    <w:p w14:paraId="7C28FAD0" w14:textId="77777777" w:rsidR="007233DA" w:rsidRPr="00EC006D" w:rsidRDefault="007233DA" w:rsidP="007233DA">
      <w:pPr>
        <w:pStyle w:val="CodeExample"/>
        <w:rPr>
          <w:rFonts w:ascii="Consolas" w:hAnsi="Consolas" w:cs="Times New Roman"/>
        </w:rPr>
      </w:pPr>
      <w:r>
        <w:t xml:space="preserve">    </w:t>
      </w:r>
      <w:r w:rsidRPr="00EC006D">
        <w:t>&lt;NameIDFormat&gt;urn:oasis:names:tc:SAML:2.0:nameid-format:persistent</w:t>
      </w:r>
    </w:p>
    <w:p w14:paraId="4B2AEA95" w14:textId="77777777" w:rsidR="007233DA" w:rsidRPr="00EC006D" w:rsidRDefault="007233DA" w:rsidP="007233DA">
      <w:pPr>
        <w:pStyle w:val="CodeExample"/>
        <w:rPr>
          <w:rFonts w:ascii="Consolas" w:hAnsi="Consolas" w:cs="Times New Roman"/>
        </w:rPr>
      </w:pPr>
      <w:r>
        <w:t xml:space="preserve">    </w:t>
      </w:r>
      <w:r w:rsidRPr="00EC006D">
        <w:t>&lt;/NameIDFormat&gt;</w:t>
      </w:r>
    </w:p>
    <w:p w14:paraId="48763B0F" w14:textId="77777777" w:rsidR="007233DA" w:rsidRPr="00EC006D" w:rsidRDefault="007233DA" w:rsidP="007233DA">
      <w:pPr>
        <w:pStyle w:val="CodeExample"/>
        <w:rPr>
          <w:rFonts w:ascii="Consolas" w:hAnsi="Consolas" w:cs="Times New Roman"/>
        </w:rPr>
      </w:pPr>
      <w:r>
        <w:t xml:space="preserve">    </w:t>
      </w:r>
      <w:r w:rsidRPr="00EC006D">
        <w:t>&lt;NameIDFormat&gt; urn:oasis:names:tc:SAML:2.0:nameid-format:transient</w:t>
      </w:r>
    </w:p>
    <w:p w14:paraId="7AC47B9F" w14:textId="77777777" w:rsidR="007233DA" w:rsidRPr="00EC006D" w:rsidRDefault="007233DA" w:rsidP="007233DA">
      <w:pPr>
        <w:pStyle w:val="CodeExample"/>
        <w:rPr>
          <w:rFonts w:ascii="Consolas" w:hAnsi="Consolas" w:cs="Times New Roman"/>
        </w:rPr>
      </w:pPr>
      <w:r>
        <w:t xml:space="preserve">    </w:t>
      </w:r>
      <w:r w:rsidRPr="00EC006D">
        <w:t>&lt;/NameIDFormat&gt;</w:t>
      </w:r>
    </w:p>
    <w:p w14:paraId="5EC78669" w14:textId="77777777" w:rsidR="007233DA" w:rsidRPr="00EC006D" w:rsidRDefault="007233DA" w:rsidP="007233DA">
      <w:pPr>
        <w:pStyle w:val="CodeExample"/>
        <w:rPr>
          <w:rFonts w:ascii="Consolas" w:hAnsi="Consolas" w:cs="Times New Roman"/>
        </w:rPr>
      </w:pPr>
      <w:r>
        <w:t xml:space="preserve">    </w:t>
      </w:r>
      <w:r w:rsidRPr="00EC006D">
        <w:t>&lt;NameIDFormat&gt; urn:oasis:names:tc:SAML:1.1:nameid-format:emailAddress</w:t>
      </w:r>
    </w:p>
    <w:p w14:paraId="277C4988" w14:textId="77777777" w:rsidR="007233DA" w:rsidRPr="00EC006D" w:rsidRDefault="007233DA" w:rsidP="007233DA">
      <w:pPr>
        <w:pStyle w:val="CodeExample"/>
        <w:rPr>
          <w:rFonts w:ascii="Consolas" w:hAnsi="Consolas" w:cs="Times New Roman"/>
        </w:rPr>
      </w:pPr>
      <w:r>
        <w:t xml:space="preserve">    </w:t>
      </w:r>
      <w:r w:rsidRPr="00EC006D">
        <w:t>&lt;/NameIDFormat&gt;</w:t>
      </w:r>
    </w:p>
    <w:p w14:paraId="661DA2A6" w14:textId="77777777" w:rsidR="007233DA" w:rsidRPr="00EC006D" w:rsidRDefault="007233DA" w:rsidP="007233DA">
      <w:pPr>
        <w:pStyle w:val="CodeExample"/>
        <w:rPr>
          <w:rFonts w:ascii="Consolas" w:hAnsi="Consolas" w:cs="Times New Roman"/>
        </w:rPr>
      </w:pPr>
      <w:r>
        <w:t xml:space="preserve">    </w:t>
      </w:r>
      <w:r w:rsidRPr="00EC006D">
        <w:t>&lt;NameIDFormat&gt; urn:oasis:names:tc:SAML:1.1:nameid-format:unspecified</w:t>
      </w:r>
    </w:p>
    <w:p w14:paraId="19F595A5" w14:textId="77777777" w:rsidR="007233DA" w:rsidRPr="00EC006D" w:rsidRDefault="007233DA" w:rsidP="007233DA">
      <w:pPr>
        <w:pStyle w:val="CodeExample"/>
        <w:rPr>
          <w:rFonts w:ascii="Consolas" w:hAnsi="Consolas" w:cs="Times New Roman"/>
        </w:rPr>
      </w:pPr>
      <w:r>
        <w:t xml:space="preserve">    </w:t>
      </w:r>
      <w:r w:rsidRPr="00EC006D">
        <w:t>&lt;/NameIDFormat&gt;</w:t>
      </w:r>
    </w:p>
    <w:p w14:paraId="7D7A9E86" w14:textId="77777777" w:rsidR="007233DA" w:rsidRPr="00EC006D" w:rsidRDefault="007233DA" w:rsidP="007233DA">
      <w:pPr>
        <w:pStyle w:val="CodeExample"/>
        <w:rPr>
          <w:rFonts w:ascii="Consolas" w:hAnsi="Consolas" w:cs="Times New Roman"/>
        </w:rPr>
      </w:pPr>
      <w:r>
        <w:t xml:space="preserve">    </w:t>
      </w:r>
      <w:r w:rsidRPr="00EC006D">
        <w:t>&lt;NameIDFormat&gt;</w:t>
      </w:r>
    </w:p>
    <w:p w14:paraId="642074BC" w14:textId="77777777" w:rsidR="007233DA" w:rsidRPr="00EC006D" w:rsidRDefault="007233DA" w:rsidP="007233DA">
      <w:pPr>
        <w:pStyle w:val="CodeExample"/>
        <w:rPr>
          <w:rFonts w:ascii="Consolas" w:hAnsi="Consolas" w:cs="Times New Roman"/>
        </w:rPr>
      </w:pPr>
      <w:r>
        <w:t xml:space="preserve">      </w:t>
      </w:r>
      <w:r w:rsidRPr="00EC006D">
        <w:t>urn:oasis:names:tc:SAML:1.1:nameid-format:WindowsDomainQualifiedName</w:t>
      </w:r>
    </w:p>
    <w:p w14:paraId="4C2B4C74" w14:textId="77777777" w:rsidR="007233DA" w:rsidRPr="00EC006D" w:rsidRDefault="007233DA" w:rsidP="007233DA">
      <w:pPr>
        <w:pStyle w:val="CodeExample"/>
        <w:rPr>
          <w:rFonts w:ascii="Consolas" w:hAnsi="Consolas" w:cs="Times New Roman"/>
        </w:rPr>
      </w:pPr>
      <w:r>
        <w:t xml:space="preserve">    </w:t>
      </w:r>
      <w:r w:rsidRPr="00EC006D">
        <w:t>&lt;/NameIDFormat&gt;</w:t>
      </w:r>
    </w:p>
    <w:p w14:paraId="3420D728" w14:textId="77777777" w:rsidR="007233DA" w:rsidRPr="00EC006D" w:rsidRDefault="007233DA" w:rsidP="007233DA">
      <w:pPr>
        <w:pStyle w:val="CodeExample"/>
        <w:rPr>
          <w:rFonts w:ascii="Consolas" w:hAnsi="Consolas" w:cs="Times New Roman"/>
        </w:rPr>
      </w:pPr>
      <w:r>
        <w:t xml:space="preserve">    </w:t>
      </w:r>
      <w:r w:rsidRPr="00EC006D">
        <w:t>&lt;NameIDFormat&gt; urn:oasis:names:tc:SAML:2.0:nameid-format:kerberos</w:t>
      </w:r>
    </w:p>
    <w:p w14:paraId="6AEAEB47" w14:textId="77777777" w:rsidR="007233DA" w:rsidRPr="00EC006D" w:rsidRDefault="007233DA" w:rsidP="007233DA">
      <w:pPr>
        <w:pStyle w:val="CodeExample"/>
        <w:rPr>
          <w:rFonts w:ascii="Consolas" w:hAnsi="Consolas" w:cs="Times New Roman"/>
        </w:rPr>
      </w:pPr>
      <w:r>
        <w:t xml:space="preserve">    </w:t>
      </w:r>
      <w:r w:rsidRPr="00EC006D">
        <w:t>&lt;/NameIDFormat&gt;</w:t>
      </w:r>
    </w:p>
    <w:p w14:paraId="5150E326" w14:textId="77777777" w:rsidR="007233DA" w:rsidRPr="00EC006D" w:rsidRDefault="007233DA" w:rsidP="007233DA">
      <w:pPr>
        <w:pStyle w:val="CodeExample"/>
        <w:rPr>
          <w:rFonts w:ascii="Consolas" w:hAnsi="Consolas" w:cs="Times New Roman"/>
        </w:rPr>
      </w:pPr>
      <w:r>
        <w:t xml:space="preserve">    </w:t>
      </w:r>
      <w:r w:rsidRPr="00EC006D">
        <w:t>&lt;NameIDFormat&gt;</w:t>
      </w:r>
    </w:p>
    <w:p w14:paraId="2727196C" w14:textId="77777777" w:rsidR="007233DA" w:rsidRPr="00EC006D" w:rsidRDefault="007233DA" w:rsidP="007233DA">
      <w:pPr>
        <w:pStyle w:val="CodeExample"/>
        <w:rPr>
          <w:rFonts w:ascii="Consolas" w:hAnsi="Consolas" w:cs="Times New Roman"/>
        </w:rPr>
      </w:pPr>
      <w:r>
        <w:t xml:space="preserve">      </w:t>
      </w:r>
      <w:r w:rsidRPr="00EC006D">
        <w:t>urn:oasis:names:tc:SAML:1.1:nameid-format:X509SubjectName</w:t>
      </w:r>
    </w:p>
    <w:p w14:paraId="22071E4D" w14:textId="77777777" w:rsidR="007233DA" w:rsidRPr="00EC006D" w:rsidRDefault="007233DA" w:rsidP="007233DA">
      <w:pPr>
        <w:pStyle w:val="CodeExample"/>
        <w:rPr>
          <w:rFonts w:ascii="Consolas" w:hAnsi="Consolas" w:cs="Times New Roman"/>
        </w:rPr>
      </w:pPr>
      <w:r>
        <w:t xml:space="preserve">    </w:t>
      </w:r>
      <w:r w:rsidRPr="00EC006D">
        <w:t>&lt;/NameIDFormat&gt;</w:t>
      </w:r>
    </w:p>
    <w:p w14:paraId="06223031" w14:textId="77777777" w:rsidR="007233DA" w:rsidRPr="00EC006D" w:rsidRDefault="007233DA" w:rsidP="007233DA">
      <w:pPr>
        <w:pStyle w:val="CodeExample"/>
        <w:rPr>
          <w:rFonts w:ascii="Consolas" w:hAnsi="Consolas" w:cs="Times New Roman"/>
        </w:rPr>
      </w:pPr>
      <w:r>
        <w:t xml:space="preserve">    </w:t>
      </w:r>
      <w:r w:rsidRPr="00EC006D">
        <w:t>&lt;AssertionConsumerService index="0"</w:t>
      </w:r>
    </w:p>
    <w:p w14:paraId="689F6E76" w14:textId="77777777" w:rsidR="007233DA" w:rsidRPr="00EC006D" w:rsidRDefault="007233DA" w:rsidP="007233DA">
      <w:pPr>
        <w:pStyle w:val="CodeExample"/>
        <w:rPr>
          <w:rFonts w:ascii="Consolas" w:hAnsi="Consolas" w:cs="Times New Roman"/>
        </w:rPr>
      </w:pPr>
      <w:r>
        <w:t xml:space="preserve">      </w:t>
      </w:r>
      <w:r w:rsidRPr="00EC006D">
        <w:t>Binding="urn:oasis:names:tc:SAML:2.0:bindings:HTTP-Artifact"</w:t>
      </w:r>
    </w:p>
    <w:p w14:paraId="475D9A94" w14:textId="77777777" w:rsidR="007233DA" w:rsidRPr="00EC006D" w:rsidRDefault="007233DA" w:rsidP="007233DA">
      <w:pPr>
        <w:pStyle w:val="CodeExample"/>
        <w:rPr>
          <w:rFonts w:ascii="Consolas" w:hAnsi="Consolas" w:cs="Times New Roman"/>
        </w:rPr>
      </w:pPr>
      <w:r>
        <w:t xml:space="preserve">      </w:t>
      </w:r>
      <w:r w:rsidRPr="00EC006D">
        <w:t>Location="</w:t>
      </w:r>
      <w:r w:rsidRPr="00EC006D">
        <w:rPr>
          <w:rFonts w:ascii="Consolas" w:hAnsi="Consolas" w:cs="Times New Roman"/>
        </w:rPr>
        <w:t xml:space="preserve"> </w:t>
      </w:r>
      <w:r w:rsidRPr="00EC006D">
        <w:t>/&gt;</w:t>
      </w:r>
    </w:p>
    <w:p w14:paraId="6D000750" w14:textId="77777777" w:rsidR="007233DA" w:rsidRPr="00EC006D" w:rsidRDefault="007233DA" w:rsidP="007233DA">
      <w:pPr>
        <w:pStyle w:val="CodeExample"/>
        <w:rPr>
          <w:rFonts w:ascii="Consolas" w:hAnsi="Consolas" w:cs="Times New Roman"/>
        </w:rPr>
      </w:pPr>
      <w:r>
        <w:t xml:space="preserve">    </w:t>
      </w:r>
      <w:r w:rsidRPr="00EC006D">
        <w:t>&lt;AssertionConsumerService isDefault="true"</w:t>
      </w:r>
    </w:p>
    <w:p w14:paraId="35258951" w14:textId="77777777" w:rsidR="007233DA" w:rsidRPr="00EC006D" w:rsidRDefault="007233DA" w:rsidP="007233DA">
      <w:pPr>
        <w:pStyle w:val="CodeExample"/>
        <w:rPr>
          <w:rFonts w:ascii="Consolas" w:hAnsi="Consolas" w:cs="Times New Roman"/>
        </w:rPr>
      </w:pPr>
      <w:r>
        <w:t xml:space="preserve">      </w:t>
      </w:r>
      <w:r w:rsidRPr="00EC006D">
        <w:t>index="1"</w:t>
      </w:r>
      <w:r w:rsidRPr="00EC006D">
        <w:rPr>
          <w:rFonts w:ascii="Consolas" w:hAnsi="Consolas" w:cs="Times New Roman"/>
        </w:rPr>
        <w:t xml:space="preserve"> </w:t>
      </w:r>
      <w:r w:rsidRPr="00EC006D">
        <w:t>Binding="urn:oasis:names:tc:SAML:2.0:bindings:HTTP-POST"</w:t>
      </w:r>
    </w:p>
    <w:p w14:paraId="7C11A8A3" w14:textId="77777777" w:rsidR="007233DA" w:rsidRPr="00EC006D" w:rsidRDefault="007233DA" w:rsidP="007233DA">
      <w:pPr>
        <w:pStyle w:val="CodeExample"/>
        <w:rPr>
          <w:rFonts w:ascii="Consolas" w:hAnsi="Consolas" w:cs="Times New Roman"/>
        </w:rPr>
      </w:pPr>
      <w:r>
        <w:t xml:space="preserve">      </w:t>
      </w:r>
      <w:r w:rsidRPr="00EC006D">
        <w:t>Location="</w:t>
      </w:r>
      <w:r w:rsidRPr="00EC006D">
        <w:rPr>
          <w:rFonts w:ascii="Consolas" w:hAnsi="Consolas" w:cs="Times New Roman"/>
        </w:rPr>
        <w:t xml:space="preserve"> </w:t>
      </w:r>
      <w:r w:rsidRPr="00EC006D">
        <w:t>/&gt;</w:t>
      </w:r>
    </w:p>
    <w:p w14:paraId="4C7F689B" w14:textId="77777777" w:rsidR="007233DA" w:rsidRPr="00EC006D" w:rsidRDefault="007233DA" w:rsidP="007233DA">
      <w:pPr>
        <w:pStyle w:val="CodeExample"/>
        <w:rPr>
          <w:rFonts w:ascii="Consolas" w:hAnsi="Consolas" w:cs="Times New Roman"/>
        </w:rPr>
      </w:pPr>
      <w:r>
        <w:t xml:space="preserve">    </w:t>
      </w:r>
      <w:r w:rsidRPr="00EC006D">
        <w:t>&lt;AssertionConsumerService index="2"</w:t>
      </w:r>
    </w:p>
    <w:p w14:paraId="4EDCD1A8" w14:textId="77777777" w:rsidR="007233DA" w:rsidRPr="00EC006D" w:rsidRDefault="007233DA" w:rsidP="007233DA">
      <w:pPr>
        <w:pStyle w:val="CodeExample"/>
        <w:rPr>
          <w:rFonts w:ascii="Consolas" w:hAnsi="Consolas" w:cs="Times New Roman"/>
        </w:rPr>
      </w:pPr>
      <w:r>
        <w:t xml:space="preserve">      </w:t>
      </w:r>
      <w:r w:rsidRPr="00EC006D">
        <w:t>Binding="urn:oasis:names:tc:SAML:2.0:bindings:PAOS"</w:t>
      </w:r>
      <w:r w:rsidRPr="00EC006D">
        <w:rPr>
          <w:rFonts w:ascii="Consolas" w:hAnsi="Consolas" w:cs="Times New Roman"/>
        </w:rPr>
        <w:t xml:space="preserve"> </w:t>
      </w:r>
      <w:r w:rsidRPr="00EC006D">
        <w:t>Location="</w:t>
      </w:r>
      <w:r w:rsidRPr="00EC006D">
        <w:rPr>
          <w:rFonts w:ascii="Consolas" w:hAnsi="Consolas" w:cs="Times New Roman"/>
        </w:rPr>
        <w:t xml:space="preserve"> </w:t>
      </w:r>
      <w:r w:rsidRPr="00EC006D">
        <w:t>/&gt;</w:t>
      </w:r>
    </w:p>
    <w:p w14:paraId="08640196" w14:textId="77777777" w:rsidR="007233DA" w:rsidRPr="00EC006D" w:rsidRDefault="007233DA" w:rsidP="007233DA">
      <w:pPr>
        <w:pStyle w:val="CodeExample"/>
        <w:rPr>
          <w:rFonts w:ascii="Consolas" w:hAnsi="Consolas" w:cs="Times New Roman"/>
        </w:rPr>
      </w:pPr>
      <w:r>
        <w:t xml:space="preserve">  </w:t>
      </w:r>
      <w:r w:rsidRPr="00EC006D">
        <w:t>&lt;/SPSSODescriptor&gt;</w:t>
      </w:r>
    </w:p>
    <w:p w14:paraId="7F9D8C03" w14:textId="77777777" w:rsidR="007233DA" w:rsidRPr="00EC006D" w:rsidRDefault="007233DA" w:rsidP="007233DA">
      <w:pPr>
        <w:pStyle w:val="CodeExample"/>
        <w:rPr>
          <w:rFonts w:ascii="Consolas" w:hAnsi="Consolas" w:cs="Times New Roman"/>
        </w:rPr>
      </w:pPr>
      <w:r w:rsidRPr="00EC006D">
        <w:t>&lt;/EntityDescriptor&gt;</w:t>
      </w:r>
    </w:p>
    <w:p w14:paraId="5A115BF4" w14:textId="77777777" w:rsidR="007233DA" w:rsidRDefault="007233DA" w:rsidP="00CA2F87">
      <w:pPr>
        <w:pStyle w:val="Heading4"/>
      </w:pPr>
      <w:r>
        <w:t>Example AuthN Request</w:t>
      </w:r>
    </w:p>
    <w:p w14:paraId="67018C0F" w14:textId="77777777" w:rsidR="007233DA" w:rsidRDefault="007233DA" w:rsidP="00A3661F">
      <w:pPr>
        <w:pStyle w:val="NormalIntro"/>
      </w:pPr>
      <w:r>
        <w:t>The following is an example AuthN request sent by the SLI Service Provider to initiate and authenticaton with a remote IDP:</w:t>
      </w:r>
    </w:p>
    <w:p w14:paraId="41671548" w14:textId="77777777" w:rsidR="007233DA" w:rsidRPr="00EC006D" w:rsidRDefault="007233DA" w:rsidP="007233DA">
      <w:pPr>
        <w:pStyle w:val="CodeExample"/>
        <w:rPr>
          <w:rFonts w:ascii="Consolas" w:hAnsi="Consolas" w:cs="Times New Roman"/>
        </w:rPr>
      </w:pPr>
      <w:r w:rsidRPr="00EC006D">
        <w:t>&lt;samlp:AuthnRequest xmlns:samlp="urn:oasis:names:tc:SAML:2.0:protocol"</w:t>
      </w:r>
    </w:p>
    <w:p w14:paraId="2AA85256" w14:textId="77777777" w:rsidR="007233DA" w:rsidRPr="00EC006D" w:rsidRDefault="007233DA" w:rsidP="007233DA">
      <w:pPr>
        <w:pStyle w:val="CodeExample"/>
        <w:rPr>
          <w:rFonts w:ascii="Consolas" w:hAnsi="Consolas" w:cs="Times New Roman"/>
        </w:rPr>
      </w:pPr>
      <w:r>
        <w:t xml:space="preserve">  </w:t>
      </w:r>
      <w:r w:rsidRPr="00EC006D">
        <w:t>Destination="</w:t>
      </w:r>
    </w:p>
    <w:p w14:paraId="166B654B" w14:textId="77777777" w:rsidR="007233DA" w:rsidRPr="00EC006D" w:rsidRDefault="007233DA" w:rsidP="007233DA">
      <w:pPr>
        <w:pStyle w:val="CodeExample"/>
        <w:rPr>
          <w:rFonts w:ascii="Consolas" w:hAnsi="Consolas" w:cs="Times New Roman"/>
        </w:rPr>
      </w:pPr>
      <w:r>
        <w:t xml:space="preserve">  </w:t>
      </w:r>
      <w:r w:rsidRPr="00EC006D">
        <w:t>ForceAuthn="false"</w:t>
      </w:r>
      <w:r w:rsidRPr="00EC006D">
        <w:rPr>
          <w:rFonts w:ascii="Consolas" w:hAnsi="Consolas" w:cs="Times New Roman"/>
        </w:rPr>
        <w:t xml:space="preserve"> </w:t>
      </w:r>
      <w:r w:rsidRPr="00EC006D">
        <w:t>ID="sli-b931632c-9706-4c8e-bd27-0a0a1f8dc408"</w:t>
      </w:r>
    </w:p>
    <w:p w14:paraId="31199CA1" w14:textId="77777777" w:rsidR="007233DA" w:rsidRPr="00EC006D" w:rsidRDefault="007233DA" w:rsidP="007233DA">
      <w:pPr>
        <w:pStyle w:val="CodeExample"/>
        <w:rPr>
          <w:rFonts w:ascii="Consolas" w:hAnsi="Consolas" w:cs="Times New Roman"/>
        </w:rPr>
      </w:pPr>
      <w:r>
        <w:t xml:space="preserve">  </w:t>
      </w:r>
      <w:r w:rsidRPr="00EC006D">
        <w:t>IsPassive="false"</w:t>
      </w:r>
      <w:r w:rsidRPr="00EC006D">
        <w:rPr>
          <w:rFonts w:ascii="Consolas" w:hAnsi="Consolas" w:cs="Times New Roman"/>
        </w:rPr>
        <w:t xml:space="preserve"> </w:t>
      </w:r>
      <w:r w:rsidRPr="00EC006D">
        <w:t>IssueInstant="2012-03-27T17:56:55.486Z"</w:t>
      </w:r>
    </w:p>
    <w:p w14:paraId="3E9A90AC" w14:textId="77777777" w:rsidR="007233DA" w:rsidRPr="00EC006D" w:rsidRDefault="007233DA" w:rsidP="007233DA">
      <w:pPr>
        <w:pStyle w:val="CodeExample"/>
        <w:rPr>
          <w:rFonts w:ascii="Consolas" w:hAnsi="Consolas" w:cs="Times New Roman"/>
        </w:rPr>
      </w:pPr>
      <w:r>
        <w:t xml:space="preserve">  </w:t>
      </w:r>
      <w:r w:rsidRPr="00EC006D">
        <w:t>ProtocolBinding="urn:oasis:names:tc:SAML:2.0:bindings:HTTP-POST"</w:t>
      </w:r>
    </w:p>
    <w:p w14:paraId="4AACFB90" w14:textId="77777777" w:rsidR="007233DA" w:rsidRPr="00EC006D" w:rsidRDefault="007233DA" w:rsidP="007233DA">
      <w:pPr>
        <w:pStyle w:val="CodeExample"/>
        <w:rPr>
          <w:rFonts w:ascii="Consolas" w:hAnsi="Consolas" w:cs="Times New Roman"/>
        </w:rPr>
      </w:pPr>
      <w:r>
        <w:lastRenderedPageBreak/>
        <w:t xml:space="preserve">  </w:t>
      </w:r>
      <w:r w:rsidRPr="00EC006D">
        <w:t>Version="2.0"&gt;</w:t>
      </w:r>
    </w:p>
    <w:p w14:paraId="693B9E6C" w14:textId="77777777" w:rsidR="007233DA" w:rsidRPr="00EC006D" w:rsidRDefault="007233DA" w:rsidP="007233DA">
      <w:pPr>
        <w:pStyle w:val="CodeExample"/>
        <w:rPr>
          <w:rFonts w:ascii="Consolas" w:hAnsi="Consolas" w:cs="Times New Roman"/>
        </w:rPr>
      </w:pPr>
      <w:r>
        <w:t xml:space="preserve">  </w:t>
      </w:r>
      <w:r w:rsidRPr="00EC006D">
        <w:t>&lt;saml:Issuer xmlns:saml="urn:oasis:names:tc:SAML:2.0:assertion"&gt;https://nxbuild.slidev.org</w:t>
      </w:r>
    </w:p>
    <w:p w14:paraId="2F3990A5" w14:textId="77777777" w:rsidR="007233DA" w:rsidRPr="00EC006D" w:rsidRDefault="007233DA" w:rsidP="007233DA">
      <w:pPr>
        <w:pStyle w:val="CodeExample"/>
        <w:rPr>
          <w:rFonts w:ascii="Consolas" w:hAnsi="Consolas" w:cs="Times New Roman"/>
        </w:rPr>
      </w:pPr>
      <w:r>
        <w:t xml:space="preserve">  </w:t>
      </w:r>
      <w:r w:rsidRPr="00EC006D">
        <w:t>&lt;/saml:Issuer&gt;</w:t>
      </w:r>
    </w:p>
    <w:p w14:paraId="4E6EC3A3" w14:textId="77777777" w:rsidR="007233DA" w:rsidRPr="00EC006D" w:rsidRDefault="007233DA" w:rsidP="007233DA">
      <w:pPr>
        <w:pStyle w:val="CodeExample"/>
        <w:rPr>
          <w:rFonts w:ascii="Consolas" w:hAnsi="Consolas" w:cs="Times New Roman"/>
        </w:rPr>
      </w:pPr>
      <w:r>
        <w:t xml:space="preserve">  </w:t>
      </w:r>
      <w:r w:rsidRPr="00EC006D">
        <w:t>&lt;samlp:NameIDPolicy AllowCreate="true"</w:t>
      </w:r>
    </w:p>
    <w:p w14:paraId="0A5418D0" w14:textId="77777777" w:rsidR="007233DA" w:rsidRPr="00EC006D" w:rsidRDefault="007233DA" w:rsidP="007233DA">
      <w:pPr>
        <w:pStyle w:val="CodeExample"/>
        <w:rPr>
          <w:rFonts w:ascii="Consolas" w:hAnsi="Consolas" w:cs="Times New Roman"/>
        </w:rPr>
      </w:pPr>
      <w:r>
        <w:t xml:space="preserve">    </w:t>
      </w:r>
      <w:r w:rsidRPr="00EC006D">
        <w:t>Format="urn:oasis:names:tc:SAML:2.0:nameid-format:transient"</w:t>
      </w:r>
    </w:p>
    <w:p w14:paraId="574899CF" w14:textId="77777777" w:rsidR="007233DA" w:rsidRPr="00EC006D" w:rsidRDefault="007233DA" w:rsidP="007233DA">
      <w:pPr>
        <w:pStyle w:val="CodeExample"/>
        <w:rPr>
          <w:rFonts w:ascii="Consolas" w:hAnsi="Consolas" w:cs="Times New Roman"/>
        </w:rPr>
      </w:pPr>
      <w:r>
        <w:t xml:space="preserve">    </w:t>
      </w:r>
      <w:r w:rsidRPr="00EC006D">
        <w:t>SPNameQualifier="</w:t>
      </w:r>
      <w:r w:rsidRPr="00EC006D">
        <w:rPr>
          <w:rFonts w:ascii="Consolas" w:hAnsi="Consolas" w:cs="Times New Roman"/>
        </w:rPr>
        <w:t xml:space="preserve"> </w:t>
      </w:r>
      <w:r w:rsidRPr="00EC006D">
        <w:t>/&gt;</w:t>
      </w:r>
    </w:p>
    <w:p w14:paraId="17418786" w14:textId="77777777" w:rsidR="007233DA" w:rsidRPr="00EC006D" w:rsidRDefault="007233DA" w:rsidP="007233DA">
      <w:pPr>
        <w:pStyle w:val="CodeExample"/>
        <w:rPr>
          <w:rFonts w:ascii="Consolas" w:hAnsi="Consolas" w:cs="Times New Roman"/>
        </w:rPr>
      </w:pPr>
      <w:r>
        <w:t xml:space="preserve">  </w:t>
      </w:r>
      <w:r w:rsidRPr="00EC006D">
        <w:t>&lt;samlp:RequestedAuthnContext Comparison="exact"&gt;</w:t>
      </w:r>
    </w:p>
    <w:p w14:paraId="47F8D3AE" w14:textId="77777777" w:rsidR="007233DA" w:rsidRPr="00EC006D" w:rsidRDefault="007233DA" w:rsidP="007233DA">
      <w:pPr>
        <w:pStyle w:val="CodeExample"/>
        <w:rPr>
          <w:rFonts w:ascii="Consolas" w:hAnsi="Consolas" w:cs="Times New Roman"/>
        </w:rPr>
      </w:pPr>
      <w:r>
        <w:t xml:space="preserve">    </w:t>
      </w:r>
      <w:r w:rsidRPr="00EC006D">
        <w:t>&lt;saml:AuthnContextClassRef xmlns:saml="urn:oasis:names:tc:SAML:2.0:assertion"&gt;urn:oasis:names:tc:SAML:2.0:ac:classes:PasswordProtectedTransport</w:t>
      </w:r>
    </w:p>
    <w:p w14:paraId="2FDD964D" w14:textId="77777777" w:rsidR="007233DA" w:rsidRPr="00EC006D" w:rsidRDefault="007233DA" w:rsidP="007233DA">
      <w:pPr>
        <w:pStyle w:val="CodeExample"/>
        <w:rPr>
          <w:rFonts w:ascii="Consolas" w:hAnsi="Consolas" w:cs="Times New Roman"/>
        </w:rPr>
      </w:pPr>
      <w:r>
        <w:t xml:space="preserve">    </w:t>
      </w:r>
      <w:r w:rsidRPr="00EC006D">
        <w:t>&lt;/saml:AuthnContextClassRef&gt;</w:t>
      </w:r>
    </w:p>
    <w:p w14:paraId="62DBC483" w14:textId="77777777" w:rsidR="007233DA" w:rsidRPr="00EC006D" w:rsidRDefault="007233DA" w:rsidP="007233DA">
      <w:pPr>
        <w:pStyle w:val="CodeExample"/>
        <w:rPr>
          <w:rFonts w:ascii="Consolas" w:hAnsi="Consolas" w:cs="Times New Roman"/>
        </w:rPr>
      </w:pPr>
      <w:r>
        <w:t xml:space="preserve">  </w:t>
      </w:r>
      <w:r w:rsidRPr="00EC006D">
        <w:t>&lt;/samlp:RequestedAuthnContext&gt;</w:t>
      </w:r>
    </w:p>
    <w:p w14:paraId="240ECCCE" w14:textId="77777777" w:rsidR="007233DA" w:rsidRPr="00EC006D" w:rsidRDefault="007233DA" w:rsidP="007233DA">
      <w:pPr>
        <w:pStyle w:val="CodeExample"/>
        <w:rPr>
          <w:rFonts w:ascii="Consolas" w:hAnsi="Consolas" w:cs="Times New Roman"/>
        </w:rPr>
      </w:pPr>
      <w:r w:rsidRPr="00EC006D">
        <w:t>&lt;/samlp:AuthnRequest&gt;</w:t>
      </w:r>
    </w:p>
    <w:p w14:paraId="66D3ADEF" w14:textId="77777777" w:rsidR="007233DA" w:rsidRDefault="007233DA" w:rsidP="00CA2F87">
      <w:pPr>
        <w:pStyle w:val="Heading4"/>
      </w:pPr>
      <w:bookmarkStart w:id="40" w:name="_Example_SAML_Response"/>
      <w:bookmarkStart w:id="41" w:name="_Ref324341443"/>
      <w:bookmarkEnd w:id="40"/>
      <w:r w:rsidRPr="008B68AC">
        <w:t>Example SAML Response from ADFS</w:t>
      </w:r>
      <w:r>
        <w:t xml:space="preserve"> to SLI SP</w:t>
      </w:r>
      <w:bookmarkEnd w:id="41"/>
    </w:p>
    <w:p w14:paraId="61C4A561" w14:textId="4A412A91" w:rsidR="007233DA" w:rsidRDefault="007233DA" w:rsidP="00A3661F">
      <w:pPr>
        <w:pStyle w:val="NormalIntro"/>
      </w:pPr>
      <w:r>
        <w:t xml:space="preserve">The following </w:t>
      </w:r>
      <w:r w:rsidR="000F2646">
        <w:t xml:space="preserve">XML </w:t>
      </w:r>
      <w:r>
        <w:t xml:space="preserve">snippet </w:t>
      </w:r>
      <w:r w:rsidR="000F2646">
        <w:t>provides an example of a</w:t>
      </w:r>
      <w:r>
        <w:t xml:space="preserve"> SAML </w:t>
      </w:r>
      <w:r w:rsidR="00B707A6">
        <w:t xml:space="preserve">assertion </w:t>
      </w:r>
      <w:r>
        <w:t xml:space="preserve">response </w:t>
      </w:r>
      <w:r w:rsidR="00D87BBF">
        <w:t xml:space="preserve">as sent </w:t>
      </w:r>
      <w:r>
        <w:t>to the SLI SP</w:t>
      </w:r>
      <w:r w:rsidR="000F2646">
        <w:t>. This example</w:t>
      </w:r>
      <w:r>
        <w:t xml:space="preserve"> </w:t>
      </w:r>
      <w:r w:rsidR="000F2646">
        <w:t>shows the attributes that the SLI SP requires and how th</w:t>
      </w:r>
      <w:r w:rsidR="00116427">
        <w:t>os</w:t>
      </w:r>
      <w:r w:rsidR="000F2646">
        <w:t>e attributes appear as name-value pairs in XML. Note that the roles attribute</w:t>
      </w:r>
      <w:r w:rsidR="00E23F0F">
        <w:t xml:space="preserve">, that is, </w:t>
      </w:r>
      <w:r w:rsidR="00E23F0F" w:rsidRPr="009D2402">
        <w:rPr>
          <w:rStyle w:val="CodeInline"/>
        </w:rPr>
        <w:t>&lt;Attribute Name="roles"&gt;</w:t>
      </w:r>
      <w:r w:rsidR="00E23F0F">
        <w:t xml:space="preserve">, </w:t>
      </w:r>
      <w:r w:rsidR="000F2646">
        <w:t xml:space="preserve">can </w:t>
      </w:r>
      <w:r w:rsidR="00116427">
        <w:t>have</w:t>
      </w:r>
      <w:r w:rsidR="000F2646">
        <w:t xml:space="preserve"> </w:t>
      </w:r>
      <w:r w:rsidR="00116427">
        <w:t>multiple values</w:t>
      </w:r>
      <w:r w:rsidR="00E23F0F">
        <w:t>, as the example shows</w:t>
      </w:r>
      <w:r w:rsidR="000F2646">
        <w:t>.</w:t>
      </w:r>
    </w:p>
    <w:p w14:paraId="5009683B" w14:textId="77777777" w:rsidR="007233DA" w:rsidRPr="00B707A6" w:rsidRDefault="007233DA" w:rsidP="009D2402">
      <w:pPr>
        <w:pStyle w:val="CodeExample"/>
      </w:pPr>
      <w:r w:rsidRPr="00B707A6">
        <w:t>&lt;AttributeStatement&gt;</w:t>
      </w:r>
    </w:p>
    <w:p w14:paraId="13F09227" w14:textId="77777777" w:rsidR="007233DA" w:rsidRPr="00214F6A" w:rsidRDefault="007233DA" w:rsidP="009D2402">
      <w:pPr>
        <w:pStyle w:val="CodeExample"/>
      </w:pPr>
      <w:r w:rsidRPr="00B707A6">
        <w:t>&lt;AttributeName="http://schemas.xmlsoap.org/ws/2005/05/identity/claims/upn"&gt;</w:t>
      </w:r>
    </w:p>
    <w:p w14:paraId="0F23992B" w14:textId="77777777" w:rsidR="007233DA" w:rsidRPr="00116427" w:rsidRDefault="007233DA" w:rsidP="009D2402">
      <w:pPr>
        <w:pStyle w:val="CodeExample"/>
      </w:pPr>
      <w:r w:rsidRPr="00116427">
        <w:t xml:space="preserve">                &lt;AttributeValue&gt;john.doe&lt;/AttributeValue&gt;</w:t>
      </w:r>
    </w:p>
    <w:p w14:paraId="63B7C688" w14:textId="77777777" w:rsidR="007233DA" w:rsidRPr="00EF14DB" w:rsidRDefault="007233DA" w:rsidP="009D2402">
      <w:pPr>
        <w:pStyle w:val="CodeExample"/>
      </w:pPr>
      <w:r w:rsidRPr="00EF14DB">
        <w:t xml:space="preserve">            &lt;/Attribute&gt;</w:t>
      </w:r>
    </w:p>
    <w:p w14:paraId="1C484D4A" w14:textId="77777777" w:rsidR="007233DA" w:rsidRPr="00EF14DB" w:rsidRDefault="007233DA" w:rsidP="009D2402">
      <w:pPr>
        <w:pStyle w:val="CodeExample"/>
      </w:pPr>
      <w:r w:rsidRPr="00EF14DB">
        <w:t xml:space="preserve">            &lt;Attribute Name="userId"&gt;</w:t>
      </w:r>
    </w:p>
    <w:p w14:paraId="1CC9C95B" w14:textId="77777777" w:rsidR="007233DA" w:rsidRPr="00EF14DB" w:rsidRDefault="007233DA" w:rsidP="009D2402">
      <w:pPr>
        <w:pStyle w:val="CodeExample"/>
      </w:pPr>
      <w:r w:rsidRPr="00EF14DB">
        <w:t xml:space="preserve">                &lt;AttributeValue&gt;john.doe&lt;/AttributeValue&gt;</w:t>
      </w:r>
    </w:p>
    <w:p w14:paraId="043E67C0" w14:textId="77777777" w:rsidR="007233DA" w:rsidRPr="00EF14DB" w:rsidRDefault="007233DA" w:rsidP="009D2402">
      <w:pPr>
        <w:pStyle w:val="CodeExample"/>
      </w:pPr>
      <w:r w:rsidRPr="00EF14DB">
        <w:t xml:space="preserve">            &lt;/Attribute&gt;</w:t>
      </w:r>
    </w:p>
    <w:p w14:paraId="691EF35C" w14:textId="77777777" w:rsidR="007233DA" w:rsidRPr="00EF14DB" w:rsidRDefault="007233DA" w:rsidP="009D2402">
      <w:pPr>
        <w:pStyle w:val="CodeExample"/>
      </w:pPr>
      <w:r w:rsidRPr="00EF14DB">
        <w:t xml:space="preserve">            &lt;Attribute Name="userName"&gt;</w:t>
      </w:r>
    </w:p>
    <w:p w14:paraId="636AFC9E" w14:textId="77777777" w:rsidR="007233DA" w:rsidRPr="00EF14DB" w:rsidRDefault="007233DA" w:rsidP="009D2402">
      <w:pPr>
        <w:pStyle w:val="CodeExample"/>
      </w:pPr>
      <w:r w:rsidRPr="00EF14DB">
        <w:t xml:space="preserve">                &lt;AttributeValue&gt;john.doe@slidev.org&lt;/AttributeValue&gt;</w:t>
      </w:r>
    </w:p>
    <w:p w14:paraId="1A6A1E54" w14:textId="77777777" w:rsidR="007233DA" w:rsidRPr="00EF14DB" w:rsidRDefault="007233DA" w:rsidP="009D2402">
      <w:pPr>
        <w:pStyle w:val="CodeExample"/>
      </w:pPr>
      <w:r w:rsidRPr="00EF14DB">
        <w:t xml:space="preserve">            &lt;/Attribute&gt;</w:t>
      </w:r>
    </w:p>
    <w:p w14:paraId="741A49B0" w14:textId="77777777" w:rsidR="007233DA" w:rsidRPr="00EF14DB" w:rsidRDefault="007233DA" w:rsidP="009D2402">
      <w:pPr>
        <w:pStyle w:val="CodeExample"/>
      </w:pPr>
      <w:r w:rsidRPr="00EF14DB">
        <w:t xml:space="preserve">            &lt;Attribute Name="roles"&gt;</w:t>
      </w:r>
    </w:p>
    <w:p w14:paraId="2F89E896" w14:textId="77777777" w:rsidR="007233DA" w:rsidRPr="00EF14DB" w:rsidRDefault="007233DA" w:rsidP="009D2402">
      <w:pPr>
        <w:pStyle w:val="CodeExample"/>
      </w:pPr>
      <w:r w:rsidRPr="00EF14DB">
        <w:t xml:space="preserve">                &lt;AttributeValue&gt;Domain Users&lt;/AttributeValue&gt;</w:t>
      </w:r>
    </w:p>
    <w:p w14:paraId="58ACA1E0" w14:textId="77777777" w:rsidR="007233DA" w:rsidRPr="00EF14DB" w:rsidRDefault="007233DA" w:rsidP="009D2402">
      <w:pPr>
        <w:pStyle w:val="CodeExample"/>
      </w:pPr>
      <w:r w:rsidRPr="00EF14DB">
        <w:t xml:space="preserve">                &lt;AttributeValue&gt;Teacher&lt;/AttributeValue&gt;</w:t>
      </w:r>
    </w:p>
    <w:p w14:paraId="71CAF0FA" w14:textId="77777777" w:rsidR="007233DA" w:rsidRPr="00EF14DB" w:rsidRDefault="007233DA" w:rsidP="009D2402">
      <w:pPr>
        <w:pStyle w:val="CodeExample"/>
      </w:pPr>
      <w:r w:rsidRPr="00EF14DB">
        <w:t xml:space="preserve">            &lt;/Attribute&gt;</w:t>
      </w:r>
    </w:p>
    <w:p w14:paraId="118BA886" w14:textId="77777777" w:rsidR="007233DA" w:rsidRPr="00EF14DB" w:rsidRDefault="007233DA" w:rsidP="009D2402">
      <w:pPr>
        <w:pStyle w:val="CodeExample"/>
      </w:pPr>
      <w:r w:rsidRPr="00EF14DB">
        <w:t>&lt;/AttributeStatement&gt;</w:t>
      </w:r>
    </w:p>
    <w:p w14:paraId="35CCE057" w14:textId="77777777" w:rsidR="007233DA" w:rsidRPr="002D733C" w:rsidRDefault="007233DA" w:rsidP="00A1298C">
      <w:pPr>
        <w:pStyle w:val="Heading2"/>
      </w:pPr>
      <w:bookmarkStart w:id="42" w:name="_Toc196216254"/>
      <w:bookmarkStart w:id="43" w:name="_Toc324348165"/>
      <w:r w:rsidRPr="002D733C">
        <w:t>Authenticating Non Web-based Applications</w:t>
      </w:r>
      <w:bookmarkEnd w:id="42"/>
      <w:bookmarkEnd w:id="43"/>
    </w:p>
    <w:p w14:paraId="0FC74446" w14:textId="77777777" w:rsidR="007233DA" w:rsidRPr="00CE5635" w:rsidRDefault="007233DA" w:rsidP="007233DA">
      <w:r>
        <w:t xml:space="preserve">The OAuth specification supports long-life tokens, which can be granted to an application on behalf of a user after the user authorizes the actions/permissions requested by the application. Investigation into the configuration of such a feature to meet the stringent security requirements of SLI is currently under way. </w:t>
      </w:r>
    </w:p>
    <w:p w14:paraId="6A92DCA9" w14:textId="0F6AD275" w:rsidR="007233DA" w:rsidRDefault="009C2F6A" w:rsidP="00A1298C">
      <w:pPr>
        <w:pStyle w:val="Heading2"/>
      </w:pPr>
      <w:bookmarkStart w:id="44" w:name="_Toc196216255"/>
      <w:bookmarkStart w:id="45" w:name="_Toc324348166"/>
      <w:r>
        <w:t>Application On</w:t>
      </w:r>
      <w:r w:rsidR="007233DA">
        <w:t>boarding</w:t>
      </w:r>
      <w:bookmarkEnd w:id="44"/>
      <w:bookmarkEnd w:id="45"/>
    </w:p>
    <w:p w14:paraId="1F28382E" w14:textId="0A627B35" w:rsidR="007233DA" w:rsidRDefault="007233DA" w:rsidP="007233DA">
      <w:r>
        <w:t>To become available to a District end user, an application needs to be onboarded with SLI and then authorized by the respective District Super-Administrator</w:t>
      </w:r>
      <w:r w:rsidR="00D17408">
        <w:t>. See</w:t>
      </w:r>
      <w:r w:rsidR="00DA0399">
        <w:t xml:space="preserve"> section</w:t>
      </w:r>
      <w:r w:rsidR="006659D7">
        <w:t xml:space="preserve"> </w:t>
      </w:r>
      <w:r w:rsidR="00683ECE">
        <w:fldChar w:fldCharType="begin"/>
      </w:r>
      <w:r w:rsidR="00683ECE">
        <w:instrText xml:space="preserve"> REF _Ref324343557 \w </w:instrText>
      </w:r>
      <w:r w:rsidR="00683ECE">
        <w:fldChar w:fldCharType="separate"/>
      </w:r>
      <w:r w:rsidR="006659D7">
        <w:t>3.11</w:t>
      </w:r>
      <w:r w:rsidR="00683ECE">
        <w:fldChar w:fldCharType="end"/>
      </w:r>
      <w:r w:rsidR="00DA0399">
        <w:t xml:space="preserve">, </w:t>
      </w:r>
      <w:r w:rsidR="00D17408">
        <w:t>“</w:t>
      </w:r>
      <w:hyperlink w:anchor="_Application_Authorization" w:history="1">
        <w:r w:rsidR="00D17408" w:rsidRPr="00D17408">
          <w:rPr>
            <w:rStyle w:val="Hyperlink"/>
          </w:rPr>
          <w:t>Application Authorization</w:t>
        </w:r>
      </w:hyperlink>
      <w:r w:rsidR="00D17408">
        <w:t>”.</w:t>
      </w:r>
    </w:p>
    <w:p w14:paraId="65000F0E" w14:textId="77777777" w:rsidR="007233DA" w:rsidRDefault="007233DA" w:rsidP="007233DA">
      <w:r>
        <w:lastRenderedPageBreak/>
        <w:t xml:space="preserve">The Application on-boarding is a two-step process that requires joint effort between vendors and SLC. </w:t>
      </w:r>
    </w:p>
    <w:p w14:paraId="4E4E7DD4" w14:textId="77777777" w:rsidR="007233DA" w:rsidRDefault="007233DA" w:rsidP="00A1298C">
      <w:pPr>
        <w:pStyle w:val="Heading2"/>
      </w:pPr>
      <w:bookmarkStart w:id="46" w:name="_Toc196216256"/>
      <w:bookmarkStart w:id="47" w:name="_Toc324348167"/>
      <w:r>
        <w:t>Application Registration</w:t>
      </w:r>
      <w:bookmarkEnd w:id="46"/>
      <w:bookmarkEnd w:id="47"/>
    </w:p>
    <w:p w14:paraId="49338014" w14:textId="416C758C" w:rsidR="007233DA" w:rsidRDefault="007233DA" w:rsidP="007233DA">
      <w:r>
        <w:t>In the first step, the Vendor submits a registration request to SLC, where the basic Application information is specified. The platform operator should then approve the request. After the Application registration request is approved, the vendor will receive Application-unique information that needs to be integrated in the application, so that the (SLI) platform can authenticate and “recognize” the application.</w:t>
      </w:r>
      <w:r w:rsidR="005C72D1">
        <w:t xml:space="preserve"> For more information about the application registration process, see </w:t>
      </w:r>
      <w:r w:rsidR="005C72D1" w:rsidRPr="009D2402">
        <w:rPr>
          <w:rStyle w:val="DocTitle"/>
        </w:rPr>
        <w:t>Data Store REST API Developer Guide</w:t>
      </w:r>
      <w:r w:rsidR="005C72D1">
        <w:t xml:space="preserve"> in the developer documentation set.</w:t>
      </w:r>
    </w:p>
    <w:p w14:paraId="57C551E9" w14:textId="77777777" w:rsidR="007233DA" w:rsidRDefault="007233DA" w:rsidP="00A1298C">
      <w:pPr>
        <w:pStyle w:val="Heading2"/>
      </w:pPr>
      <w:bookmarkStart w:id="48" w:name="_Toc196216257"/>
      <w:bookmarkStart w:id="49" w:name="_Toc324348168"/>
      <w:r>
        <w:t>Application Enablement</w:t>
      </w:r>
      <w:bookmarkEnd w:id="48"/>
      <w:bookmarkEnd w:id="49"/>
    </w:p>
    <w:p w14:paraId="47E43EE5" w14:textId="77777777" w:rsidR="007233DA" w:rsidRDefault="007233DA" w:rsidP="007233DA">
      <w:r>
        <w:t xml:space="preserve">When the vendor is ready to release the Application, the vendor will choose to whom (States, Districts, everyone) the Application should be available. As noted earlier, making the Application available for a particular District does not provide access to the District’s data. </w:t>
      </w:r>
    </w:p>
    <w:p w14:paraId="1A4DBC92" w14:textId="77777777" w:rsidR="007233DA" w:rsidRPr="002D733C" w:rsidRDefault="007233DA" w:rsidP="00A1298C">
      <w:pPr>
        <w:pStyle w:val="Heading2"/>
      </w:pPr>
      <w:bookmarkStart w:id="50" w:name="_Application_Authorization"/>
      <w:bookmarkStart w:id="51" w:name="_Toc196216258"/>
      <w:bookmarkStart w:id="52" w:name="_Ref324334366"/>
      <w:bookmarkStart w:id="53" w:name="_Ref324334381"/>
      <w:bookmarkStart w:id="54" w:name="_Ref324334448"/>
      <w:bookmarkStart w:id="55" w:name="_Ref324334459"/>
      <w:bookmarkStart w:id="56" w:name="_Ref324334669"/>
      <w:bookmarkStart w:id="57" w:name="_Ref324343557"/>
      <w:bookmarkStart w:id="58" w:name="_Toc324348169"/>
      <w:bookmarkEnd w:id="50"/>
      <w:r w:rsidRPr="002D733C">
        <w:t>Application Authorization</w:t>
      </w:r>
      <w:bookmarkEnd w:id="51"/>
      <w:bookmarkEnd w:id="52"/>
      <w:bookmarkEnd w:id="53"/>
      <w:bookmarkEnd w:id="54"/>
      <w:bookmarkEnd w:id="55"/>
      <w:bookmarkEnd w:id="56"/>
      <w:bookmarkEnd w:id="57"/>
      <w:bookmarkEnd w:id="58"/>
    </w:p>
    <w:p w14:paraId="3347FDAA" w14:textId="77777777" w:rsidR="007233DA" w:rsidRDefault="007233DA" w:rsidP="007233DA">
      <w:r>
        <w:t xml:space="preserve">To access a District’s data within the SLI, an application must be granted permission by the designated District Super-Administrator or other District user who has the appropriate delegated permissions. SLI recognizes the District as the ultimate arbiter of who is able to view or manipulate its data. Ultimately, the authorization will be configurable based on particular data entities (or collections thereof). </w:t>
      </w:r>
    </w:p>
    <w:p w14:paraId="6BDB2751" w14:textId="77777777" w:rsidR="007233DA" w:rsidRDefault="007233DA" w:rsidP="00A1298C">
      <w:pPr>
        <w:pStyle w:val="Heading2"/>
      </w:pPr>
      <w:bookmarkStart w:id="59" w:name="_Toc196216259"/>
      <w:bookmarkStart w:id="60" w:name="_Toc324348170"/>
      <w:r>
        <w:t>Data Access Authorization</w:t>
      </w:r>
      <w:bookmarkEnd w:id="59"/>
      <w:bookmarkEnd w:id="60"/>
    </w:p>
    <w:p w14:paraId="51802FFB" w14:textId="74CE45E0" w:rsidR="007233DA" w:rsidRDefault="007233DA" w:rsidP="007233DA">
      <w:r>
        <w:t xml:space="preserve">Authorization to protected resources </w:t>
      </w:r>
      <w:r w:rsidR="00FE301B">
        <w:t>in the SLI API</w:t>
      </w:r>
      <w:r>
        <w:t>is</w:t>
      </w:r>
      <w:r w:rsidR="00FE301B">
        <w:t xml:space="preserve"> a multistep process that starts by determining if any of the roles provided in the SAML assertion response correspond to the default SLI roles.</w:t>
      </w:r>
      <w:r>
        <w:t xml:space="preserve"> </w:t>
      </w:r>
      <w:r w:rsidR="00FE301B">
        <w:t>If not then no authorization is granted. If a role is matched this determines the permissions the user has, next the SLI API must determine which data the user has access to. This is done by using the userId attribute passed in the SAML assertion response to locate the core entity for that user. Now a determination can be made as to whether the current user has a valid association to the requested data via the allowed security paths in the entity model and the specific data the user is trying to access</w:t>
      </w:r>
      <w:r>
        <w:t>.</w:t>
      </w:r>
    </w:p>
    <w:p w14:paraId="3DBD9D34" w14:textId="285B8881" w:rsidR="007233DA" w:rsidRDefault="00677FCD" w:rsidP="007233DA">
      <w:pPr>
        <w:keepNext/>
        <w:spacing w:line="360" w:lineRule="atLeast"/>
      </w:pPr>
      <w:r>
        <w:rPr>
          <w:noProof/>
        </w:rPr>
        <w:lastRenderedPageBreak/>
        <w:drawing>
          <wp:inline distT="0" distB="0" distL="0" distR="0" wp14:anchorId="21451A98" wp14:editId="147A929A">
            <wp:extent cx="4382530" cy="771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zation_flow.png"/>
                    <pic:cNvPicPr/>
                  </pic:nvPicPr>
                  <pic:blipFill>
                    <a:blip r:embed="rId12">
                      <a:extLst>
                        <a:ext uri="{28A0092B-C50C-407E-A947-70E740481C1C}">
                          <a14:useLocalDpi xmlns:a14="http://schemas.microsoft.com/office/drawing/2010/main" val="0"/>
                        </a:ext>
                      </a:extLst>
                    </a:blip>
                    <a:stretch>
                      <a:fillRect/>
                    </a:stretch>
                  </pic:blipFill>
                  <pic:spPr>
                    <a:xfrm>
                      <a:off x="0" y="0"/>
                      <a:ext cx="4384014" cy="7722380"/>
                    </a:xfrm>
                    <a:prstGeom prst="rect">
                      <a:avLst/>
                    </a:prstGeom>
                  </pic:spPr>
                </pic:pic>
              </a:graphicData>
            </a:graphic>
          </wp:inline>
        </w:drawing>
      </w:r>
    </w:p>
    <w:p w14:paraId="2E44B8BF" w14:textId="77777777" w:rsidR="007233DA" w:rsidRPr="00E04F66" w:rsidRDefault="007233DA" w:rsidP="007233DA">
      <w:pPr>
        <w:pStyle w:val="Caption"/>
        <w:rPr>
          <w:rFonts w:ascii="Trebuchet MS" w:eastAsia="Times New Roman" w:hAnsi="Trebuchet MS" w:cs="Times New Roman"/>
          <w:color w:val="6E706E"/>
        </w:rPr>
      </w:pPr>
      <w:bookmarkStart w:id="61" w:name="_Toc196213427"/>
      <w:r>
        <w:lastRenderedPageBreak/>
        <w:t xml:space="preserve">Figure </w:t>
      </w:r>
      <w:fldSimple w:instr=" SEQ Figure \* ARABIC ">
        <w:r w:rsidR="00A54FB1">
          <w:rPr>
            <w:noProof/>
          </w:rPr>
          <w:t>4</w:t>
        </w:r>
      </w:fldSimple>
      <w:r>
        <w:t xml:space="preserve"> – Accessing Protected Resource Workflow</w:t>
      </w:r>
      <w:bookmarkEnd w:id="61"/>
    </w:p>
    <w:p w14:paraId="1D703D99" w14:textId="77777777" w:rsidR="007233DA" w:rsidRDefault="007233DA" w:rsidP="00A1298C">
      <w:pPr>
        <w:pStyle w:val="Heading2"/>
      </w:pPr>
      <w:bookmarkStart w:id="62" w:name="_Toc196216260"/>
      <w:bookmarkStart w:id="63" w:name="_Toc324348171"/>
      <w:r>
        <w:t>Mapping entities to Directory entries</w:t>
      </w:r>
      <w:bookmarkEnd w:id="62"/>
      <w:bookmarkEnd w:id="63"/>
    </w:p>
    <w:p w14:paraId="75F7D19F" w14:textId="153CAA84" w:rsidR="007233DA" w:rsidRDefault="007233DA" w:rsidP="007233DA">
      <w:r>
        <w:t xml:space="preserve">In the previous diagram, one of the final steps is to resolve the mapping of the ID attribute in the Directory that corresponds to the SLI data entity that is used to determine the relationship of the user logged in to the resource that is protected. For example, if a teacher can only view student assessments for students that they teach, the relationship </w:t>
      </w:r>
      <w:r w:rsidR="008C7825">
        <w:t xml:space="preserve">between </w:t>
      </w:r>
      <w:r>
        <w:t xml:space="preserve">the Staff entity </w:t>
      </w:r>
      <w:r w:rsidR="008C7825">
        <w:t xml:space="preserve">and  </w:t>
      </w:r>
      <w:r>
        <w:t>the student</w:t>
      </w:r>
      <w:r w:rsidR="008C7825">
        <w:t xml:space="preserve"> entity</w:t>
      </w:r>
      <w:r>
        <w:t xml:space="preserve"> (through the Section entity) must </w:t>
      </w:r>
      <w:r w:rsidR="008C7825">
        <w:t xml:space="preserve">be modeled </w:t>
      </w:r>
      <w:r>
        <w:t>in the</w:t>
      </w:r>
      <w:r w:rsidR="008C7825">
        <w:t xml:space="preserve"> </w:t>
      </w:r>
      <w:r>
        <w:t>l</w:t>
      </w:r>
      <w:r w:rsidR="008C7825">
        <w:t>ogical model</w:t>
      </w:r>
      <w:r>
        <w:t>.</w:t>
      </w:r>
    </w:p>
    <w:p w14:paraId="3F31C60F" w14:textId="77777777" w:rsidR="007233DA" w:rsidRDefault="007233DA" w:rsidP="000D39A9">
      <w:pPr>
        <w:pStyle w:val="NormalIntro"/>
      </w:pPr>
      <w:r>
        <w:t>The attributes in the Directory entry that can be used to resolve the relationship will most likely need to be configured by the SEA/LEA, because different Directory setups can use different attributes to represent the UID within the enrollment data (typically sourced from an SIS).</w:t>
      </w:r>
    </w:p>
    <w:p w14:paraId="73880CAE" w14:textId="5A908684" w:rsidR="007233DA" w:rsidRDefault="00613E44" w:rsidP="007233DA">
      <w:pPr>
        <w:keepNext/>
        <w:spacing w:line="360" w:lineRule="atLeast"/>
      </w:pPr>
      <w:r w:rsidRPr="009C7027">
        <w:rPr>
          <w:rFonts w:ascii="Trebuchet MS" w:eastAsia="Times New Roman" w:hAnsi="Trebuchet MS" w:cs="Times New Roman"/>
          <w:noProof/>
          <w:color w:val="6E706E"/>
          <w:sz w:val="20"/>
          <w:szCs w:val="20"/>
        </w:rPr>
        <w:drawing>
          <wp:inline distT="0" distB="0" distL="0" distR="0" wp14:anchorId="2DF5AACD" wp14:editId="57B06BB4">
            <wp:extent cx="5486400" cy="2127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_-_IDs_-_mapping (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127250"/>
                    </a:xfrm>
                    <a:prstGeom prst="rect">
                      <a:avLst/>
                    </a:prstGeom>
                  </pic:spPr>
                </pic:pic>
              </a:graphicData>
            </a:graphic>
          </wp:inline>
        </w:drawing>
      </w:r>
    </w:p>
    <w:p w14:paraId="455B6A3E" w14:textId="77777777" w:rsidR="007233DA" w:rsidRDefault="007233DA" w:rsidP="007233DA">
      <w:pPr>
        <w:pStyle w:val="Caption"/>
      </w:pPr>
      <w:bookmarkStart w:id="64" w:name="_Toc196213428"/>
      <w:r>
        <w:t xml:space="preserve">Figure </w:t>
      </w:r>
      <w:fldSimple w:instr=" SEQ Figure \* ARABIC ">
        <w:r w:rsidR="00A54FB1">
          <w:rPr>
            <w:noProof/>
          </w:rPr>
          <w:t>5</w:t>
        </w:r>
      </w:fldSimple>
      <w:r>
        <w:t xml:space="preserve"> – ID Mapping</w:t>
      </w:r>
      <w:bookmarkEnd w:id="64"/>
    </w:p>
    <w:p w14:paraId="61798AD5" w14:textId="6FA493BC" w:rsidR="00F47221" w:rsidRDefault="00F47221" w:rsidP="000D39A9">
      <w:pPr>
        <w:pStyle w:val="Heading3"/>
      </w:pPr>
      <w:bookmarkStart w:id="65" w:name="_Toc324348172"/>
      <w:r>
        <w:t xml:space="preserve">How ID-to-Entity Mapping </w:t>
      </w:r>
      <w:r w:rsidR="00EC3E6D">
        <w:t>Determines</w:t>
      </w:r>
      <w:r>
        <w:t xml:space="preserve"> Access Control</w:t>
      </w:r>
      <w:bookmarkEnd w:id="65"/>
    </w:p>
    <w:p w14:paraId="6D8653D4" w14:textId="11018311" w:rsidR="00857760" w:rsidRPr="00857760" w:rsidRDefault="00857760" w:rsidP="00857760">
      <w:r w:rsidRPr="00BA4A8C">
        <w:t>T</w:t>
      </w:r>
      <w:r>
        <w:t xml:space="preserve">his section </w:t>
      </w:r>
      <w:r w:rsidR="00767CD0">
        <w:t>includes</w:t>
      </w:r>
      <w:r w:rsidRPr="00BA4A8C">
        <w:t xml:space="preserve"> example</w:t>
      </w:r>
      <w:r>
        <w:t xml:space="preserve">s </w:t>
      </w:r>
      <w:r w:rsidR="00DD2EE0">
        <w:t>that illustrate how</w:t>
      </w:r>
      <w:r w:rsidRPr="00BA4A8C">
        <w:t xml:space="preserve"> relationships </w:t>
      </w:r>
      <w:r>
        <w:t>between entities</w:t>
      </w:r>
      <w:r w:rsidR="00DD2EE0">
        <w:t xml:space="preserve"> provide the security context</w:t>
      </w:r>
      <w:r w:rsidR="003C2A22">
        <w:t xml:space="preserve"> that SLI uses when evaluating</w:t>
      </w:r>
      <w:r w:rsidR="00767CD0">
        <w:t xml:space="preserve"> context-based permissions</w:t>
      </w:r>
      <w:r w:rsidR="00F933D2">
        <w:t xml:space="preserve"> </w:t>
      </w:r>
      <w:r w:rsidR="003C2A22">
        <w:t>in order to grant or deny</w:t>
      </w:r>
      <w:r w:rsidR="00F933D2">
        <w:t xml:space="preserve"> access to protected data</w:t>
      </w:r>
      <w:r w:rsidR="00767CD0">
        <w:t>.</w:t>
      </w:r>
      <w:r w:rsidR="00DD2EE0">
        <w:t xml:space="preserve"> These examples are for illustration purposes only. That is, </w:t>
      </w:r>
      <w:r w:rsidR="003C2A22">
        <w:t>similar</w:t>
      </w:r>
      <w:r w:rsidR="00DD2EE0">
        <w:t xml:space="preserve"> </w:t>
      </w:r>
      <w:r w:rsidR="00767CD0">
        <w:t>constraints</w:t>
      </w:r>
      <w:r w:rsidR="00DD2EE0">
        <w:t xml:space="preserve"> </w:t>
      </w:r>
      <w:r w:rsidR="003C2A22">
        <w:t xml:space="preserve">can be </w:t>
      </w:r>
      <w:r w:rsidR="00DD2EE0">
        <w:t>appl</w:t>
      </w:r>
      <w:r w:rsidR="003C2A22">
        <w:t>ied to other relationships as needed.</w:t>
      </w:r>
    </w:p>
    <w:p w14:paraId="5F07B040" w14:textId="16DA2334" w:rsidR="007233DA" w:rsidRPr="005D4397" w:rsidRDefault="00F47221" w:rsidP="000D39A9">
      <w:pPr>
        <w:pStyle w:val="Heading4"/>
      </w:pPr>
      <w:r>
        <w:lastRenderedPageBreak/>
        <w:t>Example of an Authorized ID-to-Entity Relationship</w:t>
      </w:r>
    </w:p>
    <w:p w14:paraId="734979EF" w14:textId="536658DA" w:rsidR="00857760" w:rsidRPr="00BA4A8C" w:rsidRDefault="00857760" w:rsidP="000D39A9">
      <w:pPr>
        <w:pStyle w:val="NormalIntro"/>
      </w:pPr>
      <w:r>
        <w:t>The following</w:t>
      </w:r>
      <w:r w:rsidRPr="00BA4A8C">
        <w:t xml:space="preserve"> </w:t>
      </w:r>
      <w:r>
        <w:t>figure</w:t>
      </w:r>
      <w:r w:rsidRPr="00BA4A8C">
        <w:t xml:space="preserve"> shows</w:t>
      </w:r>
      <w:r>
        <w:t xml:space="preserve"> how </w:t>
      </w:r>
      <w:r w:rsidR="0042013A">
        <w:t xml:space="preserve">the </w:t>
      </w:r>
      <w:r>
        <w:t>appropriate entity relationships between</w:t>
      </w:r>
      <w:r w:rsidRPr="00BA4A8C">
        <w:t xml:space="preserve"> </w:t>
      </w:r>
      <w:r>
        <w:t xml:space="preserve">a </w:t>
      </w:r>
      <w:r w:rsidRPr="00BA4A8C">
        <w:t xml:space="preserve">student </w:t>
      </w:r>
      <w:r>
        <w:t>and a</w:t>
      </w:r>
      <w:r w:rsidRPr="00BA4A8C">
        <w:t xml:space="preserve"> teacher</w:t>
      </w:r>
      <w:r>
        <w:t xml:space="preserve"> result in the granting of access</w:t>
      </w:r>
      <w:r w:rsidRPr="00BA4A8C">
        <w:t>.</w:t>
      </w:r>
      <w:r>
        <w:t xml:space="preserve"> That is, the teacher is allowed to see the student data.</w:t>
      </w:r>
    </w:p>
    <w:p w14:paraId="655A6E75" w14:textId="758564FE" w:rsidR="007233DA" w:rsidRDefault="00613E44" w:rsidP="007233DA">
      <w:pPr>
        <w:keepNext/>
        <w:spacing w:line="360" w:lineRule="atLeast"/>
      </w:pPr>
      <w:r w:rsidRPr="009C7027">
        <w:rPr>
          <w:rFonts w:ascii="Trebuchet MS" w:eastAsia="Times New Roman" w:hAnsi="Trebuchet MS" w:cs="Times New Roman"/>
          <w:noProof/>
          <w:color w:val="6E706E"/>
          <w:sz w:val="20"/>
          <w:szCs w:val="20"/>
        </w:rPr>
        <w:drawing>
          <wp:inline distT="0" distB="0" distL="0" distR="0" wp14:anchorId="64112E28" wp14:editId="4F9EE25F">
            <wp:extent cx="5486400" cy="328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z_-_Core_Entity_Mode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82950"/>
                    </a:xfrm>
                    <a:prstGeom prst="rect">
                      <a:avLst/>
                    </a:prstGeom>
                  </pic:spPr>
                </pic:pic>
              </a:graphicData>
            </a:graphic>
          </wp:inline>
        </w:drawing>
      </w:r>
    </w:p>
    <w:p w14:paraId="594C7E2E" w14:textId="77777777" w:rsidR="007233DA" w:rsidRDefault="007233DA" w:rsidP="007233DA">
      <w:pPr>
        <w:pStyle w:val="Caption"/>
      </w:pPr>
      <w:bookmarkStart w:id="66" w:name="_Toc196213429"/>
      <w:r>
        <w:t xml:space="preserve">Figure </w:t>
      </w:r>
      <w:fldSimple w:instr=" SEQ Figure \* ARABIC ">
        <w:r w:rsidR="00A54FB1">
          <w:rPr>
            <w:noProof/>
          </w:rPr>
          <w:t>6</w:t>
        </w:r>
      </w:fldSimple>
      <w:r>
        <w:t xml:space="preserve"> – Core Entity Model Relationships</w:t>
      </w:r>
      <w:bookmarkEnd w:id="66"/>
    </w:p>
    <w:p w14:paraId="70FB5CF3" w14:textId="5BB39257" w:rsidR="00E07740" w:rsidRDefault="00E07740" w:rsidP="009D2402">
      <w:pPr>
        <w:pStyle w:val="Heading4"/>
      </w:pPr>
      <w:r>
        <w:lastRenderedPageBreak/>
        <w:t>Example of an Unauthorized ID-to-Entity Relationship</w:t>
      </w:r>
    </w:p>
    <w:p w14:paraId="2BC1EBB8" w14:textId="75FFDD4E" w:rsidR="007233DA" w:rsidRPr="00BA4A8C" w:rsidRDefault="007233DA" w:rsidP="000D39A9">
      <w:pPr>
        <w:pStyle w:val="NormalIntro"/>
      </w:pPr>
      <w:r>
        <w:t>The following</w:t>
      </w:r>
      <w:r w:rsidRPr="00BA4A8C">
        <w:t xml:space="preserve"> </w:t>
      </w:r>
      <w:r>
        <w:t>figure</w:t>
      </w:r>
      <w:r w:rsidRPr="00BA4A8C">
        <w:t xml:space="preserve"> shows</w:t>
      </w:r>
      <w:r w:rsidR="000B201C">
        <w:t xml:space="preserve"> how the lack of appropriate</w:t>
      </w:r>
      <w:r w:rsidR="0042013A">
        <w:t xml:space="preserve"> entity</w:t>
      </w:r>
      <w:r w:rsidR="000B201C">
        <w:t xml:space="preserve"> relationships between</w:t>
      </w:r>
      <w:r w:rsidRPr="00BA4A8C">
        <w:t xml:space="preserve"> </w:t>
      </w:r>
      <w:r w:rsidR="00737B6D">
        <w:t xml:space="preserve">a </w:t>
      </w:r>
      <w:r w:rsidRPr="00BA4A8C">
        <w:t xml:space="preserve">student </w:t>
      </w:r>
      <w:r w:rsidR="00737B6D">
        <w:t>and a</w:t>
      </w:r>
      <w:r w:rsidRPr="00BA4A8C">
        <w:t xml:space="preserve"> teacher</w:t>
      </w:r>
      <w:r w:rsidR="00737B6D">
        <w:t xml:space="preserve"> result</w:t>
      </w:r>
      <w:r w:rsidR="00857760">
        <w:t>s</w:t>
      </w:r>
      <w:r w:rsidR="00737B6D">
        <w:t xml:space="preserve"> in the denial of access</w:t>
      </w:r>
      <w:r w:rsidRPr="00BA4A8C">
        <w:t>.</w:t>
      </w:r>
      <w:r w:rsidR="00C1238D">
        <w:t xml:space="preserve"> That is, the teacher is prevented from seeing the protected student data.</w:t>
      </w:r>
    </w:p>
    <w:p w14:paraId="497CAFF6" w14:textId="77777777" w:rsidR="007233DA" w:rsidRDefault="007233DA" w:rsidP="007233DA">
      <w:pPr>
        <w:keepNext/>
        <w:spacing w:line="360" w:lineRule="atLeast"/>
      </w:pPr>
      <w:r>
        <w:rPr>
          <w:rFonts w:ascii="Trebuchet MS" w:eastAsia="Times New Roman" w:hAnsi="Trebuchet MS" w:cs="Times New Roman"/>
          <w:noProof/>
          <w:color w:val="6E706E"/>
          <w:sz w:val="20"/>
          <w:szCs w:val="20"/>
        </w:rPr>
        <w:drawing>
          <wp:inline distT="0" distB="0" distL="0" distR="0" wp14:anchorId="04A34272" wp14:editId="0638BFE6">
            <wp:extent cx="5659694" cy="3924949"/>
            <wp:effectExtent l="0" t="0" r="0" b="0"/>
            <wp:docPr id="15" name="Picture 15" descr="http://www.gliffy.com/pubdoc/312674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gliffy.com/pubdoc/3126745/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627" cy="3924903"/>
                    </a:xfrm>
                    <a:prstGeom prst="rect">
                      <a:avLst/>
                    </a:prstGeom>
                    <a:noFill/>
                    <a:ln>
                      <a:noFill/>
                    </a:ln>
                  </pic:spPr>
                </pic:pic>
              </a:graphicData>
            </a:graphic>
          </wp:inline>
        </w:drawing>
      </w:r>
    </w:p>
    <w:p w14:paraId="7612BB0A" w14:textId="240E77C9" w:rsidR="007233DA" w:rsidRPr="00181A53" w:rsidRDefault="007233DA" w:rsidP="00181A53">
      <w:pPr>
        <w:pStyle w:val="Caption"/>
        <w:rPr>
          <w:rFonts w:ascii="Trebuchet MS" w:eastAsia="Times New Roman" w:hAnsi="Trebuchet MS" w:cs="Times New Roman"/>
          <w:color w:val="6E706E"/>
        </w:rPr>
      </w:pPr>
      <w:bookmarkStart w:id="67" w:name="_Toc196213430"/>
      <w:r>
        <w:t xml:space="preserve">Figure </w:t>
      </w:r>
      <w:fldSimple w:instr=" SEQ Figure \* ARABIC ">
        <w:r w:rsidR="00A54FB1">
          <w:rPr>
            <w:noProof/>
          </w:rPr>
          <w:t>7</w:t>
        </w:r>
      </w:fldSimple>
      <w:r>
        <w:t xml:space="preserve"> – Non-Existent Relationships in Core Entity Model</w:t>
      </w:r>
      <w:bookmarkEnd w:id="67"/>
    </w:p>
    <w:p w14:paraId="479E56A2" w14:textId="77777777" w:rsidR="007233DA" w:rsidRDefault="007233DA" w:rsidP="00A1298C">
      <w:pPr>
        <w:pStyle w:val="Heading1"/>
      </w:pPr>
      <w:bookmarkStart w:id="68" w:name="id.8f6fad795ea3"/>
      <w:bookmarkStart w:id="69" w:name="_Toc308387504"/>
      <w:bookmarkStart w:id="70" w:name="_Toc308387779"/>
      <w:bookmarkStart w:id="71" w:name="_Toc308387505"/>
      <w:bookmarkStart w:id="72" w:name="_Toc308387780"/>
      <w:bookmarkStart w:id="73" w:name="_Toc308387506"/>
      <w:bookmarkStart w:id="74" w:name="_Toc308387781"/>
      <w:bookmarkStart w:id="75" w:name="_Toc308387507"/>
      <w:bookmarkStart w:id="76" w:name="_Toc308387782"/>
      <w:bookmarkStart w:id="77" w:name="_Toc308387508"/>
      <w:bookmarkStart w:id="78" w:name="_Toc308387783"/>
      <w:bookmarkStart w:id="79" w:name="_Toc308387509"/>
      <w:bookmarkStart w:id="80" w:name="_Toc308387784"/>
      <w:bookmarkStart w:id="81" w:name="_Toc308387510"/>
      <w:bookmarkStart w:id="82" w:name="_Toc308387785"/>
      <w:bookmarkStart w:id="83" w:name="_Toc308387512"/>
      <w:bookmarkStart w:id="84" w:name="_Toc308387787"/>
      <w:bookmarkStart w:id="85" w:name="_Toc308387514"/>
      <w:bookmarkStart w:id="86" w:name="_Toc308387789"/>
      <w:bookmarkStart w:id="87" w:name="_Toc308387515"/>
      <w:bookmarkStart w:id="88" w:name="_Toc308387790"/>
      <w:bookmarkStart w:id="89" w:name="_Toc308387516"/>
      <w:bookmarkStart w:id="90" w:name="_Toc308387791"/>
      <w:bookmarkStart w:id="91" w:name="_Toc308387517"/>
      <w:bookmarkStart w:id="92" w:name="_Toc308387792"/>
      <w:bookmarkStart w:id="93" w:name="_Toc308387518"/>
      <w:bookmarkStart w:id="94" w:name="_Toc308387793"/>
      <w:bookmarkStart w:id="95" w:name="_Toc308387519"/>
      <w:bookmarkStart w:id="96" w:name="_Toc308387794"/>
      <w:bookmarkStart w:id="97" w:name="_Toc308387550"/>
      <w:bookmarkStart w:id="98" w:name="_Toc308387825"/>
      <w:bookmarkStart w:id="99" w:name="_Toc308387551"/>
      <w:bookmarkStart w:id="100" w:name="_Toc308387826"/>
      <w:bookmarkStart w:id="101" w:name="_Toc308387552"/>
      <w:bookmarkStart w:id="102" w:name="_Toc308387827"/>
      <w:bookmarkStart w:id="103" w:name="_Toc308387553"/>
      <w:bookmarkStart w:id="104" w:name="_Toc308387828"/>
      <w:bookmarkStart w:id="105" w:name="_Toc308387554"/>
      <w:bookmarkStart w:id="106" w:name="_Toc308387829"/>
      <w:bookmarkStart w:id="107" w:name="_Toc308387555"/>
      <w:bookmarkStart w:id="108" w:name="_Toc308387830"/>
      <w:bookmarkStart w:id="109" w:name="_Toc308387556"/>
      <w:bookmarkStart w:id="110" w:name="_Toc308387831"/>
      <w:bookmarkStart w:id="111" w:name="id.4cd6dc976f6a"/>
      <w:bookmarkStart w:id="112" w:name="id.76407d38e1ab"/>
      <w:bookmarkStart w:id="113" w:name="_Toc308387557"/>
      <w:bookmarkStart w:id="114" w:name="_Toc308387832"/>
      <w:bookmarkStart w:id="115" w:name="_Toc308387585"/>
      <w:bookmarkStart w:id="116" w:name="_Toc308387860"/>
      <w:bookmarkStart w:id="117" w:name="_Toc308387586"/>
      <w:bookmarkStart w:id="118" w:name="_Toc308387861"/>
      <w:bookmarkStart w:id="119" w:name="_Toc308387587"/>
      <w:bookmarkStart w:id="120" w:name="_Toc308387862"/>
      <w:bookmarkStart w:id="121" w:name="_Ref185611222"/>
      <w:bookmarkStart w:id="122" w:name="_Toc196216261"/>
      <w:bookmarkStart w:id="123" w:name="_Toc32434817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D01A2A">
        <w:t xml:space="preserve">SLI </w:t>
      </w:r>
      <w:r>
        <w:t xml:space="preserve">User </w:t>
      </w:r>
      <w:r w:rsidRPr="00D01A2A">
        <w:t>Role and Permission</w:t>
      </w:r>
      <w:r>
        <w:t xml:space="preserve"> Management</w:t>
      </w:r>
      <w:bookmarkEnd w:id="121"/>
      <w:bookmarkEnd w:id="122"/>
      <w:bookmarkEnd w:id="123"/>
    </w:p>
    <w:p w14:paraId="206E6330" w14:textId="77777777" w:rsidR="007233DA" w:rsidRDefault="007233DA" w:rsidP="00282A76">
      <w:r w:rsidRPr="003E0E6C">
        <w:t xml:space="preserve">This section describes the business rules that govern access </w:t>
      </w:r>
      <w:r>
        <w:t>to</w:t>
      </w:r>
      <w:r w:rsidRPr="003E0E6C">
        <w:t xml:space="preserve"> SLI data.</w:t>
      </w:r>
      <w:r>
        <w:t xml:space="preserve"> </w:t>
      </w:r>
      <w:r w:rsidRPr="003E0E6C">
        <w:t>It also outlines the default SLI Roles planned for the Alpha release, as well as the future (1.0 Release and beyond) plans for the SLI Roles implementation.</w:t>
      </w:r>
    </w:p>
    <w:p w14:paraId="45DFF637" w14:textId="77777777" w:rsidR="007233DA" w:rsidRPr="008F38D5" w:rsidRDefault="007233DA" w:rsidP="00A1298C">
      <w:pPr>
        <w:pStyle w:val="Heading2"/>
      </w:pPr>
      <w:bookmarkStart w:id="124" w:name="SLIUserRoleandPermissionManagement-DataS"/>
      <w:bookmarkStart w:id="125" w:name="_Toc196216262"/>
      <w:bookmarkStart w:id="126" w:name="_Toc324348174"/>
      <w:bookmarkEnd w:id="124"/>
      <w:r w:rsidRPr="008F38D5">
        <w:t>Data Stewardship</w:t>
      </w:r>
      <w:bookmarkEnd w:id="125"/>
      <w:bookmarkEnd w:id="126"/>
    </w:p>
    <w:p w14:paraId="3BF56449" w14:textId="77777777" w:rsidR="007233DA" w:rsidRPr="003E0E6C" w:rsidRDefault="007233DA" w:rsidP="009D2402">
      <w:pPr>
        <w:pStyle w:val="NormalIntro"/>
        <w:rPr>
          <w:rFonts w:ascii="Trebuchet MS" w:hAnsi="Trebuchet MS" w:cs="Times New Roman"/>
          <w:color w:val="6E706E"/>
          <w:sz w:val="20"/>
          <w:szCs w:val="20"/>
        </w:rPr>
      </w:pPr>
      <w:r w:rsidRPr="008F38D5">
        <w:t>SLI recognizes an organizational hierarchy consisting of Schools, Districts</w:t>
      </w:r>
      <w:r>
        <w:t>,</w:t>
      </w:r>
      <w:r w:rsidRPr="008F38D5">
        <w:t xml:space="preserve"> and States</w:t>
      </w:r>
      <w:r>
        <w:t>,</w:t>
      </w:r>
      <w:r w:rsidRPr="008F38D5">
        <w:t xml:space="preserve"> as shown in Figure 1.</w:t>
      </w:r>
      <w:r>
        <w:t xml:space="preserve"> </w:t>
      </w:r>
      <w:r w:rsidRPr="008F38D5">
        <w:t>It is assumed that all Schools within SLI belong to exactly one District, and that all Districts belong to exactly one State.</w:t>
      </w:r>
      <w:r>
        <w:t xml:space="preserve"> </w:t>
      </w:r>
      <w:r w:rsidRPr="008F38D5">
        <w:t xml:space="preserve">Student data storage and access-control is aligned with this same hierarchy. In other words, the data of a given </w:t>
      </w:r>
      <w:r>
        <w:t>s</w:t>
      </w:r>
      <w:r w:rsidRPr="008F38D5">
        <w:t>tudent is directly associated with their School, and</w:t>
      </w:r>
      <w:r>
        <w:t>,</w:t>
      </w:r>
      <w:r w:rsidRPr="008F38D5">
        <w:t xml:space="preserve"> in turn</w:t>
      </w:r>
      <w:r>
        <w:t>,</w:t>
      </w:r>
      <w:r w:rsidRPr="008F38D5">
        <w:t xml:space="preserve"> associated with the School’s </w:t>
      </w:r>
      <w:r w:rsidRPr="008F38D5">
        <w:lastRenderedPageBreak/>
        <w:t>District. This hierarchy is used by SLI to determine data access and permission management. For example, the hierarchy allows a District IT Administrator to manage data and permissions within any School within the District’s portion of the hierarchy</w:t>
      </w:r>
      <w:r w:rsidRPr="003E0E6C">
        <w:rPr>
          <w:rFonts w:ascii="Trebuchet MS" w:hAnsi="Trebuchet MS" w:cs="Times New Roman"/>
          <w:color w:val="6E706E"/>
          <w:sz w:val="20"/>
          <w:szCs w:val="20"/>
        </w:rPr>
        <w:t>.</w:t>
      </w:r>
    </w:p>
    <w:p w14:paraId="50152939" w14:textId="77777777" w:rsidR="007233DA" w:rsidRDefault="007233DA" w:rsidP="007233DA">
      <w:pPr>
        <w:keepNext/>
        <w:spacing w:line="360" w:lineRule="atLeast"/>
      </w:pPr>
      <w:r>
        <w:rPr>
          <w:rFonts w:eastAsia="Times New Roman" w:cs="Arial"/>
          <w:noProof/>
        </w:rPr>
        <w:drawing>
          <wp:inline distT="0" distB="0" distL="0" distR="0" wp14:anchorId="4A267BAC" wp14:editId="664A55E5">
            <wp:extent cx="5943600" cy="17906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ewardshi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0699"/>
                    </a:xfrm>
                    <a:prstGeom prst="rect">
                      <a:avLst/>
                    </a:prstGeom>
                  </pic:spPr>
                </pic:pic>
              </a:graphicData>
            </a:graphic>
          </wp:inline>
        </w:drawing>
      </w:r>
    </w:p>
    <w:p w14:paraId="56DB4E57" w14:textId="35CEEBD2" w:rsidR="007233DA" w:rsidRDefault="007233DA" w:rsidP="007233DA">
      <w:pPr>
        <w:pStyle w:val="Caption"/>
        <w:rPr>
          <w:rFonts w:eastAsia="Times New Roman" w:cs="Arial"/>
          <w:szCs w:val="24"/>
        </w:rPr>
      </w:pPr>
      <w:bookmarkStart w:id="127" w:name="_Toc196213431"/>
      <w:r>
        <w:t xml:space="preserve">Figure </w:t>
      </w:r>
      <w:fldSimple w:instr=" SEQ Figure \* ARABIC ">
        <w:r w:rsidR="00A54FB1">
          <w:rPr>
            <w:noProof/>
          </w:rPr>
          <w:t>8</w:t>
        </w:r>
      </w:fldSimple>
      <w:r>
        <w:t xml:space="preserve"> – State/District/SchoolHierarchy</w:t>
      </w:r>
      <w:bookmarkEnd w:id="127"/>
    </w:p>
    <w:p w14:paraId="36594941" w14:textId="77777777" w:rsidR="007233DA" w:rsidRPr="008F38D5" w:rsidRDefault="007233DA" w:rsidP="00282A76">
      <w:r w:rsidRPr="008F38D5">
        <w:t xml:space="preserve">SLI recognizes the District </w:t>
      </w:r>
      <w:r>
        <w:t>(LEA)</w:t>
      </w:r>
      <w:r w:rsidRPr="008F38D5">
        <w:t xml:space="preserve"> as the ultimate arbiter of who is able to view or manipulate the District’s </w:t>
      </w:r>
      <w:r>
        <w:t>s</w:t>
      </w:r>
      <w:r w:rsidRPr="008F38D5">
        <w:t>tudent data.</w:t>
      </w:r>
      <w:r>
        <w:t xml:space="preserve"> </w:t>
      </w:r>
      <w:r w:rsidRPr="008F38D5">
        <w:t xml:space="preserve">While SLI is built to facilitate District control over data access, the SLC recognizes that Districts may have contractual or regulatory arrangements enabling States to view and administer data and permissions on their behalf. </w:t>
      </w:r>
    </w:p>
    <w:p w14:paraId="5B63184F" w14:textId="77777777" w:rsidR="007233DA" w:rsidRPr="008F38D5" w:rsidRDefault="007233DA" w:rsidP="00A1298C">
      <w:pPr>
        <w:pStyle w:val="Heading2"/>
      </w:pPr>
      <w:bookmarkStart w:id="128" w:name="SLIUserRoleandPermissionManagement-Roles"/>
      <w:bookmarkStart w:id="129" w:name="_Toc196216263"/>
      <w:bookmarkStart w:id="130" w:name="_Toc324348175"/>
      <w:bookmarkEnd w:id="128"/>
      <w:r w:rsidRPr="008F38D5">
        <w:t>Roles and Permissions Overview</w:t>
      </w:r>
      <w:bookmarkEnd w:id="129"/>
      <w:bookmarkEnd w:id="130"/>
    </w:p>
    <w:p w14:paraId="03A8859D" w14:textId="77777777" w:rsidR="007233DA" w:rsidRDefault="007233DA" w:rsidP="00282A76">
      <w:r w:rsidRPr="008F38D5">
        <w:t xml:space="preserve">Access to an Institution’s data is controlled by the Permissions of a </w:t>
      </w:r>
      <w:r>
        <w:t>u</w:t>
      </w:r>
      <w:r w:rsidRPr="008F38D5">
        <w:t xml:space="preserve">ser </w:t>
      </w:r>
      <w:r>
        <w:t xml:space="preserve">who is </w:t>
      </w:r>
      <w:r w:rsidRPr="008F38D5">
        <w:t xml:space="preserve">using a particular Application. </w:t>
      </w:r>
      <w:r>
        <w:t>While the Application Permissions for Alpha release are simple and they define if the Application can or cannot access the District’s data (at all), the user Permissions</w:t>
      </w:r>
      <w:r w:rsidRPr="008F38D5">
        <w:t xml:space="preserve"> define what</w:t>
      </w:r>
      <w:r>
        <w:t xml:space="preserve"> data</w:t>
      </w:r>
      <w:r w:rsidRPr="008F38D5">
        <w:t xml:space="preserve"> a given user is allowed</w:t>
      </w:r>
      <w:r>
        <w:t xml:space="preserve"> to see, and what the user is allowed to do with the data. </w:t>
      </w:r>
    </w:p>
    <w:p w14:paraId="731A95A0" w14:textId="77777777" w:rsidR="007233DA" w:rsidRDefault="007233DA" w:rsidP="00282A76">
      <w:r w:rsidRPr="008F38D5">
        <w:t xml:space="preserve">SLI determines </w:t>
      </w:r>
      <w:r>
        <w:t>the user</w:t>
      </w:r>
      <w:r w:rsidRPr="008F38D5">
        <w:t xml:space="preserve"> Permissions based on a combination of user role and a particular context.</w:t>
      </w:r>
      <w:r>
        <w:t xml:space="preserve">  </w:t>
      </w:r>
    </w:p>
    <w:p w14:paraId="5DEB00CD" w14:textId="77777777" w:rsidR="007233DA" w:rsidRPr="008F38D5" w:rsidRDefault="007233DA" w:rsidP="00282A76">
      <w:r w:rsidRPr="008F38D5">
        <w:t>Each SLI Role</w:t>
      </w:r>
      <w:r>
        <w:t xml:space="preserve"> (Leader, Educator, IT Administrator and Aggregate Viewer)</w:t>
      </w:r>
      <w:r w:rsidRPr="008F38D5">
        <w:t xml:space="preserve"> determines what Permission the users who are assigned that Role will have. Permissions will determine what operations a user is allowed to perform and, in the context of the Institution with which they are associated, what data they are allowed to access. </w:t>
      </w:r>
    </w:p>
    <w:p w14:paraId="1B8AA50C" w14:textId="77777777" w:rsidR="007233DA" w:rsidRDefault="007233DA" w:rsidP="00693B0A">
      <w:pPr>
        <w:rPr>
          <w:b/>
        </w:rPr>
      </w:pPr>
      <w:r w:rsidRPr="000F6A42">
        <w:t>One key context element is the Institution of the user. For example, an IT Administrator (role) may be associated with a particular District, and hence he/she can access the District’s data in a way that is defined by this role and Institution context. For some actions, other information from the data model is needed. For example, some of the rights that are associated with the Educator (role) will depend on the sections that an Educator is teaching, and not only the institution he/she is associated with. Likewise, a principal (Leader role) at a given School may be able to view all student data for students in his/her School, but would not have permissions to view the student data of students in other schools in the District.</w:t>
      </w:r>
      <w:bookmarkStart w:id="131" w:name="SLIUserRoleandPermissionManagement-Defau"/>
      <w:bookmarkEnd w:id="131"/>
      <w:r>
        <w:rPr>
          <w:b/>
        </w:rPr>
        <w:t xml:space="preserve"> </w:t>
      </w:r>
    </w:p>
    <w:p w14:paraId="30EA7867" w14:textId="77777777" w:rsidR="007233DA" w:rsidRPr="000F6A42" w:rsidRDefault="007233DA" w:rsidP="00A1298C">
      <w:pPr>
        <w:pStyle w:val="Heading2"/>
      </w:pPr>
      <w:bookmarkStart w:id="132" w:name="_Toc196216264"/>
      <w:bookmarkStart w:id="133" w:name="_Toc324348176"/>
      <w:r w:rsidRPr="000F6A42">
        <w:lastRenderedPageBreak/>
        <w:t>Default Permissions and Custom Roles</w:t>
      </w:r>
      <w:bookmarkEnd w:id="132"/>
      <w:bookmarkEnd w:id="133"/>
    </w:p>
    <w:p w14:paraId="2E19E65B" w14:textId="77777777" w:rsidR="007233DA" w:rsidRPr="000F6A42" w:rsidRDefault="007233DA" w:rsidP="00282A76">
      <w:pPr>
        <w:rPr>
          <w:rFonts w:eastAsia="Times New Roman" w:cs="Arial"/>
          <w:color w:val="000000" w:themeColor="text1"/>
        </w:rPr>
      </w:pPr>
      <w:r w:rsidRPr="00F7020E">
        <w:t>SLI define</w:t>
      </w:r>
      <w:r>
        <w:t>s</w:t>
      </w:r>
      <w:r w:rsidRPr="00F7020E">
        <w:t xml:space="preserve"> </w:t>
      </w:r>
      <w:r>
        <w:t>four</w:t>
      </w:r>
      <w:r w:rsidRPr="00F7020E">
        <w:t xml:space="preserve"> default Roles that correlate to common roles within the educational </w:t>
      </w:r>
      <w:r>
        <w:t>domain.</w:t>
      </w:r>
      <w:r w:rsidRPr="008F38D5" w:rsidDel="00DE62C6">
        <w:rPr>
          <w:rFonts w:eastAsia="Times New Roman" w:cs="Arial"/>
          <w:color w:val="000000" w:themeColor="text1"/>
        </w:rPr>
        <w:t xml:space="preserve"> </w:t>
      </w:r>
      <w:r>
        <w:t>In the Alpha release, SLI roles</w:t>
      </w:r>
      <w:r w:rsidRPr="00F7020E">
        <w:t xml:space="preserve"> </w:t>
      </w:r>
      <w:r>
        <w:t>cannot</w:t>
      </w:r>
      <w:r w:rsidRPr="00F7020E">
        <w:t xml:space="preserve"> be modified</w:t>
      </w:r>
      <w:r w:rsidRPr="008F38D5">
        <w:rPr>
          <w:rFonts w:eastAsia="Times New Roman" w:cs="Arial"/>
          <w:color w:val="000000" w:themeColor="text1"/>
        </w:rPr>
        <w:t>. Custom Roles</w:t>
      </w:r>
      <w:r>
        <w:rPr>
          <w:rFonts w:eastAsia="Times New Roman" w:cs="Arial"/>
          <w:color w:val="000000" w:themeColor="text1"/>
        </w:rPr>
        <w:t>, which will be supported in future,</w:t>
      </w:r>
      <w:r w:rsidRPr="008F38D5">
        <w:rPr>
          <w:rFonts w:eastAsia="Times New Roman" w:cs="Arial"/>
          <w:color w:val="000000" w:themeColor="text1"/>
        </w:rPr>
        <w:t xml:space="preserve"> can be defined by associating the </w:t>
      </w:r>
      <w:r>
        <w:rPr>
          <w:rFonts w:eastAsia="Times New Roman" w:cs="Arial"/>
          <w:color w:val="000000" w:themeColor="text1"/>
        </w:rPr>
        <w:t>R</w:t>
      </w:r>
      <w:r w:rsidRPr="008F38D5">
        <w:rPr>
          <w:rFonts w:eastAsia="Times New Roman" w:cs="Arial"/>
          <w:color w:val="000000" w:themeColor="text1"/>
        </w:rPr>
        <w:t xml:space="preserve">ole with any combination of (only) the existing SLI Permissions. </w:t>
      </w:r>
    </w:p>
    <w:p w14:paraId="32A6E9DB" w14:textId="77777777" w:rsidR="007233DA" w:rsidRDefault="007233DA" w:rsidP="00A1298C">
      <w:pPr>
        <w:pStyle w:val="Heading2"/>
      </w:pPr>
      <w:bookmarkStart w:id="134" w:name="SLIUserRoleandPermissionManagement-Alpha"/>
      <w:bookmarkStart w:id="135" w:name="_Toc196216265"/>
      <w:bookmarkStart w:id="136" w:name="_Toc324348177"/>
      <w:bookmarkEnd w:id="134"/>
      <w:r w:rsidRPr="008F38D5">
        <w:t>Default Roles and Permissions</w:t>
      </w:r>
      <w:r>
        <w:t xml:space="preserve"> (Alpha)</w:t>
      </w:r>
      <w:bookmarkEnd w:id="135"/>
      <w:bookmarkEnd w:id="136"/>
    </w:p>
    <w:p w14:paraId="48664442" w14:textId="77777777" w:rsidR="007233DA" w:rsidRPr="004D2189" w:rsidRDefault="007233DA" w:rsidP="00282A76">
      <w:r>
        <w:t>This section describes the default roles and permissions as they are defined for the Alpha release.</w:t>
      </w:r>
    </w:p>
    <w:p w14:paraId="16557FAE" w14:textId="77777777" w:rsidR="007233DA" w:rsidRDefault="007233DA" w:rsidP="00A1298C">
      <w:pPr>
        <w:pStyle w:val="Heading2"/>
      </w:pPr>
      <w:bookmarkStart w:id="137" w:name="_Toc196216266"/>
      <w:bookmarkStart w:id="138" w:name="_Toc324348178"/>
      <w:r>
        <w:t>Default SLI Roles</w:t>
      </w:r>
      <w:bookmarkEnd w:id="137"/>
      <w:bookmarkEnd w:id="138"/>
    </w:p>
    <w:p w14:paraId="690FF8AC" w14:textId="77777777" w:rsidR="007233DA" w:rsidRPr="003E0E6C" w:rsidRDefault="007233DA" w:rsidP="007233DA">
      <w:pPr>
        <w:spacing w:before="30" w:after="120" w:line="360" w:lineRule="atLeast"/>
        <w:rPr>
          <w:rFonts w:eastAsia="Times New Roman" w:cs="Arial"/>
          <w:color w:val="000000" w:themeColor="text1"/>
        </w:rPr>
      </w:pPr>
      <w:r w:rsidRPr="003E0E6C">
        <w:rPr>
          <w:rFonts w:eastAsia="Times New Roman" w:cs="Arial"/>
          <w:color w:val="000000" w:themeColor="text1"/>
        </w:rPr>
        <w:t xml:space="preserve">This section </w:t>
      </w:r>
      <w:r>
        <w:rPr>
          <w:rFonts w:eastAsia="Times New Roman" w:cs="Arial"/>
          <w:color w:val="000000" w:themeColor="text1"/>
        </w:rPr>
        <w:t>describes</w:t>
      </w:r>
      <w:r w:rsidRPr="003E0E6C">
        <w:rPr>
          <w:rFonts w:eastAsia="Times New Roman" w:cs="Arial"/>
          <w:color w:val="000000" w:themeColor="text1"/>
        </w:rPr>
        <w:t xml:space="preserve"> the default SLI </w:t>
      </w:r>
      <w:r>
        <w:rPr>
          <w:rFonts w:eastAsia="Times New Roman" w:cs="Arial"/>
          <w:color w:val="000000" w:themeColor="text1"/>
        </w:rPr>
        <w:t>R</w:t>
      </w:r>
      <w:r w:rsidRPr="003E0E6C">
        <w:rPr>
          <w:rFonts w:eastAsia="Times New Roman" w:cs="Arial"/>
          <w:color w:val="000000" w:themeColor="text1"/>
        </w:rPr>
        <w:t xml:space="preserve">oles for the Alpha release. </w:t>
      </w:r>
    </w:p>
    <w:p w14:paraId="24C3BCBF" w14:textId="77777777" w:rsidR="007233DA" w:rsidRPr="003E0E6C" w:rsidRDefault="007233DA" w:rsidP="007233DA">
      <w:pPr>
        <w:pStyle w:val="ListBullet"/>
      </w:pPr>
      <w:r w:rsidRPr="003E0E6C">
        <w:t>Aggregate Viewer</w:t>
      </w:r>
      <w:r>
        <w:t>–- I</w:t>
      </w:r>
      <w:r w:rsidRPr="003E0E6C">
        <w:t>nterested in the aggregate/summary data as well as the trends</w:t>
      </w:r>
      <w:r>
        <w:t>, but cannot see individual-level record information.</w:t>
      </w:r>
    </w:p>
    <w:p w14:paraId="042CB233" w14:textId="77777777" w:rsidR="007233DA" w:rsidRPr="003E0E6C" w:rsidRDefault="007233DA" w:rsidP="007233DA">
      <w:pPr>
        <w:pStyle w:val="ListBullet"/>
      </w:pPr>
      <w:r>
        <w:t>Educator – A person</w:t>
      </w:r>
      <w:r w:rsidRPr="003E0E6C">
        <w:t xml:space="preserve"> who work</w:t>
      </w:r>
      <w:r>
        <w:t>s</w:t>
      </w:r>
      <w:r w:rsidRPr="003E0E6C">
        <w:t xml:space="preserve"> for education organizations and </w:t>
      </w:r>
      <w:r>
        <w:t>is</w:t>
      </w:r>
      <w:r w:rsidRPr="003E0E6C">
        <w:t xml:space="preserve"> interested in student outcomes. Generally, educators are the people who interact directly with students on a daily basis. </w:t>
      </w:r>
      <w:r>
        <w:t>Examples of d</w:t>
      </w:r>
      <w:r w:rsidRPr="003E0E6C">
        <w:t>erivative roles: Teacher, Classroom Assistant, Athletic Coach.</w:t>
      </w:r>
    </w:p>
    <w:p w14:paraId="41BCF497" w14:textId="77777777" w:rsidR="007233DA" w:rsidRPr="003E0E6C" w:rsidRDefault="007233DA" w:rsidP="007233DA">
      <w:pPr>
        <w:pStyle w:val="ListBullet"/>
      </w:pPr>
      <w:r>
        <w:t>Leader – I</w:t>
      </w:r>
      <w:r w:rsidRPr="003E0E6C">
        <w:t xml:space="preserve">nterested in students in their own </w:t>
      </w:r>
      <w:r>
        <w:t>S</w:t>
      </w:r>
      <w:r w:rsidRPr="003E0E6C">
        <w:t xml:space="preserve">chool or many </w:t>
      </w:r>
      <w:r>
        <w:t>S</w:t>
      </w:r>
      <w:r w:rsidRPr="003E0E6C">
        <w:t xml:space="preserve">chools within a </w:t>
      </w:r>
      <w:r>
        <w:t>D</w:t>
      </w:r>
      <w:r w:rsidRPr="003E0E6C">
        <w:t>istrict/</w:t>
      </w:r>
      <w:r>
        <w:t>S</w:t>
      </w:r>
      <w:r w:rsidRPr="003E0E6C">
        <w:t xml:space="preserve">tate. </w:t>
      </w:r>
      <w:r>
        <w:t>In addition to</w:t>
      </w:r>
      <w:r w:rsidRPr="003E0E6C">
        <w:t xml:space="preserve"> the individual, they are interested in summary/aggregate data. </w:t>
      </w:r>
      <w:r>
        <w:t>Examples of d</w:t>
      </w:r>
      <w:r w:rsidRPr="003E0E6C">
        <w:t xml:space="preserve">erivative </w:t>
      </w:r>
      <w:r>
        <w:t>R</w:t>
      </w:r>
      <w:r w:rsidRPr="003E0E6C">
        <w:t>oles: District/LEA Leader, State Leader, School Principal, Dean, Department Head, Special Ed Expert, School Psychologist, Guidance Counselor. </w:t>
      </w:r>
    </w:p>
    <w:p w14:paraId="09002930" w14:textId="77777777" w:rsidR="007233DA" w:rsidRPr="003E0E6C" w:rsidRDefault="007233DA" w:rsidP="007233DA">
      <w:pPr>
        <w:pStyle w:val="ListBullet"/>
      </w:pPr>
      <w:r>
        <w:t>IT Administrator – M</w:t>
      </w:r>
      <w:r w:rsidRPr="003E0E6C">
        <w:t xml:space="preserve">ay not have a direct educational interest in particular students, but administer systems that help educators and leaders by making data available to them. </w:t>
      </w:r>
    </w:p>
    <w:p w14:paraId="6638D23A" w14:textId="77777777" w:rsidR="007233DA" w:rsidRDefault="007233DA" w:rsidP="00A1298C">
      <w:pPr>
        <w:pStyle w:val="Heading2"/>
      </w:pPr>
      <w:bookmarkStart w:id="139" w:name="_Toc196216267"/>
      <w:bookmarkStart w:id="140" w:name="_Toc324348179"/>
      <w:r>
        <w:t>Permissions by Student Data Category</w:t>
      </w:r>
      <w:bookmarkEnd w:id="139"/>
      <w:bookmarkEnd w:id="140"/>
    </w:p>
    <w:p w14:paraId="2CE5F953" w14:textId="77777777" w:rsidR="007233DA" w:rsidRPr="003E0E6C" w:rsidRDefault="007233DA" w:rsidP="00CD5AB0">
      <w:r w:rsidRPr="003E0E6C">
        <w:t xml:space="preserve">Permissions for each of the above Roles are defined for the following student Data Categories: </w:t>
      </w:r>
    </w:p>
    <w:p w14:paraId="0D9AC178" w14:textId="77777777" w:rsidR="007233DA" w:rsidRPr="003E0E6C" w:rsidRDefault="007233DA" w:rsidP="007233DA">
      <w:pPr>
        <w:pStyle w:val="ListBullet"/>
      </w:pPr>
      <w:r w:rsidRPr="003E0E6C">
        <w:t xml:space="preserve">General Student Data: By default, all data not marked as Restricted falls into General, including: Name, Address, Phone Number, Email, Date and Place of Birth, Grade, Transcripts Information, Attendance, Discipline, </w:t>
      </w:r>
      <w:r>
        <w:t>and so forth</w:t>
      </w:r>
    </w:p>
    <w:p w14:paraId="04FCC3AE" w14:textId="77777777" w:rsidR="007233DA" w:rsidRDefault="007233DA" w:rsidP="007233DA">
      <w:pPr>
        <w:pStyle w:val="ListBullet"/>
      </w:pPr>
      <w:r w:rsidRPr="003E0E6C">
        <w:t xml:space="preserve">Restricted </w:t>
      </w:r>
      <w:r>
        <w:t xml:space="preserve">Student </w:t>
      </w:r>
      <w:r w:rsidRPr="003E0E6C">
        <w:t>Data: By default</w:t>
      </w:r>
      <w:r>
        <w:t xml:space="preserve">, </w:t>
      </w:r>
      <w:r w:rsidRPr="003E0E6C">
        <w:t>this includes: Free Lunch Entitlement, Reduced Lunch Entitlement.</w:t>
      </w:r>
    </w:p>
    <w:p w14:paraId="6FEBAEB1" w14:textId="77777777" w:rsidR="007233DA" w:rsidRDefault="007233DA" w:rsidP="007233DA">
      <w:pPr>
        <w:pStyle w:val="ListBullet"/>
      </w:pPr>
      <w:r>
        <w:t>Aggregate Data*: School Attendance Rate, Class Profile and so forth</w:t>
      </w:r>
    </w:p>
    <w:p w14:paraId="3F99BD41" w14:textId="77777777" w:rsidR="007233DA" w:rsidRPr="001248BD" w:rsidRDefault="007233DA" w:rsidP="007233DA">
      <w:pPr>
        <w:pStyle w:val="ListBullet"/>
      </w:pPr>
      <w:r>
        <w:t>Public Data: School Address, School Phone Numbers and so forth</w:t>
      </w:r>
    </w:p>
    <w:p w14:paraId="07FE3152" w14:textId="77777777" w:rsidR="007233DA" w:rsidRDefault="007233DA" w:rsidP="007233DA">
      <w:pPr>
        <w:spacing w:line="360" w:lineRule="atLeast"/>
        <w:rPr>
          <w:rFonts w:eastAsia="Times New Roman" w:cs="Arial"/>
          <w:color w:val="000000" w:themeColor="text1"/>
        </w:rPr>
      </w:pPr>
      <w:r w:rsidRPr="00122313">
        <w:rPr>
          <w:rFonts w:eastAsia="Times New Roman" w:cs="Arial"/>
          <w:color w:val="000000" w:themeColor="text1"/>
        </w:rPr>
        <w:lastRenderedPageBreak/>
        <w:t>*</w:t>
      </w:r>
      <w:r>
        <w:rPr>
          <w:rFonts w:eastAsia="Times New Roman" w:cs="Arial"/>
          <w:color w:val="000000" w:themeColor="text1"/>
        </w:rPr>
        <w:t xml:space="preserve"> </w:t>
      </w:r>
      <w:r w:rsidRPr="000F6A42">
        <w:rPr>
          <w:rFonts w:eastAsia="Times New Roman" w:cs="Arial"/>
          <w:color w:val="000000" w:themeColor="text1"/>
        </w:rPr>
        <w:t xml:space="preserve">In </w:t>
      </w:r>
      <w:r>
        <w:rPr>
          <w:rFonts w:eastAsia="Times New Roman" w:cs="Arial"/>
          <w:color w:val="000000" w:themeColor="text1"/>
        </w:rPr>
        <w:t>Alpha release, Aggregate Data will not exist in SLI.</w:t>
      </w:r>
    </w:p>
    <w:p w14:paraId="485466BC" w14:textId="3BA894A9" w:rsidR="00B27DAE" w:rsidRPr="000F6A42" w:rsidRDefault="00B27DAE" w:rsidP="007233DA">
      <w:pPr>
        <w:spacing w:line="360" w:lineRule="atLeast"/>
        <w:rPr>
          <w:rFonts w:eastAsia="Times New Roman" w:cs="Arial"/>
          <w:color w:val="000000" w:themeColor="text1"/>
        </w:rPr>
      </w:pPr>
      <w:r>
        <w:rPr>
          <w:rFonts w:eastAsia="Times New Roman" w:cs="Arial"/>
          <w:color w:val="000000" w:themeColor="text1"/>
        </w:rPr>
        <w:t>These categories are pre-set</w:t>
      </w:r>
      <w:r w:rsidR="003A117D">
        <w:rPr>
          <w:rFonts w:eastAsia="Times New Roman" w:cs="Arial"/>
          <w:color w:val="000000" w:themeColor="text1"/>
        </w:rPr>
        <w:t xml:space="preserve"> </w:t>
      </w:r>
      <w:r w:rsidR="00255B86">
        <w:rPr>
          <w:rFonts w:eastAsia="Times New Roman" w:cs="Arial"/>
          <w:color w:val="000000" w:themeColor="text1"/>
        </w:rPr>
        <w:t xml:space="preserve">and not configurable </w:t>
      </w:r>
      <w:r w:rsidR="003A117D">
        <w:rPr>
          <w:rFonts w:eastAsia="Times New Roman" w:cs="Arial"/>
          <w:color w:val="000000" w:themeColor="text1"/>
        </w:rPr>
        <w:t>for Alpha.</w:t>
      </w:r>
      <w:r>
        <w:rPr>
          <w:rFonts w:eastAsia="Times New Roman" w:cs="Arial"/>
          <w:color w:val="000000" w:themeColor="text1"/>
        </w:rPr>
        <w:t xml:space="preserve"> </w:t>
      </w:r>
    </w:p>
    <w:p w14:paraId="3DB6CDF0" w14:textId="77777777" w:rsidR="007233DA" w:rsidRDefault="007233DA" w:rsidP="00A1298C">
      <w:pPr>
        <w:pStyle w:val="Heading2"/>
      </w:pPr>
      <w:bookmarkStart w:id="141" w:name="_Toc196216268"/>
      <w:bookmarkStart w:id="142" w:name="_Toc324348180"/>
      <w:r>
        <w:t>SLI Roles to Student Data Category Mapping</w:t>
      </w:r>
      <w:bookmarkEnd w:id="141"/>
      <w:bookmarkEnd w:id="142"/>
    </w:p>
    <w:p w14:paraId="29073E0A" w14:textId="77777777" w:rsidR="007233DA" w:rsidRDefault="007233DA" w:rsidP="009D2402">
      <w:pPr>
        <w:pStyle w:val="NormalIntro"/>
      </w:pPr>
      <w:r>
        <w:t xml:space="preserve">The following table shows </w:t>
      </w:r>
      <w:r w:rsidRPr="003E0E6C">
        <w:t xml:space="preserve">the mapping of the SLI's default </w:t>
      </w:r>
      <w:r>
        <w:t>R</w:t>
      </w:r>
      <w:r w:rsidRPr="003E0E6C">
        <w:t xml:space="preserve">oles with the student </w:t>
      </w:r>
      <w:r>
        <w:t>D</w:t>
      </w:r>
      <w:r w:rsidRPr="003E0E6C">
        <w:t xml:space="preserve">ata </w:t>
      </w:r>
      <w:r>
        <w:t>C</w:t>
      </w:r>
      <w:r w:rsidRPr="003E0E6C">
        <w:t>ategories (of fields) and the context</w:t>
      </w:r>
      <w:r>
        <w:t>.</w:t>
      </w:r>
    </w:p>
    <w:p w14:paraId="58A67E48" w14:textId="77777777" w:rsidR="007F3E25" w:rsidRPr="003E0E6C" w:rsidRDefault="007F3E25" w:rsidP="007233DA"/>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2004"/>
        <w:gridCol w:w="1302"/>
        <w:gridCol w:w="1570"/>
        <w:gridCol w:w="1105"/>
        <w:gridCol w:w="1339"/>
      </w:tblGrid>
      <w:tr w:rsidR="007233DA" w:rsidRPr="003E0E6C" w14:paraId="30155549" w14:textId="77777777" w:rsidTr="00412601">
        <w:trPr>
          <w:cantSplit/>
        </w:trPr>
        <w:tc>
          <w:tcPr>
            <w:tcW w:w="0" w:type="auto"/>
            <w:shd w:val="clear" w:color="auto" w:fill="F0F0F0"/>
            <w:tcMar>
              <w:top w:w="75" w:type="dxa"/>
              <w:left w:w="75" w:type="dxa"/>
              <w:bottom w:w="75" w:type="dxa"/>
              <w:right w:w="75" w:type="dxa"/>
            </w:tcMar>
            <w:hideMark/>
          </w:tcPr>
          <w:p w14:paraId="15E3D4E9" w14:textId="77777777" w:rsidR="007233DA" w:rsidRPr="003E0E6C" w:rsidRDefault="007233DA" w:rsidP="00087610">
            <w:pPr>
              <w:spacing w:before="180" w:after="180"/>
              <w:rPr>
                <w:rFonts w:eastAsia="Times New Roman" w:cs="Arial"/>
                <w:b/>
                <w:bCs/>
                <w:color w:val="000000" w:themeColor="text1"/>
                <w:sz w:val="20"/>
                <w:szCs w:val="20"/>
              </w:rPr>
            </w:pPr>
            <w:r w:rsidRPr="003E0E6C">
              <w:rPr>
                <w:rFonts w:eastAsia="Times New Roman" w:cs="Arial"/>
                <w:b/>
                <w:bCs/>
                <w:color w:val="000000" w:themeColor="text1"/>
                <w:sz w:val="20"/>
                <w:szCs w:val="20"/>
              </w:rPr>
              <w:t xml:space="preserve">SLI Role </w:t>
            </w:r>
          </w:p>
        </w:tc>
        <w:tc>
          <w:tcPr>
            <w:tcW w:w="0" w:type="auto"/>
            <w:shd w:val="clear" w:color="auto" w:fill="F0F0F0"/>
            <w:tcMar>
              <w:top w:w="75" w:type="dxa"/>
              <w:left w:w="75" w:type="dxa"/>
              <w:bottom w:w="75" w:type="dxa"/>
              <w:right w:w="75" w:type="dxa"/>
            </w:tcMar>
            <w:hideMark/>
          </w:tcPr>
          <w:p w14:paraId="606BA8DD" w14:textId="77777777" w:rsidR="007233DA" w:rsidRPr="003E0E6C" w:rsidRDefault="007233DA" w:rsidP="00087610">
            <w:pPr>
              <w:spacing w:before="180" w:after="180"/>
              <w:rPr>
                <w:rFonts w:eastAsia="Times New Roman" w:cs="Arial"/>
                <w:b/>
                <w:bCs/>
                <w:color w:val="000000" w:themeColor="text1"/>
                <w:sz w:val="20"/>
                <w:szCs w:val="20"/>
              </w:rPr>
            </w:pPr>
            <w:r w:rsidRPr="003E0E6C">
              <w:rPr>
                <w:rFonts w:eastAsia="Times New Roman" w:cs="Arial"/>
                <w:b/>
                <w:bCs/>
                <w:color w:val="000000" w:themeColor="text1"/>
                <w:sz w:val="20"/>
                <w:szCs w:val="20"/>
              </w:rPr>
              <w:t xml:space="preserve">Examples </w:t>
            </w:r>
          </w:p>
        </w:tc>
        <w:tc>
          <w:tcPr>
            <w:tcW w:w="0" w:type="auto"/>
            <w:shd w:val="clear" w:color="auto" w:fill="F0F0F0"/>
            <w:tcMar>
              <w:top w:w="75" w:type="dxa"/>
              <w:left w:w="75" w:type="dxa"/>
              <w:bottom w:w="75" w:type="dxa"/>
              <w:right w:w="75" w:type="dxa"/>
            </w:tcMar>
            <w:hideMark/>
          </w:tcPr>
          <w:p w14:paraId="1D3A054C" w14:textId="77777777" w:rsidR="007233DA" w:rsidRPr="003E0E6C" w:rsidRDefault="007233DA" w:rsidP="00087610">
            <w:pPr>
              <w:spacing w:before="180" w:after="180"/>
              <w:rPr>
                <w:rFonts w:eastAsia="Times New Roman" w:cs="Arial"/>
                <w:b/>
                <w:bCs/>
                <w:color w:val="000000" w:themeColor="text1"/>
                <w:sz w:val="20"/>
                <w:szCs w:val="20"/>
              </w:rPr>
            </w:pPr>
            <w:r w:rsidRPr="003E0E6C">
              <w:rPr>
                <w:rFonts w:eastAsia="Times New Roman" w:cs="Arial"/>
                <w:b/>
                <w:bCs/>
                <w:color w:val="000000" w:themeColor="text1"/>
                <w:sz w:val="20"/>
                <w:szCs w:val="20"/>
              </w:rPr>
              <w:t>Aggregate</w:t>
            </w:r>
            <w:r>
              <w:rPr>
                <w:rFonts w:eastAsia="Times New Roman" w:cs="Arial"/>
                <w:b/>
                <w:bCs/>
                <w:color w:val="000000" w:themeColor="text1"/>
                <w:sz w:val="20"/>
                <w:szCs w:val="20"/>
              </w:rPr>
              <w:t>/ Public</w:t>
            </w:r>
            <w:r w:rsidRPr="003E0E6C">
              <w:rPr>
                <w:rFonts w:eastAsia="Times New Roman" w:cs="Arial"/>
                <w:b/>
                <w:bCs/>
                <w:color w:val="000000" w:themeColor="text1"/>
                <w:sz w:val="20"/>
                <w:szCs w:val="20"/>
              </w:rPr>
              <w:t xml:space="preserve"> </w:t>
            </w:r>
          </w:p>
        </w:tc>
        <w:tc>
          <w:tcPr>
            <w:tcW w:w="0" w:type="auto"/>
            <w:shd w:val="clear" w:color="auto" w:fill="F0F0F0"/>
            <w:tcMar>
              <w:top w:w="75" w:type="dxa"/>
              <w:left w:w="75" w:type="dxa"/>
              <w:bottom w:w="75" w:type="dxa"/>
              <w:right w:w="75" w:type="dxa"/>
            </w:tcMar>
            <w:hideMark/>
          </w:tcPr>
          <w:p w14:paraId="55E9F45F" w14:textId="77777777" w:rsidR="007233DA" w:rsidRPr="003E0E6C" w:rsidRDefault="007233DA" w:rsidP="00087610">
            <w:pPr>
              <w:spacing w:before="180" w:after="180"/>
              <w:rPr>
                <w:rFonts w:eastAsia="Times New Roman" w:cs="Arial"/>
                <w:b/>
                <w:bCs/>
                <w:color w:val="000000" w:themeColor="text1"/>
                <w:sz w:val="20"/>
                <w:szCs w:val="20"/>
              </w:rPr>
            </w:pPr>
            <w:r>
              <w:rPr>
                <w:rFonts w:eastAsia="Times New Roman" w:cs="Arial"/>
                <w:b/>
                <w:bCs/>
                <w:color w:val="000000" w:themeColor="text1"/>
                <w:sz w:val="20"/>
                <w:szCs w:val="20"/>
              </w:rPr>
              <w:t>Individual Record Data</w:t>
            </w:r>
            <w:r w:rsidRPr="003E0E6C">
              <w:rPr>
                <w:rFonts w:eastAsia="Times New Roman" w:cs="Arial"/>
                <w:b/>
                <w:bCs/>
                <w:color w:val="000000" w:themeColor="text1"/>
                <w:sz w:val="20"/>
                <w:szCs w:val="20"/>
              </w:rPr>
              <w:t xml:space="preserve"> </w:t>
            </w:r>
          </w:p>
        </w:tc>
        <w:tc>
          <w:tcPr>
            <w:tcW w:w="0" w:type="auto"/>
            <w:shd w:val="clear" w:color="auto" w:fill="F0F0F0"/>
            <w:tcMar>
              <w:top w:w="75" w:type="dxa"/>
              <w:left w:w="75" w:type="dxa"/>
              <w:bottom w:w="75" w:type="dxa"/>
              <w:right w:w="75" w:type="dxa"/>
            </w:tcMar>
            <w:hideMark/>
          </w:tcPr>
          <w:p w14:paraId="0B50D075" w14:textId="77777777" w:rsidR="007233DA" w:rsidRPr="003E0E6C" w:rsidRDefault="007233DA" w:rsidP="00087610">
            <w:pPr>
              <w:spacing w:before="180" w:after="180"/>
              <w:rPr>
                <w:rFonts w:eastAsia="Times New Roman" w:cs="Arial"/>
                <w:b/>
                <w:bCs/>
                <w:color w:val="000000" w:themeColor="text1"/>
                <w:sz w:val="20"/>
                <w:szCs w:val="20"/>
              </w:rPr>
            </w:pPr>
            <w:r w:rsidRPr="003E0E6C">
              <w:rPr>
                <w:rFonts w:eastAsia="Times New Roman" w:cs="Arial"/>
                <w:b/>
                <w:bCs/>
                <w:color w:val="000000" w:themeColor="text1"/>
                <w:sz w:val="20"/>
                <w:szCs w:val="20"/>
              </w:rPr>
              <w:t xml:space="preserve">General Student Data </w:t>
            </w:r>
          </w:p>
        </w:tc>
        <w:tc>
          <w:tcPr>
            <w:tcW w:w="0" w:type="auto"/>
            <w:shd w:val="clear" w:color="auto" w:fill="F0F0F0"/>
            <w:tcMar>
              <w:top w:w="75" w:type="dxa"/>
              <w:left w:w="75" w:type="dxa"/>
              <w:bottom w:w="75" w:type="dxa"/>
              <w:right w:w="75" w:type="dxa"/>
            </w:tcMar>
            <w:hideMark/>
          </w:tcPr>
          <w:p w14:paraId="3659DA38" w14:textId="77777777" w:rsidR="007233DA" w:rsidRPr="003E0E6C" w:rsidRDefault="007233DA" w:rsidP="00087610">
            <w:pPr>
              <w:spacing w:before="180" w:after="180"/>
              <w:rPr>
                <w:rFonts w:eastAsia="Times New Roman" w:cs="Arial"/>
                <w:b/>
                <w:bCs/>
                <w:color w:val="000000" w:themeColor="text1"/>
                <w:sz w:val="20"/>
                <w:szCs w:val="20"/>
              </w:rPr>
            </w:pPr>
            <w:r w:rsidRPr="003E0E6C">
              <w:rPr>
                <w:rFonts w:eastAsia="Times New Roman" w:cs="Arial"/>
                <w:b/>
                <w:bCs/>
                <w:color w:val="000000" w:themeColor="text1"/>
                <w:sz w:val="20"/>
                <w:szCs w:val="20"/>
              </w:rPr>
              <w:t xml:space="preserve">Restricted Student Data </w:t>
            </w:r>
          </w:p>
        </w:tc>
      </w:tr>
      <w:tr w:rsidR="007233DA" w:rsidRPr="003E0E6C" w14:paraId="44D562DE" w14:textId="77777777" w:rsidTr="00412601">
        <w:trPr>
          <w:cantSplit/>
        </w:trPr>
        <w:tc>
          <w:tcPr>
            <w:tcW w:w="0" w:type="auto"/>
            <w:tcMar>
              <w:top w:w="75" w:type="dxa"/>
              <w:left w:w="75" w:type="dxa"/>
              <w:bottom w:w="75" w:type="dxa"/>
              <w:right w:w="75" w:type="dxa"/>
            </w:tcMar>
            <w:hideMark/>
          </w:tcPr>
          <w:p w14:paraId="3D759B2D"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Aggregate Viewer </w:t>
            </w:r>
          </w:p>
        </w:tc>
        <w:tc>
          <w:tcPr>
            <w:tcW w:w="0" w:type="auto"/>
            <w:tcMar>
              <w:top w:w="75" w:type="dxa"/>
              <w:left w:w="75" w:type="dxa"/>
              <w:bottom w:w="75" w:type="dxa"/>
              <w:right w:w="75" w:type="dxa"/>
            </w:tcMar>
            <w:hideMark/>
          </w:tcPr>
          <w:p w14:paraId="63CED607"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State Data Analyst, State DOE Representative </w:t>
            </w:r>
          </w:p>
        </w:tc>
        <w:tc>
          <w:tcPr>
            <w:tcW w:w="0" w:type="auto"/>
            <w:tcMar>
              <w:top w:w="75" w:type="dxa"/>
              <w:left w:w="75" w:type="dxa"/>
              <w:bottom w:w="75" w:type="dxa"/>
              <w:right w:w="75" w:type="dxa"/>
            </w:tcMar>
            <w:hideMark/>
          </w:tcPr>
          <w:p w14:paraId="10F5ABBA"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yes </w:t>
            </w:r>
          </w:p>
        </w:tc>
        <w:tc>
          <w:tcPr>
            <w:tcW w:w="0" w:type="auto"/>
            <w:tcMar>
              <w:top w:w="75" w:type="dxa"/>
              <w:left w:w="75" w:type="dxa"/>
              <w:bottom w:w="75" w:type="dxa"/>
              <w:right w:w="75" w:type="dxa"/>
            </w:tcMar>
            <w:hideMark/>
          </w:tcPr>
          <w:p w14:paraId="3BC9C89A"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none </w:t>
            </w:r>
          </w:p>
        </w:tc>
        <w:tc>
          <w:tcPr>
            <w:tcW w:w="0" w:type="auto"/>
            <w:tcMar>
              <w:top w:w="75" w:type="dxa"/>
              <w:left w:w="75" w:type="dxa"/>
              <w:bottom w:w="75" w:type="dxa"/>
              <w:right w:w="75" w:type="dxa"/>
            </w:tcMar>
            <w:hideMark/>
          </w:tcPr>
          <w:p w14:paraId="4721811B"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none </w:t>
            </w:r>
          </w:p>
        </w:tc>
        <w:tc>
          <w:tcPr>
            <w:tcW w:w="0" w:type="auto"/>
            <w:tcMar>
              <w:top w:w="75" w:type="dxa"/>
              <w:left w:w="75" w:type="dxa"/>
              <w:bottom w:w="75" w:type="dxa"/>
              <w:right w:w="75" w:type="dxa"/>
            </w:tcMar>
            <w:hideMark/>
          </w:tcPr>
          <w:p w14:paraId="6B62B562"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none </w:t>
            </w:r>
          </w:p>
        </w:tc>
      </w:tr>
      <w:tr w:rsidR="007233DA" w:rsidRPr="003E0E6C" w14:paraId="33F31CC3" w14:textId="77777777" w:rsidTr="00412601">
        <w:trPr>
          <w:cantSplit/>
        </w:trPr>
        <w:tc>
          <w:tcPr>
            <w:tcW w:w="0" w:type="auto"/>
            <w:tcMar>
              <w:top w:w="75" w:type="dxa"/>
              <w:left w:w="75" w:type="dxa"/>
              <w:bottom w:w="75" w:type="dxa"/>
              <w:right w:w="75" w:type="dxa"/>
            </w:tcMar>
            <w:hideMark/>
          </w:tcPr>
          <w:p w14:paraId="493EB8A3"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Educator </w:t>
            </w:r>
          </w:p>
        </w:tc>
        <w:tc>
          <w:tcPr>
            <w:tcW w:w="0" w:type="auto"/>
            <w:tcMar>
              <w:top w:w="75" w:type="dxa"/>
              <w:left w:w="75" w:type="dxa"/>
              <w:bottom w:w="75" w:type="dxa"/>
              <w:right w:w="75" w:type="dxa"/>
            </w:tcMar>
            <w:hideMark/>
          </w:tcPr>
          <w:p w14:paraId="063E24D4"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Teacher, Athletic Coach, Classroom Assistant </w:t>
            </w:r>
          </w:p>
        </w:tc>
        <w:tc>
          <w:tcPr>
            <w:tcW w:w="0" w:type="auto"/>
            <w:tcMar>
              <w:top w:w="75" w:type="dxa"/>
              <w:left w:w="75" w:type="dxa"/>
              <w:bottom w:w="75" w:type="dxa"/>
              <w:right w:w="75" w:type="dxa"/>
            </w:tcMar>
            <w:hideMark/>
          </w:tcPr>
          <w:p w14:paraId="191783CD"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yes </w:t>
            </w:r>
          </w:p>
        </w:tc>
        <w:tc>
          <w:tcPr>
            <w:tcW w:w="0" w:type="auto"/>
            <w:tcMar>
              <w:top w:w="75" w:type="dxa"/>
              <w:left w:w="75" w:type="dxa"/>
              <w:bottom w:w="75" w:type="dxa"/>
              <w:right w:w="75" w:type="dxa"/>
            </w:tcMar>
            <w:hideMark/>
          </w:tcPr>
          <w:p w14:paraId="36281E73"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student enrolled in my sections </w:t>
            </w:r>
          </w:p>
        </w:tc>
        <w:tc>
          <w:tcPr>
            <w:tcW w:w="0" w:type="auto"/>
            <w:tcMar>
              <w:top w:w="75" w:type="dxa"/>
              <w:left w:w="75" w:type="dxa"/>
              <w:bottom w:w="75" w:type="dxa"/>
              <w:right w:w="75" w:type="dxa"/>
            </w:tcMar>
            <w:hideMark/>
          </w:tcPr>
          <w:p w14:paraId="3C24E67D"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R </w:t>
            </w:r>
          </w:p>
        </w:tc>
        <w:tc>
          <w:tcPr>
            <w:tcW w:w="0" w:type="auto"/>
            <w:tcMar>
              <w:top w:w="75" w:type="dxa"/>
              <w:left w:w="75" w:type="dxa"/>
              <w:bottom w:w="75" w:type="dxa"/>
              <w:right w:w="75" w:type="dxa"/>
            </w:tcMar>
            <w:hideMark/>
          </w:tcPr>
          <w:p w14:paraId="6EAB128A"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none </w:t>
            </w:r>
          </w:p>
        </w:tc>
      </w:tr>
      <w:tr w:rsidR="007233DA" w:rsidRPr="003E0E6C" w14:paraId="30D282EA" w14:textId="77777777" w:rsidTr="00412601">
        <w:trPr>
          <w:cantSplit/>
        </w:trPr>
        <w:tc>
          <w:tcPr>
            <w:tcW w:w="0" w:type="auto"/>
            <w:tcMar>
              <w:top w:w="75" w:type="dxa"/>
              <w:left w:w="75" w:type="dxa"/>
              <w:bottom w:w="75" w:type="dxa"/>
              <w:right w:w="75" w:type="dxa"/>
            </w:tcMar>
            <w:hideMark/>
          </w:tcPr>
          <w:p w14:paraId="10A33C96"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Leader </w:t>
            </w:r>
          </w:p>
        </w:tc>
        <w:tc>
          <w:tcPr>
            <w:tcW w:w="0" w:type="auto"/>
            <w:tcMar>
              <w:top w:w="75" w:type="dxa"/>
              <w:left w:w="75" w:type="dxa"/>
              <w:bottom w:w="75" w:type="dxa"/>
              <w:right w:w="75" w:type="dxa"/>
            </w:tcMar>
            <w:hideMark/>
          </w:tcPr>
          <w:p w14:paraId="6157EE81"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School Principal,</w:t>
            </w:r>
            <w:r>
              <w:rPr>
                <w:rFonts w:eastAsia="Times New Roman" w:cs="Arial"/>
                <w:color w:val="000000" w:themeColor="text1"/>
                <w:sz w:val="20"/>
                <w:szCs w:val="20"/>
              </w:rPr>
              <w:t xml:space="preserve"> </w:t>
            </w:r>
            <w:r w:rsidRPr="003E0E6C">
              <w:rPr>
                <w:rFonts w:eastAsia="Times New Roman" w:cs="Arial"/>
                <w:color w:val="000000" w:themeColor="text1"/>
                <w:sz w:val="20"/>
                <w:szCs w:val="20"/>
              </w:rPr>
              <w:t>District Superintendent,</w:t>
            </w:r>
            <w:r>
              <w:rPr>
                <w:rFonts w:eastAsia="Times New Roman" w:cs="Arial"/>
                <w:color w:val="000000" w:themeColor="text1"/>
                <w:sz w:val="20"/>
                <w:szCs w:val="20"/>
              </w:rPr>
              <w:t xml:space="preserve"> </w:t>
            </w:r>
            <w:r w:rsidRPr="003E0E6C">
              <w:rPr>
                <w:rFonts w:eastAsia="Times New Roman" w:cs="Arial"/>
                <w:color w:val="000000" w:themeColor="text1"/>
                <w:sz w:val="20"/>
                <w:szCs w:val="20"/>
              </w:rPr>
              <w:br/>
              <w:t xml:space="preserve">State Superintendent </w:t>
            </w:r>
          </w:p>
        </w:tc>
        <w:tc>
          <w:tcPr>
            <w:tcW w:w="0" w:type="auto"/>
            <w:tcMar>
              <w:top w:w="75" w:type="dxa"/>
              <w:left w:w="75" w:type="dxa"/>
              <w:bottom w:w="75" w:type="dxa"/>
              <w:right w:w="75" w:type="dxa"/>
            </w:tcMar>
            <w:hideMark/>
          </w:tcPr>
          <w:p w14:paraId="0565A48E"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yes </w:t>
            </w:r>
          </w:p>
        </w:tc>
        <w:tc>
          <w:tcPr>
            <w:tcW w:w="0" w:type="auto"/>
            <w:tcMar>
              <w:top w:w="75" w:type="dxa"/>
              <w:left w:w="75" w:type="dxa"/>
              <w:bottom w:w="75" w:type="dxa"/>
              <w:right w:w="75" w:type="dxa"/>
            </w:tcMar>
            <w:hideMark/>
          </w:tcPr>
          <w:p w14:paraId="27669F53"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student enrolled in my district(s) or school(s) </w:t>
            </w:r>
          </w:p>
        </w:tc>
        <w:tc>
          <w:tcPr>
            <w:tcW w:w="0" w:type="auto"/>
            <w:tcMar>
              <w:top w:w="75" w:type="dxa"/>
              <w:left w:w="75" w:type="dxa"/>
              <w:bottom w:w="75" w:type="dxa"/>
              <w:right w:w="75" w:type="dxa"/>
            </w:tcMar>
            <w:hideMark/>
          </w:tcPr>
          <w:p w14:paraId="26FAEE6C"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R </w:t>
            </w:r>
          </w:p>
        </w:tc>
        <w:tc>
          <w:tcPr>
            <w:tcW w:w="0" w:type="auto"/>
            <w:tcMar>
              <w:top w:w="75" w:type="dxa"/>
              <w:left w:w="75" w:type="dxa"/>
              <w:bottom w:w="75" w:type="dxa"/>
              <w:right w:w="75" w:type="dxa"/>
            </w:tcMar>
            <w:hideMark/>
          </w:tcPr>
          <w:p w14:paraId="039972B7"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R </w:t>
            </w:r>
          </w:p>
        </w:tc>
      </w:tr>
      <w:tr w:rsidR="007233DA" w:rsidRPr="003E0E6C" w14:paraId="7B869ABA" w14:textId="77777777" w:rsidTr="00412601">
        <w:trPr>
          <w:cantSplit/>
        </w:trPr>
        <w:tc>
          <w:tcPr>
            <w:tcW w:w="0" w:type="auto"/>
            <w:tcMar>
              <w:top w:w="75" w:type="dxa"/>
              <w:left w:w="75" w:type="dxa"/>
              <w:bottom w:w="75" w:type="dxa"/>
              <w:right w:w="75" w:type="dxa"/>
            </w:tcMar>
            <w:hideMark/>
          </w:tcPr>
          <w:p w14:paraId="16F519D6"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IT Administrator </w:t>
            </w:r>
          </w:p>
        </w:tc>
        <w:tc>
          <w:tcPr>
            <w:tcW w:w="0" w:type="auto"/>
            <w:tcMar>
              <w:top w:w="75" w:type="dxa"/>
              <w:left w:w="75" w:type="dxa"/>
              <w:bottom w:w="75" w:type="dxa"/>
              <w:right w:w="75" w:type="dxa"/>
            </w:tcMar>
            <w:hideMark/>
          </w:tcPr>
          <w:p w14:paraId="53ECDD84"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SLC Operator, SEA IT Admin, LEA IT Admin </w:t>
            </w:r>
          </w:p>
        </w:tc>
        <w:tc>
          <w:tcPr>
            <w:tcW w:w="0" w:type="auto"/>
            <w:tcMar>
              <w:top w:w="75" w:type="dxa"/>
              <w:left w:w="75" w:type="dxa"/>
              <w:bottom w:w="75" w:type="dxa"/>
              <w:right w:w="75" w:type="dxa"/>
            </w:tcMar>
            <w:hideMark/>
          </w:tcPr>
          <w:p w14:paraId="40FAE253"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yes </w:t>
            </w:r>
          </w:p>
        </w:tc>
        <w:tc>
          <w:tcPr>
            <w:tcW w:w="0" w:type="auto"/>
            <w:tcMar>
              <w:top w:w="75" w:type="dxa"/>
              <w:left w:w="75" w:type="dxa"/>
              <w:bottom w:w="75" w:type="dxa"/>
              <w:right w:w="75" w:type="dxa"/>
            </w:tcMar>
            <w:hideMark/>
          </w:tcPr>
          <w:p w14:paraId="73C96E07"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student enrolled in my district(s) or school(s) </w:t>
            </w:r>
          </w:p>
        </w:tc>
        <w:tc>
          <w:tcPr>
            <w:tcW w:w="0" w:type="auto"/>
            <w:tcMar>
              <w:top w:w="75" w:type="dxa"/>
              <w:left w:w="75" w:type="dxa"/>
              <w:bottom w:w="75" w:type="dxa"/>
              <w:right w:w="75" w:type="dxa"/>
            </w:tcMar>
            <w:hideMark/>
          </w:tcPr>
          <w:p w14:paraId="118F079E" w14:textId="77777777" w:rsidR="007233DA" w:rsidRPr="003E0E6C" w:rsidRDefault="007233DA" w:rsidP="00087610">
            <w:pPr>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R/W </w:t>
            </w:r>
          </w:p>
        </w:tc>
        <w:tc>
          <w:tcPr>
            <w:tcW w:w="0" w:type="auto"/>
            <w:tcMar>
              <w:top w:w="75" w:type="dxa"/>
              <w:left w:w="75" w:type="dxa"/>
              <w:bottom w:w="75" w:type="dxa"/>
              <w:right w:w="75" w:type="dxa"/>
            </w:tcMar>
            <w:hideMark/>
          </w:tcPr>
          <w:p w14:paraId="372402A7" w14:textId="77777777" w:rsidR="007233DA" w:rsidRPr="003E0E6C" w:rsidRDefault="007233DA" w:rsidP="00087610">
            <w:pPr>
              <w:keepNext/>
              <w:spacing w:before="180" w:after="180"/>
              <w:rPr>
                <w:rFonts w:eastAsia="Times New Roman" w:cs="Arial"/>
                <w:color w:val="000000" w:themeColor="text1"/>
                <w:sz w:val="20"/>
                <w:szCs w:val="20"/>
              </w:rPr>
            </w:pPr>
            <w:r w:rsidRPr="003E0E6C">
              <w:rPr>
                <w:rFonts w:eastAsia="Times New Roman" w:cs="Arial"/>
                <w:color w:val="000000" w:themeColor="text1"/>
                <w:sz w:val="20"/>
                <w:szCs w:val="20"/>
              </w:rPr>
              <w:t xml:space="preserve">R/W </w:t>
            </w:r>
          </w:p>
        </w:tc>
      </w:tr>
    </w:tbl>
    <w:p w14:paraId="75EADE82" w14:textId="77777777" w:rsidR="007233DA" w:rsidRPr="003E0E6C" w:rsidRDefault="007233DA" w:rsidP="007F3E25">
      <w:pPr>
        <w:pStyle w:val="Caption"/>
      </w:pPr>
      <w:bookmarkStart w:id="143" w:name="_Toc196213409"/>
      <w:r>
        <w:t xml:space="preserve">Table </w:t>
      </w:r>
      <w:fldSimple w:instr=" SEQ Table \* ARABIC ">
        <w:r w:rsidR="00A54FB1">
          <w:rPr>
            <w:noProof/>
          </w:rPr>
          <w:t>1</w:t>
        </w:r>
      </w:fldSimple>
      <w:r>
        <w:t xml:space="preserve"> - </w:t>
      </w:r>
      <w:r w:rsidRPr="003E0E6C">
        <w:t xml:space="preserve">Default </w:t>
      </w:r>
      <w:r>
        <w:t>R</w:t>
      </w:r>
      <w:r w:rsidRPr="003E0E6C">
        <w:t xml:space="preserve">oles and </w:t>
      </w:r>
      <w:r>
        <w:t>P</w:t>
      </w:r>
      <w:r w:rsidRPr="003E0E6C">
        <w:t>ermissions for Alpha Pilot users</w:t>
      </w:r>
      <w:bookmarkEnd w:id="143"/>
      <w:r w:rsidRPr="003E0E6C">
        <w:t xml:space="preserve"> </w:t>
      </w:r>
    </w:p>
    <w:p w14:paraId="4E6714B1" w14:textId="77777777" w:rsidR="007233DA" w:rsidRPr="008F38D5" w:rsidRDefault="007233DA" w:rsidP="00A1298C">
      <w:pPr>
        <w:pStyle w:val="Heading2"/>
      </w:pPr>
      <w:bookmarkStart w:id="144" w:name="_Toc196216269"/>
      <w:bookmarkStart w:id="145" w:name="_Toc324348181"/>
      <w:r w:rsidRPr="008F38D5">
        <w:t xml:space="preserve">Roles and Permissions </w:t>
      </w:r>
      <w:r>
        <w:t>(</w:t>
      </w:r>
      <w:r w:rsidRPr="008F38D5">
        <w:t>1.0 and Beyond</w:t>
      </w:r>
      <w:r>
        <w:t>)</w:t>
      </w:r>
      <w:bookmarkEnd w:id="144"/>
      <w:bookmarkEnd w:id="145"/>
    </w:p>
    <w:p w14:paraId="6391A0B1" w14:textId="77777777" w:rsidR="007233DA" w:rsidRPr="003E0E6C" w:rsidRDefault="007233DA" w:rsidP="00CD5AB0">
      <w:r w:rsidRPr="003E0E6C">
        <w:t xml:space="preserve">This section </w:t>
      </w:r>
      <w:r>
        <w:t>describes</w:t>
      </w:r>
      <w:r w:rsidRPr="003E0E6C">
        <w:t xml:space="preserve"> the future plans for the SLI </w:t>
      </w:r>
      <w:r>
        <w:t>R</w:t>
      </w:r>
      <w:r w:rsidRPr="003E0E6C">
        <w:t xml:space="preserve">oles and </w:t>
      </w:r>
      <w:r>
        <w:t>P</w:t>
      </w:r>
      <w:r w:rsidRPr="003E0E6C">
        <w:t>ermissions implementation, for the 1.0 release and beyond.</w:t>
      </w:r>
    </w:p>
    <w:p w14:paraId="64CE90B2" w14:textId="4415A4B3" w:rsidR="007233DA" w:rsidRPr="003E0E6C" w:rsidRDefault="007233DA" w:rsidP="007233DA">
      <w:pPr>
        <w:pStyle w:val="ListBullet"/>
      </w:pPr>
      <w:r w:rsidRPr="003E0E6C">
        <w:t xml:space="preserve">Default </w:t>
      </w:r>
      <w:r>
        <w:t>R</w:t>
      </w:r>
      <w:r w:rsidRPr="003E0E6C">
        <w:t xml:space="preserve">oles and </w:t>
      </w:r>
      <w:r>
        <w:t>P</w:t>
      </w:r>
      <w:r w:rsidRPr="003E0E6C">
        <w:t xml:space="preserve">ermissions </w:t>
      </w:r>
      <w:r w:rsidR="009C7027">
        <w:t xml:space="preserve">will be added </w:t>
      </w:r>
      <w:r w:rsidRPr="003E0E6C">
        <w:t xml:space="preserve">for </w:t>
      </w:r>
      <w:r>
        <w:t>p</w:t>
      </w:r>
      <w:r w:rsidRPr="003E0E6C">
        <w:t xml:space="preserve">arents and </w:t>
      </w:r>
      <w:r>
        <w:t>s</w:t>
      </w:r>
      <w:r w:rsidRPr="003E0E6C">
        <w:t>tudents that correlate to their common roles within the educational ecosystem</w:t>
      </w:r>
    </w:p>
    <w:p w14:paraId="6391FA2B" w14:textId="77777777" w:rsidR="007233DA" w:rsidRPr="003E0E6C" w:rsidRDefault="007233DA" w:rsidP="007233DA">
      <w:pPr>
        <w:pStyle w:val="ListBullet"/>
      </w:pPr>
      <w:r w:rsidRPr="003E0E6C">
        <w:lastRenderedPageBreak/>
        <w:t xml:space="preserve">Ability for SEAs and LEAs to define and configure Custom Roles, and assign </w:t>
      </w:r>
      <w:r>
        <w:t>P</w:t>
      </w:r>
      <w:r w:rsidRPr="003E0E6C">
        <w:t>ermission/</w:t>
      </w:r>
      <w:r>
        <w:t>P</w:t>
      </w:r>
      <w:r w:rsidRPr="003E0E6C">
        <w:t>ermission groups that exist in the SLI</w:t>
      </w:r>
    </w:p>
    <w:p w14:paraId="723726F9" w14:textId="77777777" w:rsidR="007233DA" w:rsidRPr="003E0E6C" w:rsidRDefault="007233DA" w:rsidP="007233DA">
      <w:pPr>
        <w:pStyle w:val="ListBullet"/>
      </w:pPr>
      <w:r w:rsidRPr="003E0E6C">
        <w:t xml:space="preserve">Granular </w:t>
      </w:r>
      <w:r>
        <w:t>P</w:t>
      </w:r>
      <w:r w:rsidRPr="003E0E6C">
        <w:t>ermission configuration</w:t>
      </w:r>
      <w:r>
        <w:t>:</w:t>
      </w:r>
    </w:p>
    <w:p w14:paraId="48DF191D" w14:textId="77777777" w:rsidR="007233DA" w:rsidRPr="003E0E6C" w:rsidRDefault="007233DA" w:rsidP="007233DA">
      <w:pPr>
        <w:pStyle w:val="ListBullet2"/>
      </w:pPr>
      <w:r w:rsidRPr="003E0E6C">
        <w:t xml:space="preserve">The ability to define Entity and Attribute-level </w:t>
      </w:r>
      <w:r>
        <w:t>P</w:t>
      </w:r>
      <w:r w:rsidRPr="003E0E6C">
        <w:t>ermissions for custom roles. For example, restrict access to students' Special Ed program participation info for a Classroom Assistant.</w:t>
      </w:r>
    </w:p>
    <w:p w14:paraId="31D354B6" w14:textId="77777777" w:rsidR="007233DA" w:rsidRPr="003E0E6C" w:rsidRDefault="007233DA" w:rsidP="007233DA">
      <w:pPr>
        <w:pStyle w:val="ListBullet2"/>
      </w:pPr>
      <w:r w:rsidRPr="003E0E6C">
        <w:t xml:space="preserve">The ability to define Dataset-level </w:t>
      </w:r>
      <w:r>
        <w:t>P</w:t>
      </w:r>
      <w:r w:rsidRPr="003E0E6C">
        <w:t xml:space="preserve">ermissions for </w:t>
      </w:r>
      <w:r>
        <w:t>C</w:t>
      </w:r>
      <w:r w:rsidRPr="003E0E6C">
        <w:t xml:space="preserve">ustom </w:t>
      </w:r>
      <w:r>
        <w:t>R</w:t>
      </w:r>
      <w:r w:rsidRPr="003E0E6C">
        <w:t xml:space="preserve">oles. For example, restrict access to specific Benchmark Assessments within a </w:t>
      </w:r>
      <w:r>
        <w:t>D</w:t>
      </w:r>
      <w:r w:rsidRPr="003E0E6C">
        <w:t>istrict for State-level Academic Administrators.</w:t>
      </w:r>
    </w:p>
    <w:sectPr w:rsidR="007233DA" w:rsidRPr="003E0E6C" w:rsidSect="00EB6F41">
      <w:footerReference w:type="even" r:id="rId17"/>
      <w:footerReference w:type="default" r:id="rId18"/>
      <w:headerReference w:type="first" r:id="rId19"/>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408D2" w14:textId="77777777" w:rsidR="00A82173" w:rsidRDefault="00A82173" w:rsidP="003D15C5">
      <w:r>
        <w:separator/>
      </w:r>
    </w:p>
  </w:endnote>
  <w:endnote w:type="continuationSeparator" w:id="0">
    <w:p w14:paraId="2D7A7766" w14:textId="77777777" w:rsidR="00A82173" w:rsidRDefault="00A82173"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CF2" w14:textId="77777777" w:rsidR="00BF1C5D" w:rsidRDefault="00BF1C5D"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BF1C5D" w:rsidRDefault="00BF1C5D"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6E4C4" w14:textId="77777777" w:rsidR="00BF1C5D" w:rsidRPr="009B4E5A" w:rsidRDefault="00BF1C5D" w:rsidP="00DC0F0A">
    <w:pPr>
      <w:pStyle w:val="Footer"/>
      <w:framePr w:wrap="around" w:vAnchor="text" w:hAnchor="page" w:x="10327" w:y="1162"/>
      <w:rPr>
        <w:rStyle w:val="PageNumber"/>
        <w:color w:val="808080" w:themeColor="background1" w:themeShade="80"/>
        <w:sz w:val="20"/>
        <w:szCs w:val="20"/>
      </w:rPr>
    </w:pPr>
    <w:r w:rsidRPr="009B4E5A">
      <w:rPr>
        <w:rStyle w:val="PageNumber"/>
        <w:color w:val="808080" w:themeColor="background1" w:themeShade="80"/>
        <w:sz w:val="20"/>
        <w:szCs w:val="20"/>
      </w:rPr>
      <w:fldChar w:fldCharType="begin"/>
    </w:r>
    <w:r w:rsidRPr="009B4E5A">
      <w:rPr>
        <w:rStyle w:val="PageNumber"/>
        <w:color w:val="808080" w:themeColor="background1" w:themeShade="80"/>
        <w:sz w:val="20"/>
        <w:szCs w:val="20"/>
      </w:rPr>
      <w:instrText xml:space="preserve">PAGE  </w:instrText>
    </w:r>
    <w:r w:rsidRPr="009B4E5A">
      <w:rPr>
        <w:rStyle w:val="PageNumber"/>
        <w:color w:val="808080" w:themeColor="background1" w:themeShade="80"/>
        <w:sz w:val="20"/>
        <w:szCs w:val="20"/>
      </w:rPr>
      <w:fldChar w:fldCharType="separate"/>
    </w:r>
    <w:r w:rsidR="00683ECE">
      <w:rPr>
        <w:rStyle w:val="PageNumber"/>
        <w:noProof/>
        <w:color w:val="808080" w:themeColor="background1" w:themeShade="80"/>
        <w:sz w:val="20"/>
        <w:szCs w:val="20"/>
      </w:rPr>
      <w:t>3</w:t>
    </w:r>
    <w:r w:rsidRPr="009B4E5A">
      <w:rPr>
        <w:rStyle w:val="PageNumber"/>
        <w:color w:val="808080" w:themeColor="background1" w:themeShade="80"/>
        <w:sz w:val="20"/>
        <w:szCs w:val="20"/>
      </w:rPr>
      <w:fldChar w:fldCharType="end"/>
    </w:r>
  </w:p>
  <w:p w14:paraId="2EA2FD75" w14:textId="1C14CE49" w:rsidR="00BF1C5D" w:rsidRDefault="00BF1C5D" w:rsidP="00EB6F41">
    <w:pPr>
      <w:pStyle w:val="Footer"/>
      <w:ind w:left="-1080" w:right="360"/>
    </w:pPr>
    <w:r>
      <w:rPr>
        <w:noProof/>
      </w:rPr>
      <mc:AlternateContent>
        <mc:Choice Requires="wps">
          <w:drawing>
            <wp:anchor distT="0" distB="0" distL="114300" distR="114300" simplePos="0" relativeHeight="251661312" behindDoc="0" locked="0" layoutInCell="1" allowOverlap="1" wp14:anchorId="1D46BFA7" wp14:editId="7AD35C9F">
              <wp:simplePos x="0" y="0"/>
              <wp:positionH relativeFrom="column">
                <wp:posOffset>2743200</wp:posOffset>
              </wp:positionH>
              <wp:positionV relativeFrom="paragraph">
                <wp:posOffset>257810</wp:posOffset>
              </wp:positionV>
              <wp:extent cx="284607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607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E8DC4" w14:textId="19115E19" w:rsidR="00BF1C5D" w:rsidRPr="00D85CC8" w:rsidRDefault="00BF1C5D" w:rsidP="00D85CC8">
                          <w:pPr>
                            <w:spacing w:line="216" w:lineRule="auto"/>
                            <w:jc w:val="right"/>
                            <w:rPr>
                              <w:color w:val="004C6C"/>
                              <w:szCs w:val="22"/>
                            </w:rPr>
                          </w:pPr>
                          <w:r>
                            <w:rPr>
                              <w:color w:val="004C6C"/>
                              <w:szCs w:val="22"/>
                            </w:rPr>
                            <w:t>Identity Integration Solution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in;margin-top:20.3pt;width:224.1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" filled="f" stroked="f" strokeweight="2pt">
              <v:path arrowok="t"/>
              <v:textbox>
                <w:txbxContent>
                  <w:p w14:paraId="3C5E8DC4" w14:textId="19115E19" w:rsidR="00BF1C5D" w:rsidRPr="00D85CC8" w:rsidRDefault="00BF1C5D" w:rsidP="00D85CC8">
                    <w:pPr>
                      <w:spacing w:line="216" w:lineRule="auto"/>
                      <w:jc w:val="right"/>
                      <w:rPr>
                        <w:color w:val="004C6C"/>
                        <w:szCs w:val="22"/>
                      </w:rPr>
                    </w:pPr>
                    <w:r>
                      <w:rPr>
                        <w:color w:val="004C6C"/>
                        <w:szCs w:val="22"/>
                      </w:rPr>
                      <w:t>Identity Integration Solution Overview</w:t>
                    </w:r>
                  </w:p>
                </w:txbxContent>
              </v:textbox>
            </v:rect>
          </w:pict>
        </mc:Fallback>
      </mc:AlternateContent>
    </w:r>
    <w:r>
      <w:rPr>
        <w:noProof/>
      </w:rPr>
      <w:drawing>
        <wp:inline distT="0" distB="0" distL="0" distR="0" wp14:anchorId="4A1A244D" wp14:editId="67EF8A64">
          <wp:extent cx="6858000" cy="8001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6858000" cy="8001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72437" w14:textId="77777777" w:rsidR="00A82173" w:rsidRDefault="00A82173" w:rsidP="003D15C5">
      <w:r>
        <w:separator/>
      </w:r>
    </w:p>
  </w:footnote>
  <w:footnote w:type="continuationSeparator" w:id="0">
    <w:p w14:paraId="5E9B1495" w14:textId="77777777" w:rsidR="00A82173" w:rsidRDefault="00A82173"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E041" w14:textId="77777777" w:rsidR="00BF1C5D" w:rsidRDefault="00BF1C5D" w:rsidP="00027809">
    <w:pPr>
      <w:pStyle w:val="Header"/>
      <w:ind w:left="-1080" w:firstLine="229"/>
    </w:pPr>
    <w:r>
      <w:rPr>
        <w:noProof/>
      </w:rPr>
      <mc:AlternateContent>
        <mc:Choice Requires="wps">
          <w:drawing>
            <wp:anchor distT="0" distB="0" distL="114300" distR="114300" simplePos="0" relativeHeight="251659264" behindDoc="0" locked="0" layoutInCell="1" allowOverlap="1" wp14:anchorId="6B9D1829" wp14:editId="6D76FCB6">
              <wp:simplePos x="0" y="0"/>
              <wp:positionH relativeFrom="column">
                <wp:posOffset>3103245</wp:posOffset>
              </wp:positionH>
              <wp:positionV relativeFrom="paragraph">
                <wp:posOffset>11430</wp:posOffset>
              </wp:positionV>
              <wp:extent cx="2611755" cy="49149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1755" cy="4914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1DB41" w14:textId="2C4DC204" w:rsidR="00BF1C5D" w:rsidRPr="00D85CC8" w:rsidRDefault="00BF1C5D" w:rsidP="00D85CC8">
                          <w:pPr>
                            <w:spacing w:line="216" w:lineRule="auto"/>
                            <w:jc w:val="right"/>
                            <w:rPr>
                              <w:color w:val="004C6C"/>
                              <w:szCs w:val="22"/>
                            </w:rPr>
                          </w:pPr>
                          <w:r>
                            <w:rPr>
                              <w:color w:val="004C6C"/>
                              <w:szCs w:val="22"/>
                            </w:rPr>
                            <w:t>Identity Integration Solution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44.35pt;margin-top:.9pt;width:205.65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" filled="f" stroked="f" strokeweight="2pt">
              <v:path arrowok="t"/>
              <v:textbox>
                <w:txbxContent>
                  <w:p w14:paraId="42C1DB41" w14:textId="2C4DC204" w:rsidR="00BF1C5D" w:rsidRPr="00D85CC8" w:rsidRDefault="00BF1C5D" w:rsidP="00D85CC8">
                    <w:pPr>
                      <w:spacing w:line="216" w:lineRule="auto"/>
                      <w:jc w:val="right"/>
                      <w:rPr>
                        <w:color w:val="004C6C"/>
                        <w:szCs w:val="22"/>
                      </w:rPr>
                    </w:pPr>
                    <w:r>
                      <w:rPr>
                        <w:color w:val="004C6C"/>
                        <w:szCs w:val="22"/>
                      </w:rPr>
                      <w:t>Identity Integration Solution Overview</w:t>
                    </w:r>
                  </w:p>
                </w:txbxContent>
              </v:textbox>
            </v:rect>
          </w:pict>
        </mc:Fallback>
      </mc:AlternateContent>
    </w:r>
    <w:r>
      <w:rPr>
        <w:noProof/>
      </w:rPr>
      <w:drawing>
        <wp:inline distT="0" distB="0" distL="0" distR="0" wp14:anchorId="25D2C507" wp14:editId="21DD52E5">
          <wp:extent cx="68580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2">
    <w:nsid w:val="FFFFFF82"/>
    <w:multiLevelType w:val="singleLevel"/>
    <w:tmpl w:val="3926D55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4">
    <w:nsid w:val="FFFFFF88"/>
    <w:multiLevelType w:val="singleLevel"/>
    <w:tmpl w:val="8D5EDA90"/>
    <w:lvl w:ilvl="0">
      <w:start w:val="1"/>
      <w:numFmt w:val="decimal"/>
      <w:pStyle w:val="ListNumber"/>
      <w:lvlText w:val="%1."/>
      <w:lvlJc w:val="left"/>
      <w:pPr>
        <w:tabs>
          <w:tab w:val="num" w:pos="360"/>
        </w:tabs>
        <w:ind w:left="360" w:hanging="360"/>
      </w:pPr>
    </w:lvl>
  </w:abstractNum>
  <w:abstractNum w:abstractNumId="5">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5247189"/>
    <w:multiLevelType w:val="hybridMultilevel"/>
    <w:tmpl w:val="275A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5710F"/>
    <w:multiLevelType w:val="multilevel"/>
    <w:tmpl w:val="B414E72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FE651EE"/>
    <w:multiLevelType w:val="multilevel"/>
    <w:tmpl w:val="A744823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41B3ED0"/>
    <w:multiLevelType w:val="multilevel"/>
    <w:tmpl w:val="8ED857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27809"/>
    <w:rsid w:val="00027D13"/>
    <w:rsid w:val="00076F86"/>
    <w:rsid w:val="00087610"/>
    <w:rsid w:val="00092C3F"/>
    <w:rsid w:val="000A4042"/>
    <w:rsid w:val="000B201C"/>
    <w:rsid w:val="000C21C1"/>
    <w:rsid w:val="000D39A9"/>
    <w:rsid w:val="000F2646"/>
    <w:rsid w:val="001130E0"/>
    <w:rsid w:val="00116427"/>
    <w:rsid w:val="00122CF6"/>
    <w:rsid w:val="0012744A"/>
    <w:rsid w:val="00143A00"/>
    <w:rsid w:val="00181A53"/>
    <w:rsid w:val="001A5330"/>
    <w:rsid w:val="001B0683"/>
    <w:rsid w:val="001C3C94"/>
    <w:rsid w:val="00214F6A"/>
    <w:rsid w:val="002416B8"/>
    <w:rsid w:val="00255B86"/>
    <w:rsid w:val="00273AC5"/>
    <w:rsid w:val="00282A76"/>
    <w:rsid w:val="00291282"/>
    <w:rsid w:val="002C117E"/>
    <w:rsid w:val="002F18B8"/>
    <w:rsid w:val="003359EC"/>
    <w:rsid w:val="00380FB6"/>
    <w:rsid w:val="0038100A"/>
    <w:rsid w:val="00396FB3"/>
    <w:rsid w:val="003A117D"/>
    <w:rsid w:val="003C2A22"/>
    <w:rsid w:val="003D15C5"/>
    <w:rsid w:val="00412601"/>
    <w:rsid w:val="0042013A"/>
    <w:rsid w:val="0045192D"/>
    <w:rsid w:val="0049318F"/>
    <w:rsid w:val="00495F10"/>
    <w:rsid w:val="004A4A34"/>
    <w:rsid w:val="004A7772"/>
    <w:rsid w:val="00520FBB"/>
    <w:rsid w:val="00526827"/>
    <w:rsid w:val="00534F85"/>
    <w:rsid w:val="00545CDC"/>
    <w:rsid w:val="005463AA"/>
    <w:rsid w:val="0059371C"/>
    <w:rsid w:val="005C3F07"/>
    <w:rsid w:val="005C72D1"/>
    <w:rsid w:val="005D3969"/>
    <w:rsid w:val="005D5AAC"/>
    <w:rsid w:val="005F19C1"/>
    <w:rsid w:val="00613E44"/>
    <w:rsid w:val="00625820"/>
    <w:rsid w:val="00630501"/>
    <w:rsid w:val="00644E03"/>
    <w:rsid w:val="00652E53"/>
    <w:rsid w:val="006659D7"/>
    <w:rsid w:val="00677FCD"/>
    <w:rsid w:val="00683ECE"/>
    <w:rsid w:val="00684FE2"/>
    <w:rsid w:val="00693B0A"/>
    <w:rsid w:val="006A6763"/>
    <w:rsid w:val="007233DA"/>
    <w:rsid w:val="00737B6D"/>
    <w:rsid w:val="00745C98"/>
    <w:rsid w:val="00767CD0"/>
    <w:rsid w:val="0077390F"/>
    <w:rsid w:val="00795CF5"/>
    <w:rsid w:val="007F3D76"/>
    <w:rsid w:val="007F3E25"/>
    <w:rsid w:val="00801582"/>
    <w:rsid w:val="00821DC0"/>
    <w:rsid w:val="00857760"/>
    <w:rsid w:val="008751FE"/>
    <w:rsid w:val="008B74D5"/>
    <w:rsid w:val="008C7825"/>
    <w:rsid w:val="008F4AA0"/>
    <w:rsid w:val="008F7DEB"/>
    <w:rsid w:val="0091741C"/>
    <w:rsid w:val="00917778"/>
    <w:rsid w:val="0093390E"/>
    <w:rsid w:val="00941415"/>
    <w:rsid w:val="00960C50"/>
    <w:rsid w:val="009B4E5A"/>
    <w:rsid w:val="009C2F6A"/>
    <w:rsid w:val="009C7027"/>
    <w:rsid w:val="009D119F"/>
    <w:rsid w:val="009D2402"/>
    <w:rsid w:val="00A019EA"/>
    <w:rsid w:val="00A1162B"/>
    <w:rsid w:val="00A1298C"/>
    <w:rsid w:val="00A13CB2"/>
    <w:rsid w:val="00A1780F"/>
    <w:rsid w:val="00A3661F"/>
    <w:rsid w:val="00A54FB1"/>
    <w:rsid w:val="00A80763"/>
    <w:rsid w:val="00A82173"/>
    <w:rsid w:val="00A92E50"/>
    <w:rsid w:val="00AA3DB1"/>
    <w:rsid w:val="00AE35C5"/>
    <w:rsid w:val="00AF4FC8"/>
    <w:rsid w:val="00B27DAE"/>
    <w:rsid w:val="00B455C5"/>
    <w:rsid w:val="00B52461"/>
    <w:rsid w:val="00B707A6"/>
    <w:rsid w:val="00B919F8"/>
    <w:rsid w:val="00BA3293"/>
    <w:rsid w:val="00BA50B2"/>
    <w:rsid w:val="00BE785B"/>
    <w:rsid w:val="00BF1B7F"/>
    <w:rsid w:val="00BF1C5D"/>
    <w:rsid w:val="00C1238D"/>
    <w:rsid w:val="00C852FA"/>
    <w:rsid w:val="00CA2F87"/>
    <w:rsid w:val="00CB1A23"/>
    <w:rsid w:val="00CC54FA"/>
    <w:rsid w:val="00CD5AB0"/>
    <w:rsid w:val="00CF61A1"/>
    <w:rsid w:val="00CF70F6"/>
    <w:rsid w:val="00D0488D"/>
    <w:rsid w:val="00D17408"/>
    <w:rsid w:val="00D20D79"/>
    <w:rsid w:val="00D314DF"/>
    <w:rsid w:val="00D51E0D"/>
    <w:rsid w:val="00D7538C"/>
    <w:rsid w:val="00D85CC8"/>
    <w:rsid w:val="00D87BBF"/>
    <w:rsid w:val="00DA0399"/>
    <w:rsid w:val="00DC0F0A"/>
    <w:rsid w:val="00DC565F"/>
    <w:rsid w:val="00DD247F"/>
    <w:rsid w:val="00DD2EE0"/>
    <w:rsid w:val="00DD7656"/>
    <w:rsid w:val="00DE338E"/>
    <w:rsid w:val="00DF628C"/>
    <w:rsid w:val="00E07740"/>
    <w:rsid w:val="00E23F0F"/>
    <w:rsid w:val="00E27D93"/>
    <w:rsid w:val="00E35F34"/>
    <w:rsid w:val="00E53309"/>
    <w:rsid w:val="00EB6F41"/>
    <w:rsid w:val="00EC3A30"/>
    <w:rsid w:val="00EC3E6D"/>
    <w:rsid w:val="00ED3C3B"/>
    <w:rsid w:val="00EF14DB"/>
    <w:rsid w:val="00F47221"/>
    <w:rsid w:val="00F56424"/>
    <w:rsid w:val="00F65733"/>
    <w:rsid w:val="00F84E9D"/>
    <w:rsid w:val="00F933D2"/>
    <w:rsid w:val="00FD7D69"/>
    <w:rsid w:val="00FE301B"/>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3B"/>
    <w:pPr>
      <w:spacing w:before="120"/>
    </w:pPr>
    <w:rPr>
      <w:rFonts w:ascii="Arial" w:hAnsi="Arial"/>
      <w:sz w:val="22"/>
    </w:rPr>
  </w:style>
  <w:style w:type="paragraph" w:styleId="Heading1">
    <w:name w:val="heading 1"/>
    <w:basedOn w:val="Normal"/>
    <w:next w:val="Normal"/>
    <w:link w:val="Heading1Char"/>
    <w:autoRedefine/>
    <w:uiPriority w:val="9"/>
    <w:qFormat/>
    <w:rsid w:val="00A1298C"/>
    <w:pPr>
      <w:keepNext/>
      <w:keepLines/>
      <w:numPr>
        <w:numId w:val="12"/>
      </w:numPr>
      <w:spacing w:before="480"/>
      <w:outlineLvl w:val="0"/>
    </w:pPr>
    <w:rPr>
      <w:rFonts w:eastAsiaTheme="majorEastAsia" w:cstheme="majorBidi"/>
      <w:b/>
      <w:bCs/>
      <w:color w:val="004C6C"/>
      <w:sz w:val="36"/>
      <w:szCs w:val="32"/>
    </w:rPr>
  </w:style>
  <w:style w:type="paragraph" w:styleId="Heading2">
    <w:name w:val="heading 2"/>
    <w:basedOn w:val="Heading1"/>
    <w:next w:val="Normal"/>
    <w:link w:val="Heading2Char"/>
    <w:autoRedefine/>
    <w:uiPriority w:val="9"/>
    <w:unhideWhenUsed/>
    <w:qFormat/>
    <w:rsid w:val="00BA50B2"/>
    <w:pPr>
      <w:numPr>
        <w:ilvl w:val="1"/>
      </w:numPr>
      <w:spacing w:before="360"/>
      <w:ind w:hanging="792"/>
      <w:outlineLvl w:val="1"/>
    </w:pPr>
    <w:rPr>
      <w:szCs w:val="36"/>
    </w:rPr>
  </w:style>
  <w:style w:type="paragraph" w:styleId="Heading3">
    <w:name w:val="heading 3"/>
    <w:basedOn w:val="Heading2"/>
    <w:next w:val="Normal"/>
    <w:link w:val="Heading3Char"/>
    <w:autoRedefine/>
    <w:uiPriority w:val="9"/>
    <w:unhideWhenUsed/>
    <w:qFormat/>
    <w:rsid w:val="001A5330"/>
    <w:pPr>
      <w:keepLines w:val="0"/>
      <w:numPr>
        <w:ilvl w:val="2"/>
      </w:numPr>
      <w:ind w:hanging="1224"/>
      <w:outlineLvl w:val="2"/>
    </w:pPr>
    <w:rPr>
      <w:i/>
      <w:sz w:val="28"/>
      <w:szCs w:val="28"/>
    </w:rPr>
  </w:style>
  <w:style w:type="paragraph" w:styleId="Heading4">
    <w:name w:val="heading 4"/>
    <w:basedOn w:val="Normal"/>
    <w:next w:val="Normal"/>
    <w:link w:val="Heading4Char"/>
    <w:autoRedefine/>
    <w:uiPriority w:val="9"/>
    <w:unhideWhenUsed/>
    <w:qFormat/>
    <w:rsid w:val="00CA2F87"/>
    <w:pPr>
      <w:keepNext/>
      <w:spacing w:before="360"/>
      <w:ind w:left="1008" w:hanging="1008"/>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298C"/>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BA50B2"/>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1A5330"/>
    <w:rPr>
      <w:rFonts w:ascii="Arial" w:eastAsiaTheme="majorEastAsia" w:hAnsi="Arial" w:cstheme="majorBidi"/>
      <w:b/>
      <w:bCs/>
      <w:i/>
      <w:color w:val="004C6C"/>
      <w:sz w:val="28"/>
      <w:szCs w:val="28"/>
    </w:rPr>
  </w:style>
  <w:style w:type="character" w:customStyle="1" w:styleId="Heading4Char">
    <w:name w:val="Heading 4 Char"/>
    <w:basedOn w:val="DefaultParagraphFont"/>
    <w:link w:val="Heading4"/>
    <w:uiPriority w:val="9"/>
    <w:rsid w:val="00CA2F87"/>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Caption">
    <w:name w:val="caption"/>
    <w:basedOn w:val="Normal"/>
    <w:next w:val="Normal"/>
    <w:qFormat/>
    <w:rsid w:val="007233DA"/>
    <w:pPr>
      <w:spacing w:line="300" w:lineRule="auto"/>
    </w:pPr>
    <w:rPr>
      <w:rFonts w:eastAsia="Calibri" w:cs="Calibri"/>
      <w:b/>
      <w:bCs/>
      <w:color w:val="000000"/>
      <w:sz w:val="20"/>
      <w:szCs w:val="20"/>
    </w:rPr>
  </w:style>
  <w:style w:type="character" w:styleId="CommentReference">
    <w:name w:val="annotation reference"/>
    <w:rsid w:val="007233DA"/>
    <w:rPr>
      <w:sz w:val="16"/>
      <w:szCs w:val="16"/>
    </w:rPr>
  </w:style>
  <w:style w:type="paragraph" w:styleId="CommentText">
    <w:name w:val="annotation text"/>
    <w:basedOn w:val="Normal"/>
    <w:link w:val="CommentTextChar"/>
    <w:rsid w:val="007233DA"/>
    <w:pPr>
      <w:spacing w:line="300" w:lineRule="auto"/>
    </w:pPr>
    <w:rPr>
      <w:rFonts w:eastAsia="Calibri" w:cs="Times New Roman"/>
      <w:color w:val="000000"/>
      <w:sz w:val="20"/>
      <w:szCs w:val="20"/>
    </w:rPr>
  </w:style>
  <w:style w:type="character" w:customStyle="1" w:styleId="CommentTextChar">
    <w:name w:val="Comment Text Char"/>
    <w:basedOn w:val="DefaultParagraphFont"/>
    <w:link w:val="CommentText"/>
    <w:rsid w:val="007233DA"/>
    <w:rPr>
      <w:rFonts w:ascii="Arial" w:eastAsia="Calibri" w:hAnsi="Arial" w:cs="Times New Roman"/>
      <w:color w:val="000000"/>
      <w:sz w:val="20"/>
      <w:szCs w:val="20"/>
    </w:rPr>
  </w:style>
  <w:style w:type="paragraph" w:styleId="TOC9">
    <w:name w:val="toc 9"/>
    <w:basedOn w:val="Normal"/>
    <w:next w:val="Normal"/>
    <w:autoRedefine/>
    <w:uiPriority w:val="39"/>
    <w:rsid w:val="00941415"/>
    <w:pPr>
      <w:spacing w:line="300" w:lineRule="auto"/>
      <w:ind w:left="1920"/>
    </w:pPr>
    <w:rPr>
      <w:rFonts w:eastAsia="Calibri" w:cs="Calibri"/>
      <w:color w:val="000000"/>
      <w:sz w:val="24"/>
      <w:szCs w:val="22"/>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93390E"/>
    <w:pPr>
      <w:numPr>
        <w:numId w:val="6"/>
      </w:numPr>
      <w:spacing w:line="300" w:lineRule="auto"/>
    </w:pPr>
    <w:rPr>
      <w:rFonts w:eastAsia="Calibri" w:cs="Calibri"/>
      <w:color w:val="000000"/>
      <w:szCs w:val="22"/>
    </w:rPr>
  </w:style>
  <w:style w:type="paragraph" w:styleId="ListNumber2">
    <w:name w:val="List Number 2"/>
    <w:basedOn w:val="Normal"/>
    <w:rsid w:val="0093390E"/>
    <w:pPr>
      <w:numPr>
        <w:numId w:val="7"/>
      </w:numPr>
      <w:contextualSpacing/>
    </w:pPr>
    <w:rPr>
      <w:rFonts w:eastAsia="Calibri" w:cs="Calibri"/>
      <w:color w:val="000000"/>
      <w:szCs w:val="22"/>
    </w:rPr>
  </w:style>
  <w:style w:type="paragraph" w:styleId="ListBullet">
    <w:name w:val="List Bullet"/>
    <w:basedOn w:val="Normal"/>
    <w:rsid w:val="00A13CB2"/>
    <w:pPr>
      <w:numPr>
        <w:numId w:val="3"/>
      </w:numPr>
    </w:pPr>
    <w:rPr>
      <w:rFonts w:eastAsia="Calibri" w:cs="Calibri"/>
      <w:color w:val="000000"/>
      <w:szCs w:val="22"/>
    </w:rPr>
  </w:style>
  <w:style w:type="paragraph" w:styleId="ListBullet3">
    <w:name w:val="List Bullet 3"/>
    <w:basedOn w:val="Normal"/>
    <w:rsid w:val="00282A76"/>
    <w:pPr>
      <w:numPr>
        <w:numId w:val="5"/>
      </w:numPr>
    </w:pPr>
    <w:rPr>
      <w:rFonts w:eastAsia="Calibri" w:cs="Calibri"/>
      <w:color w:val="000000"/>
      <w:szCs w:val="22"/>
    </w:rPr>
  </w:style>
  <w:style w:type="paragraph" w:styleId="ListBullet2">
    <w:name w:val="List Bullet 2"/>
    <w:basedOn w:val="Normal"/>
    <w:rsid w:val="00CD5AB0"/>
    <w:pPr>
      <w:numPr>
        <w:numId w:val="4"/>
      </w:numPr>
      <w:contextualSpacing/>
    </w:pPr>
    <w:rPr>
      <w:rFonts w:eastAsia="Calibri" w:cs="Calibri"/>
      <w:color w:val="000000"/>
      <w:szCs w:val="22"/>
    </w:rPr>
  </w:style>
  <w:style w:type="paragraph" w:customStyle="1" w:styleId="CodeExample">
    <w:name w:val="Code Example"/>
    <w:qFormat/>
    <w:rsid w:val="00B707A6"/>
    <w:pPr>
      <w:pBdr>
        <w:top w:val="dotted" w:sz="4" w:space="3" w:color="auto"/>
        <w:left w:val="dotted" w:sz="4" w:space="4" w:color="auto"/>
        <w:bottom w:val="dotted" w:sz="4" w:space="3" w:color="auto"/>
        <w:right w:val="dotted" w:sz="4" w:space="4" w:color="auto"/>
      </w:pBdr>
      <w:shd w:val="clear" w:color="auto" w:fill="F3F3F3"/>
      <w:spacing w:before="120"/>
      <w:contextualSpacing/>
    </w:pPr>
    <w:rPr>
      <w:rFonts w:ascii="Courier New" w:eastAsia="Times New Roman" w:hAnsi="Courier New" w:cs="Courier"/>
      <w:color w:val="333333"/>
      <w:sz w:val="18"/>
      <w:szCs w:val="20"/>
    </w:rPr>
  </w:style>
  <w:style w:type="paragraph" w:styleId="CommentSubject">
    <w:name w:val="annotation subject"/>
    <w:basedOn w:val="CommentText"/>
    <w:next w:val="CommentText"/>
    <w:link w:val="CommentSubjectChar"/>
    <w:uiPriority w:val="99"/>
    <w:semiHidden/>
    <w:unhideWhenUsed/>
    <w:rsid w:val="00CC54FA"/>
    <w:pPr>
      <w:spacing w:line="240" w:lineRule="auto"/>
    </w:pPr>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uiPriority w:val="99"/>
    <w:semiHidden/>
    <w:rsid w:val="00CC54FA"/>
    <w:rPr>
      <w:rFonts w:ascii="Arial" w:eastAsia="Calibri" w:hAnsi="Arial" w:cs="Times New Roman"/>
      <w:b/>
      <w:bCs/>
      <w:color w:val="000000"/>
      <w:sz w:val="20"/>
      <w:szCs w:val="20"/>
    </w:rPr>
  </w:style>
  <w:style w:type="paragraph" w:styleId="Revision">
    <w:name w:val="Revision"/>
    <w:hidden/>
    <w:uiPriority w:val="99"/>
    <w:semiHidden/>
    <w:rsid w:val="00745C98"/>
    <w:rPr>
      <w:rFonts w:ascii="Arial" w:hAnsi="Arial"/>
      <w:sz w:val="22"/>
    </w:rPr>
  </w:style>
  <w:style w:type="paragraph" w:styleId="DocumentMap">
    <w:name w:val="Document Map"/>
    <w:basedOn w:val="Normal"/>
    <w:link w:val="DocumentMapChar"/>
    <w:uiPriority w:val="99"/>
    <w:semiHidden/>
    <w:unhideWhenUsed/>
    <w:rsid w:val="00E27D93"/>
    <w:pPr>
      <w:spacing w:before="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27D93"/>
    <w:rPr>
      <w:rFonts w:ascii="Lucida Grande" w:hAnsi="Lucida Grande" w:cs="Lucida Grande"/>
    </w:rPr>
  </w:style>
  <w:style w:type="paragraph" w:customStyle="1" w:styleId="Default">
    <w:name w:val="Default"/>
    <w:basedOn w:val="Normal"/>
    <w:rsid w:val="00D51E0D"/>
    <w:pPr>
      <w:autoSpaceDE w:val="0"/>
      <w:autoSpaceDN w:val="0"/>
      <w:adjustRightInd w:val="0"/>
      <w:jc w:val="both"/>
    </w:pPr>
    <w:rPr>
      <w:rFonts w:cs="Arial"/>
      <w:color w:val="000000"/>
    </w:rPr>
  </w:style>
  <w:style w:type="paragraph" w:customStyle="1" w:styleId="Copyright">
    <w:name w:val="Copyright"/>
    <w:basedOn w:val="Normal"/>
    <w:qFormat/>
    <w:rsid w:val="00D51E0D"/>
    <w:rPr>
      <w:b/>
      <w:bCs/>
      <w:szCs w:val="22"/>
    </w:rPr>
  </w:style>
  <w:style w:type="paragraph" w:customStyle="1" w:styleId="TableCell">
    <w:name w:val="Table Cell"/>
    <w:basedOn w:val="Normal"/>
    <w:qFormat/>
    <w:rsid w:val="00D51E0D"/>
    <w:pPr>
      <w:tabs>
        <w:tab w:val="left" w:pos="720"/>
        <w:tab w:val="left" w:pos="1440"/>
        <w:tab w:val="left" w:pos="2160"/>
        <w:tab w:val="left" w:pos="2880"/>
      </w:tabs>
      <w:spacing w:before="40"/>
    </w:pPr>
    <w:rPr>
      <w:rFonts w:eastAsia="Times New Roman" w:cs="Times New Roman"/>
    </w:rPr>
  </w:style>
  <w:style w:type="paragraph" w:styleId="TOC3">
    <w:name w:val="toc 3"/>
    <w:basedOn w:val="Normal"/>
    <w:next w:val="Normal"/>
    <w:autoRedefine/>
    <w:uiPriority w:val="39"/>
    <w:unhideWhenUsed/>
    <w:rsid w:val="00D51E0D"/>
    <w:pPr>
      <w:spacing w:after="100"/>
      <w:ind w:left="440"/>
    </w:pPr>
  </w:style>
  <w:style w:type="paragraph" w:styleId="TOC1">
    <w:name w:val="toc 1"/>
    <w:basedOn w:val="Normal"/>
    <w:next w:val="Normal"/>
    <w:autoRedefine/>
    <w:uiPriority w:val="39"/>
    <w:unhideWhenUsed/>
    <w:rsid w:val="00D51E0D"/>
    <w:pPr>
      <w:spacing w:after="100"/>
    </w:pPr>
  </w:style>
  <w:style w:type="paragraph" w:styleId="TOC2">
    <w:name w:val="toc 2"/>
    <w:basedOn w:val="Normal"/>
    <w:next w:val="Normal"/>
    <w:autoRedefine/>
    <w:uiPriority w:val="39"/>
    <w:unhideWhenUsed/>
    <w:rsid w:val="00D51E0D"/>
    <w:pPr>
      <w:spacing w:after="100"/>
      <w:ind w:left="220"/>
    </w:pPr>
  </w:style>
  <w:style w:type="character" w:customStyle="1" w:styleId="AttributeName">
    <w:name w:val="Attribute Name"/>
    <w:aliases w:val="AN"/>
    <w:basedOn w:val="DefaultParagraphFont"/>
    <w:uiPriority w:val="1"/>
    <w:qFormat/>
    <w:rsid w:val="00ED3C3B"/>
    <w:rPr>
      <w:b/>
    </w:rPr>
  </w:style>
  <w:style w:type="paragraph" w:customStyle="1" w:styleId="NormalIntro">
    <w:name w:val="Normal Intro"/>
    <w:basedOn w:val="Normal"/>
    <w:qFormat/>
    <w:rsid w:val="00CA2F87"/>
    <w:pPr>
      <w:keepNext/>
    </w:pPr>
  </w:style>
  <w:style w:type="character" w:customStyle="1" w:styleId="DocTitle">
    <w:name w:val="Doc Title"/>
    <w:basedOn w:val="DefaultParagraphFont"/>
    <w:uiPriority w:val="1"/>
    <w:qFormat/>
    <w:rsid w:val="0038100A"/>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3B"/>
    <w:pPr>
      <w:spacing w:before="120"/>
    </w:pPr>
    <w:rPr>
      <w:rFonts w:ascii="Arial" w:hAnsi="Arial"/>
      <w:sz w:val="22"/>
    </w:rPr>
  </w:style>
  <w:style w:type="paragraph" w:styleId="Heading1">
    <w:name w:val="heading 1"/>
    <w:basedOn w:val="Normal"/>
    <w:next w:val="Normal"/>
    <w:link w:val="Heading1Char"/>
    <w:autoRedefine/>
    <w:uiPriority w:val="9"/>
    <w:qFormat/>
    <w:rsid w:val="00A1298C"/>
    <w:pPr>
      <w:keepNext/>
      <w:keepLines/>
      <w:numPr>
        <w:numId w:val="12"/>
      </w:numPr>
      <w:spacing w:before="480"/>
      <w:outlineLvl w:val="0"/>
    </w:pPr>
    <w:rPr>
      <w:rFonts w:eastAsiaTheme="majorEastAsia" w:cstheme="majorBidi"/>
      <w:b/>
      <w:bCs/>
      <w:color w:val="004C6C"/>
      <w:sz w:val="36"/>
      <w:szCs w:val="32"/>
    </w:rPr>
  </w:style>
  <w:style w:type="paragraph" w:styleId="Heading2">
    <w:name w:val="heading 2"/>
    <w:basedOn w:val="Heading1"/>
    <w:next w:val="Normal"/>
    <w:link w:val="Heading2Char"/>
    <w:autoRedefine/>
    <w:uiPriority w:val="9"/>
    <w:unhideWhenUsed/>
    <w:qFormat/>
    <w:rsid w:val="00BA50B2"/>
    <w:pPr>
      <w:numPr>
        <w:ilvl w:val="1"/>
      </w:numPr>
      <w:spacing w:before="360"/>
      <w:ind w:hanging="792"/>
      <w:outlineLvl w:val="1"/>
    </w:pPr>
    <w:rPr>
      <w:szCs w:val="36"/>
    </w:rPr>
  </w:style>
  <w:style w:type="paragraph" w:styleId="Heading3">
    <w:name w:val="heading 3"/>
    <w:basedOn w:val="Heading2"/>
    <w:next w:val="Normal"/>
    <w:link w:val="Heading3Char"/>
    <w:autoRedefine/>
    <w:uiPriority w:val="9"/>
    <w:unhideWhenUsed/>
    <w:qFormat/>
    <w:rsid w:val="001A5330"/>
    <w:pPr>
      <w:keepLines w:val="0"/>
      <w:numPr>
        <w:ilvl w:val="2"/>
      </w:numPr>
      <w:ind w:hanging="1224"/>
      <w:outlineLvl w:val="2"/>
    </w:pPr>
    <w:rPr>
      <w:i/>
      <w:sz w:val="28"/>
      <w:szCs w:val="28"/>
    </w:rPr>
  </w:style>
  <w:style w:type="paragraph" w:styleId="Heading4">
    <w:name w:val="heading 4"/>
    <w:basedOn w:val="Normal"/>
    <w:next w:val="Normal"/>
    <w:link w:val="Heading4Char"/>
    <w:autoRedefine/>
    <w:uiPriority w:val="9"/>
    <w:unhideWhenUsed/>
    <w:qFormat/>
    <w:rsid w:val="00CA2F87"/>
    <w:pPr>
      <w:keepNext/>
      <w:spacing w:before="360"/>
      <w:ind w:left="1008" w:hanging="1008"/>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298C"/>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BA50B2"/>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1A5330"/>
    <w:rPr>
      <w:rFonts w:ascii="Arial" w:eastAsiaTheme="majorEastAsia" w:hAnsi="Arial" w:cstheme="majorBidi"/>
      <w:b/>
      <w:bCs/>
      <w:i/>
      <w:color w:val="004C6C"/>
      <w:sz w:val="28"/>
      <w:szCs w:val="28"/>
    </w:rPr>
  </w:style>
  <w:style w:type="character" w:customStyle="1" w:styleId="Heading4Char">
    <w:name w:val="Heading 4 Char"/>
    <w:basedOn w:val="DefaultParagraphFont"/>
    <w:link w:val="Heading4"/>
    <w:uiPriority w:val="9"/>
    <w:rsid w:val="00CA2F87"/>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Caption">
    <w:name w:val="caption"/>
    <w:basedOn w:val="Normal"/>
    <w:next w:val="Normal"/>
    <w:qFormat/>
    <w:rsid w:val="007233DA"/>
    <w:pPr>
      <w:spacing w:line="300" w:lineRule="auto"/>
    </w:pPr>
    <w:rPr>
      <w:rFonts w:eastAsia="Calibri" w:cs="Calibri"/>
      <w:b/>
      <w:bCs/>
      <w:color w:val="000000"/>
      <w:sz w:val="20"/>
      <w:szCs w:val="20"/>
    </w:rPr>
  </w:style>
  <w:style w:type="character" w:styleId="CommentReference">
    <w:name w:val="annotation reference"/>
    <w:rsid w:val="007233DA"/>
    <w:rPr>
      <w:sz w:val="16"/>
      <w:szCs w:val="16"/>
    </w:rPr>
  </w:style>
  <w:style w:type="paragraph" w:styleId="CommentText">
    <w:name w:val="annotation text"/>
    <w:basedOn w:val="Normal"/>
    <w:link w:val="CommentTextChar"/>
    <w:rsid w:val="007233DA"/>
    <w:pPr>
      <w:spacing w:line="300" w:lineRule="auto"/>
    </w:pPr>
    <w:rPr>
      <w:rFonts w:eastAsia="Calibri" w:cs="Times New Roman"/>
      <w:color w:val="000000"/>
      <w:sz w:val="20"/>
      <w:szCs w:val="20"/>
    </w:rPr>
  </w:style>
  <w:style w:type="character" w:customStyle="1" w:styleId="CommentTextChar">
    <w:name w:val="Comment Text Char"/>
    <w:basedOn w:val="DefaultParagraphFont"/>
    <w:link w:val="CommentText"/>
    <w:rsid w:val="007233DA"/>
    <w:rPr>
      <w:rFonts w:ascii="Arial" w:eastAsia="Calibri" w:hAnsi="Arial" w:cs="Times New Roman"/>
      <w:color w:val="000000"/>
      <w:sz w:val="20"/>
      <w:szCs w:val="20"/>
    </w:rPr>
  </w:style>
  <w:style w:type="paragraph" w:styleId="TOC9">
    <w:name w:val="toc 9"/>
    <w:basedOn w:val="Normal"/>
    <w:next w:val="Normal"/>
    <w:autoRedefine/>
    <w:uiPriority w:val="39"/>
    <w:rsid w:val="00941415"/>
    <w:pPr>
      <w:spacing w:line="300" w:lineRule="auto"/>
      <w:ind w:left="1920"/>
    </w:pPr>
    <w:rPr>
      <w:rFonts w:eastAsia="Calibri" w:cs="Calibri"/>
      <w:color w:val="000000"/>
      <w:sz w:val="24"/>
      <w:szCs w:val="22"/>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93390E"/>
    <w:pPr>
      <w:numPr>
        <w:numId w:val="6"/>
      </w:numPr>
      <w:spacing w:line="300" w:lineRule="auto"/>
    </w:pPr>
    <w:rPr>
      <w:rFonts w:eastAsia="Calibri" w:cs="Calibri"/>
      <w:color w:val="000000"/>
      <w:szCs w:val="22"/>
    </w:rPr>
  </w:style>
  <w:style w:type="paragraph" w:styleId="ListNumber2">
    <w:name w:val="List Number 2"/>
    <w:basedOn w:val="Normal"/>
    <w:rsid w:val="0093390E"/>
    <w:pPr>
      <w:numPr>
        <w:numId w:val="7"/>
      </w:numPr>
      <w:contextualSpacing/>
    </w:pPr>
    <w:rPr>
      <w:rFonts w:eastAsia="Calibri" w:cs="Calibri"/>
      <w:color w:val="000000"/>
      <w:szCs w:val="22"/>
    </w:rPr>
  </w:style>
  <w:style w:type="paragraph" w:styleId="ListBullet">
    <w:name w:val="List Bullet"/>
    <w:basedOn w:val="Normal"/>
    <w:rsid w:val="00A13CB2"/>
    <w:pPr>
      <w:numPr>
        <w:numId w:val="3"/>
      </w:numPr>
    </w:pPr>
    <w:rPr>
      <w:rFonts w:eastAsia="Calibri" w:cs="Calibri"/>
      <w:color w:val="000000"/>
      <w:szCs w:val="22"/>
    </w:rPr>
  </w:style>
  <w:style w:type="paragraph" w:styleId="ListBullet3">
    <w:name w:val="List Bullet 3"/>
    <w:basedOn w:val="Normal"/>
    <w:rsid w:val="00282A76"/>
    <w:pPr>
      <w:numPr>
        <w:numId w:val="5"/>
      </w:numPr>
    </w:pPr>
    <w:rPr>
      <w:rFonts w:eastAsia="Calibri" w:cs="Calibri"/>
      <w:color w:val="000000"/>
      <w:szCs w:val="22"/>
    </w:rPr>
  </w:style>
  <w:style w:type="paragraph" w:styleId="ListBullet2">
    <w:name w:val="List Bullet 2"/>
    <w:basedOn w:val="Normal"/>
    <w:rsid w:val="00CD5AB0"/>
    <w:pPr>
      <w:numPr>
        <w:numId w:val="4"/>
      </w:numPr>
      <w:contextualSpacing/>
    </w:pPr>
    <w:rPr>
      <w:rFonts w:eastAsia="Calibri" w:cs="Calibri"/>
      <w:color w:val="000000"/>
      <w:szCs w:val="22"/>
    </w:rPr>
  </w:style>
  <w:style w:type="paragraph" w:customStyle="1" w:styleId="CodeExample">
    <w:name w:val="Code Example"/>
    <w:qFormat/>
    <w:rsid w:val="00B707A6"/>
    <w:pPr>
      <w:pBdr>
        <w:top w:val="dotted" w:sz="4" w:space="3" w:color="auto"/>
        <w:left w:val="dotted" w:sz="4" w:space="4" w:color="auto"/>
        <w:bottom w:val="dotted" w:sz="4" w:space="3" w:color="auto"/>
        <w:right w:val="dotted" w:sz="4" w:space="4" w:color="auto"/>
      </w:pBdr>
      <w:shd w:val="clear" w:color="auto" w:fill="F3F3F3"/>
      <w:spacing w:before="120"/>
      <w:contextualSpacing/>
    </w:pPr>
    <w:rPr>
      <w:rFonts w:ascii="Courier New" w:eastAsia="Times New Roman" w:hAnsi="Courier New" w:cs="Courier"/>
      <w:color w:val="333333"/>
      <w:sz w:val="18"/>
      <w:szCs w:val="20"/>
    </w:rPr>
  </w:style>
  <w:style w:type="paragraph" w:styleId="CommentSubject">
    <w:name w:val="annotation subject"/>
    <w:basedOn w:val="CommentText"/>
    <w:next w:val="CommentText"/>
    <w:link w:val="CommentSubjectChar"/>
    <w:uiPriority w:val="99"/>
    <w:semiHidden/>
    <w:unhideWhenUsed/>
    <w:rsid w:val="00CC54FA"/>
    <w:pPr>
      <w:spacing w:line="240" w:lineRule="auto"/>
    </w:pPr>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uiPriority w:val="99"/>
    <w:semiHidden/>
    <w:rsid w:val="00CC54FA"/>
    <w:rPr>
      <w:rFonts w:ascii="Arial" w:eastAsia="Calibri" w:hAnsi="Arial" w:cs="Times New Roman"/>
      <w:b/>
      <w:bCs/>
      <w:color w:val="000000"/>
      <w:sz w:val="20"/>
      <w:szCs w:val="20"/>
    </w:rPr>
  </w:style>
  <w:style w:type="paragraph" w:styleId="Revision">
    <w:name w:val="Revision"/>
    <w:hidden/>
    <w:uiPriority w:val="99"/>
    <w:semiHidden/>
    <w:rsid w:val="00745C98"/>
    <w:rPr>
      <w:rFonts w:ascii="Arial" w:hAnsi="Arial"/>
      <w:sz w:val="22"/>
    </w:rPr>
  </w:style>
  <w:style w:type="paragraph" w:styleId="DocumentMap">
    <w:name w:val="Document Map"/>
    <w:basedOn w:val="Normal"/>
    <w:link w:val="DocumentMapChar"/>
    <w:uiPriority w:val="99"/>
    <w:semiHidden/>
    <w:unhideWhenUsed/>
    <w:rsid w:val="00E27D93"/>
    <w:pPr>
      <w:spacing w:before="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27D93"/>
    <w:rPr>
      <w:rFonts w:ascii="Lucida Grande" w:hAnsi="Lucida Grande" w:cs="Lucida Grande"/>
    </w:rPr>
  </w:style>
  <w:style w:type="paragraph" w:customStyle="1" w:styleId="Default">
    <w:name w:val="Default"/>
    <w:basedOn w:val="Normal"/>
    <w:rsid w:val="00D51E0D"/>
    <w:pPr>
      <w:autoSpaceDE w:val="0"/>
      <w:autoSpaceDN w:val="0"/>
      <w:adjustRightInd w:val="0"/>
      <w:jc w:val="both"/>
    </w:pPr>
    <w:rPr>
      <w:rFonts w:cs="Arial"/>
      <w:color w:val="000000"/>
    </w:rPr>
  </w:style>
  <w:style w:type="paragraph" w:customStyle="1" w:styleId="Copyright">
    <w:name w:val="Copyright"/>
    <w:basedOn w:val="Normal"/>
    <w:qFormat/>
    <w:rsid w:val="00D51E0D"/>
    <w:rPr>
      <w:b/>
      <w:bCs/>
      <w:szCs w:val="22"/>
    </w:rPr>
  </w:style>
  <w:style w:type="paragraph" w:customStyle="1" w:styleId="TableCell">
    <w:name w:val="Table Cell"/>
    <w:basedOn w:val="Normal"/>
    <w:qFormat/>
    <w:rsid w:val="00D51E0D"/>
    <w:pPr>
      <w:tabs>
        <w:tab w:val="left" w:pos="720"/>
        <w:tab w:val="left" w:pos="1440"/>
        <w:tab w:val="left" w:pos="2160"/>
        <w:tab w:val="left" w:pos="2880"/>
      </w:tabs>
      <w:spacing w:before="40"/>
    </w:pPr>
    <w:rPr>
      <w:rFonts w:eastAsia="Times New Roman" w:cs="Times New Roman"/>
    </w:rPr>
  </w:style>
  <w:style w:type="paragraph" w:styleId="TOC3">
    <w:name w:val="toc 3"/>
    <w:basedOn w:val="Normal"/>
    <w:next w:val="Normal"/>
    <w:autoRedefine/>
    <w:uiPriority w:val="39"/>
    <w:unhideWhenUsed/>
    <w:rsid w:val="00D51E0D"/>
    <w:pPr>
      <w:spacing w:after="100"/>
      <w:ind w:left="440"/>
    </w:pPr>
  </w:style>
  <w:style w:type="paragraph" w:styleId="TOC1">
    <w:name w:val="toc 1"/>
    <w:basedOn w:val="Normal"/>
    <w:next w:val="Normal"/>
    <w:autoRedefine/>
    <w:uiPriority w:val="39"/>
    <w:unhideWhenUsed/>
    <w:rsid w:val="00D51E0D"/>
    <w:pPr>
      <w:spacing w:after="100"/>
    </w:pPr>
  </w:style>
  <w:style w:type="paragraph" w:styleId="TOC2">
    <w:name w:val="toc 2"/>
    <w:basedOn w:val="Normal"/>
    <w:next w:val="Normal"/>
    <w:autoRedefine/>
    <w:uiPriority w:val="39"/>
    <w:unhideWhenUsed/>
    <w:rsid w:val="00D51E0D"/>
    <w:pPr>
      <w:spacing w:after="100"/>
      <w:ind w:left="220"/>
    </w:pPr>
  </w:style>
  <w:style w:type="character" w:customStyle="1" w:styleId="AttributeName">
    <w:name w:val="Attribute Name"/>
    <w:aliases w:val="AN"/>
    <w:basedOn w:val="DefaultParagraphFont"/>
    <w:uiPriority w:val="1"/>
    <w:qFormat/>
    <w:rsid w:val="00ED3C3B"/>
    <w:rPr>
      <w:b/>
    </w:rPr>
  </w:style>
  <w:style w:type="paragraph" w:customStyle="1" w:styleId="NormalIntro">
    <w:name w:val="Normal Intro"/>
    <w:basedOn w:val="Normal"/>
    <w:qFormat/>
    <w:rsid w:val="00CA2F87"/>
    <w:pPr>
      <w:keepNext/>
    </w:pPr>
  </w:style>
  <w:style w:type="character" w:customStyle="1" w:styleId="DocTitle">
    <w:name w:val="Doc Title"/>
    <w:basedOn w:val="DefaultParagraphFont"/>
    <w:uiPriority w:val="1"/>
    <w:qFormat/>
    <w:rsid w:val="0038100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B5CA1-7C98-2241-99AA-2B3F6C19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4977</Words>
  <Characters>28372</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33283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Stephanie Watson</cp:lastModifiedBy>
  <cp:revision>4</cp:revision>
  <cp:lastPrinted>2012-05-04T21:03:00Z</cp:lastPrinted>
  <dcterms:created xsi:type="dcterms:W3CDTF">2012-05-30T14:35:00Z</dcterms:created>
  <dcterms:modified xsi:type="dcterms:W3CDTF">2012-06-04T14:24:00Z</dcterms:modified>
</cp:coreProperties>
</file>