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71FC" w14:textId="60A6627D" w:rsidR="00912259" w:rsidRDefault="00912259" w:rsidP="00E0512B">
      <w:pPr>
        <w:pStyle w:val="Kop1"/>
      </w:pPr>
      <w:bookmarkStart w:id="0" w:name="_Toc514055149"/>
      <w:bookmarkStart w:id="1" w:name="_Hlk178346454"/>
      <w:r>
        <w:t>Vegetatiekaart</w:t>
      </w:r>
    </w:p>
    <w:p w14:paraId="07106168" w14:textId="77777777" w:rsidR="00912259" w:rsidRDefault="00912259" w:rsidP="00912259">
      <w:r>
        <w:t>Fichenummer: S-DH-V-003 – Vegetatiekartering</w:t>
      </w:r>
    </w:p>
    <w:p w14:paraId="53BC3A1A" w14:textId="1A758EA7" w:rsidR="00912259" w:rsidRDefault="00912259" w:rsidP="00912259">
      <w:r>
        <w:t>Bart Vandevoorde, Frederik Van Lierop, Vincent Smeekens &amp; Koen Thibau</w:t>
      </w:r>
    </w:p>
    <w:p w14:paraId="727D8F7D" w14:textId="0E69A376" w:rsidR="00912259" w:rsidRDefault="00912259" w:rsidP="00912259">
      <w:pPr>
        <w:pStyle w:val="Kop2"/>
      </w:pPr>
      <w:r>
        <w:t>Inleiding</w:t>
      </w:r>
    </w:p>
    <w:p w14:paraId="55F6AA6A" w14:textId="03195BDA" w:rsidR="00912259" w:rsidRDefault="00912259" w:rsidP="00912259">
      <w:r>
        <w:t xml:space="preserve">Met behulp van schorvegetatiekaarten kan de evolutie van de habitatdiversiteit binnen het schorecotoop nader geëvalueerd worden. De basiseenheid van deze vegetatiekaart, is een homogene vegetatie-eenheid waaraan volgens een hiërarchisch systeem een habitat, formatie en vegetatietype zijn toegekend. </w:t>
      </w:r>
    </w:p>
    <w:p w14:paraId="5E3FEC41" w14:textId="48FF2155" w:rsidR="00912259" w:rsidRDefault="00912259" w:rsidP="00912259">
      <w:r>
        <w:t xml:space="preserve">In </w:t>
      </w:r>
      <w:r>
        <w:fldChar w:fldCharType="begin"/>
      </w:r>
      <w:r>
        <w:instrText xml:space="preserve"> REF _Ref137470894 \h </w:instrText>
      </w:r>
      <w:r>
        <w:fldChar w:fldCharType="separate"/>
      </w:r>
      <w:r w:rsidR="00EB57A4">
        <w:t xml:space="preserve">Tabel </w:t>
      </w:r>
      <w:r w:rsidR="00EB57A4">
        <w:rPr>
          <w:noProof/>
        </w:rPr>
        <w:t>1</w:t>
      </w:r>
      <w:r>
        <w:fldChar w:fldCharType="end"/>
      </w:r>
      <w:r>
        <w:t xml:space="preserve"> is een overzicht gegeven van de vegetatiekaarten die van de schorren zijn gemaakt de voorbije decennia. De gebruikte methode, ruimtelijke afbakening en detailgraad zijn niet voor alle kaarten gelijk. Zo zijn de kaarten van 1992, 1996, 2003, 2013 en 2019 gemaakt aan de hand van de fotogeleide veldmethode. Remote sensing-technieken zijn gebruikt in 2007 om het hele Zeeschelde-estuarium te karteren (Bertels </w:t>
      </w:r>
      <w:r w:rsidRPr="00912259">
        <w:rPr>
          <w:i/>
          <w:iCs/>
        </w:rPr>
        <w:t>et al</w:t>
      </w:r>
      <w:r>
        <w:t>., 2008) en in 2011 voor de vegetatiekartering van de Beneden-Zeeschelde (Eurosense, 2012). Voor een overzicht van de historische kaarten en een toelichting bij de gebruikte codes verwijzen we naar Vandevoorde (2011).</w:t>
      </w:r>
    </w:p>
    <w:p w14:paraId="227DD473" w14:textId="69C6C7BF" w:rsidR="00912259" w:rsidRDefault="00912259" w:rsidP="00912259">
      <w:pPr>
        <w:pStyle w:val="Bijschrift"/>
      </w:pPr>
      <w:bookmarkStart w:id="2" w:name="_Ref137470894"/>
      <w:r>
        <w:t xml:space="preserve">Tabel </w:t>
      </w:r>
      <w:r>
        <w:fldChar w:fldCharType="begin"/>
      </w:r>
      <w:r>
        <w:instrText xml:space="preserve"> SEQ Tabel \* ARABIC </w:instrText>
      </w:r>
      <w:r>
        <w:fldChar w:fldCharType="separate"/>
      </w:r>
      <w:r w:rsidR="00EB57A4">
        <w:rPr>
          <w:noProof/>
        </w:rPr>
        <w:t>1</w:t>
      </w:r>
      <w:r>
        <w:fldChar w:fldCharType="end"/>
      </w:r>
      <w:bookmarkEnd w:id="2"/>
      <w:r>
        <w:t xml:space="preserve"> O</w:t>
      </w:r>
      <w:r w:rsidRPr="00912259">
        <w:t>verzicht van de jaren waarvan vegetatiekaarten beschikbaar zijn. De verschillende deelgebieden zijn gekarteerd volgens de klassieke karteringsmethode (A) of door middel van remote sensing-technieken (B).</w:t>
      </w:r>
    </w:p>
    <w:tbl>
      <w:tblPr>
        <w:tblStyle w:val="Tabelraster"/>
        <w:tblW w:w="8614" w:type="dxa"/>
        <w:tblLook w:val="04A0" w:firstRow="1" w:lastRow="0" w:firstColumn="1" w:lastColumn="0" w:noHBand="0" w:noVBand="1"/>
      </w:tblPr>
      <w:tblGrid>
        <w:gridCol w:w="2093"/>
        <w:gridCol w:w="761"/>
        <w:gridCol w:w="960"/>
        <w:gridCol w:w="960"/>
        <w:gridCol w:w="960"/>
        <w:gridCol w:w="960"/>
        <w:gridCol w:w="960"/>
        <w:gridCol w:w="960"/>
      </w:tblGrid>
      <w:tr w:rsidR="00912259" w:rsidRPr="00C25BBE" w14:paraId="74BC17E7" w14:textId="77777777">
        <w:trPr>
          <w:trHeight w:val="300"/>
        </w:trPr>
        <w:tc>
          <w:tcPr>
            <w:tcW w:w="2093" w:type="dxa"/>
            <w:noWrap/>
            <w:hideMark/>
          </w:tcPr>
          <w:p w14:paraId="202413BA" w14:textId="77777777" w:rsidR="00912259" w:rsidRPr="00C25BBE" w:rsidRDefault="00912259">
            <w:pPr>
              <w:spacing w:after="0" w:line="240" w:lineRule="auto"/>
              <w:jc w:val="both"/>
              <w:rPr>
                <w:b/>
                <w:color w:val="000000"/>
                <w:szCs w:val="22"/>
                <w:lang w:val="nl-BE" w:eastAsia="nl-BE"/>
              </w:rPr>
            </w:pPr>
            <w:r>
              <w:rPr>
                <w:b/>
                <w:color w:val="000000"/>
                <w:szCs w:val="22"/>
                <w:lang w:val="nl-BE" w:eastAsia="nl-BE"/>
              </w:rPr>
              <w:t>Deelgebied</w:t>
            </w:r>
          </w:p>
        </w:tc>
        <w:tc>
          <w:tcPr>
            <w:tcW w:w="761" w:type="dxa"/>
            <w:noWrap/>
            <w:hideMark/>
          </w:tcPr>
          <w:p w14:paraId="231591BA" w14:textId="77777777" w:rsidR="00912259" w:rsidRPr="00C25BBE" w:rsidRDefault="00912259">
            <w:pPr>
              <w:spacing w:after="0" w:line="240" w:lineRule="auto"/>
              <w:jc w:val="center"/>
              <w:rPr>
                <w:b/>
                <w:color w:val="000000"/>
                <w:szCs w:val="22"/>
                <w:lang w:val="nl-BE" w:eastAsia="nl-BE"/>
              </w:rPr>
            </w:pPr>
            <w:r w:rsidRPr="00C25BBE">
              <w:rPr>
                <w:b/>
                <w:color w:val="000000"/>
                <w:szCs w:val="22"/>
                <w:lang w:val="nl-BE" w:eastAsia="nl-BE"/>
              </w:rPr>
              <w:t>1992</w:t>
            </w:r>
          </w:p>
        </w:tc>
        <w:tc>
          <w:tcPr>
            <w:tcW w:w="960" w:type="dxa"/>
            <w:noWrap/>
            <w:hideMark/>
          </w:tcPr>
          <w:p w14:paraId="0D84472B" w14:textId="77777777" w:rsidR="00912259" w:rsidRPr="00C25BBE" w:rsidRDefault="00912259">
            <w:pPr>
              <w:spacing w:after="0" w:line="240" w:lineRule="auto"/>
              <w:jc w:val="center"/>
              <w:rPr>
                <w:b/>
                <w:color w:val="000000"/>
                <w:szCs w:val="22"/>
                <w:lang w:val="nl-BE" w:eastAsia="nl-BE"/>
              </w:rPr>
            </w:pPr>
            <w:r w:rsidRPr="00C25BBE">
              <w:rPr>
                <w:b/>
                <w:color w:val="000000"/>
                <w:szCs w:val="22"/>
                <w:lang w:val="nl-BE" w:eastAsia="nl-BE"/>
              </w:rPr>
              <w:t>1996</w:t>
            </w:r>
          </w:p>
        </w:tc>
        <w:tc>
          <w:tcPr>
            <w:tcW w:w="960" w:type="dxa"/>
            <w:noWrap/>
            <w:hideMark/>
          </w:tcPr>
          <w:p w14:paraId="26AAF1BF" w14:textId="77777777" w:rsidR="00912259" w:rsidRPr="00C25BBE" w:rsidRDefault="00912259">
            <w:pPr>
              <w:spacing w:after="0" w:line="240" w:lineRule="auto"/>
              <w:jc w:val="center"/>
              <w:rPr>
                <w:b/>
                <w:color w:val="000000"/>
                <w:szCs w:val="22"/>
                <w:lang w:val="nl-BE" w:eastAsia="nl-BE"/>
              </w:rPr>
            </w:pPr>
            <w:r w:rsidRPr="00C25BBE">
              <w:rPr>
                <w:b/>
                <w:color w:val="000000"/>
                <w:szCs w:val="22"/>
                <w:lang w:val="nl-BE" w:eastAsia="nl-BE"/>
              </w:rPr>
              <w:t>2003</w:t>
            </w:r>
          </w:p>
        </w:tc>
        <w:tc>
          <w:tcPr>
            <w:tcW w:w="960" w:type="dxa"/>
            <w:noWrap/>
            <w:hideMark/>
          </w:tcPr>
          <w:p w14:paraId="0708FDEA" w14:textId="77777777" w:rsidR="00912259" w:rsidRPr="00C25BBE" w:rsidRDefault="00912259">
            <w:pPr>
              <w:spacing w:after="0" w:line="240" w:lineRule="auto"/>
              <w:jc w:val="center"/>
              <w:rPr>
                <w:b/>
                <w:color w:val="000000"/>
                <w:szCs w:val="22"/>
                <w:lang w:val="nl-BE" w:eastAsia="nl-BE"/>
              </w:rPr>
            </w:pPr>
            <w:r w:rsidRPr="00C25BBE">
              <w:rPr>
                <w:b/>
                <w:color w:val="000000"/>
                <w:szCs w:val="22"/>
                <w:lang w:val="nl-BE" w:eastAsia="nl-BE"/>
              </w:rPr>
              <w:t>2007</w:t>
            </w:r>
          </w:p>
        </w:tc>
        <w:tc>
          <w:tcPr>
            <w:tcW w:w="960" w:type="dxa"/>
            <w:noWrap/>
            <w:hideMark/>
          </w:tcPr>
          <w:p w14:paraId="7F019F18" w14:textId="77777777" w:rsidR="00912259" w:rsidRPr="00C25BBE" w:rsidRDefault="00912259">
            <w:pPr>
              <w:spacing w:after="0" w:line="240" w:lineRule="auto"/>
              <w:jc w:val="center"/>
              <w:rPr>
                <w:b/>
                <w:color w:val="000000"/>
                <w:szCs w:val="22"/>
                <w:lang w:val="nl-BE" w:eastAsia="nl-BE"/>
              </w:rPr>
            </w:pPr>
            <w:r w:rsidRPr="00C25BBE">
              <w:rPr>
                <w:b/>
                <w:color w:val="000000"/>
                <w:szCs w:val="22"/>
                <w:lang w:val="nl-BE" w:eastAsia="nl-BE"/>
              </w:rPr>
              <w:t>2011</w:t>
            </w:r>
          </w:p>
        </w:tc>
        <w:tc>
          <w:tcPr>
            <w:tcW w:w="960" w:type="dxa"/>
            <w:noWrap/>
            <w:hideMark/>
          </w:tcPr>
          <w:p w14:paraId="7C41588C" w14:textId="77777777" w:rsidR="00912259" w:rsidRPr="00C25BBE" w:rsidRDefault="00912259">
            <w:pPr>
              <w:spacing w:after="0" w:line="240" w:lineRule="auto"/>
              <w:jc w:val="center"/>
              <w:rPr>
                <w:b/>
                <w:color w:val="000000"/>
                <w:szCs w:val="22"/>
                <w:lang w:val="nl-BE" w:eastAsia="nl-BE"/>
              </w:rPr>
            </w:pPr>
            <w:r w:rsidRPr="00C25BBE">
              <w:rPr>
                <w:b/>
                <w:color w:val="000000"/>
                <w:szCs w:val="22"/>
                <w:lang w:val="nl-BE" w:eastAsia="nl-BE"/>
              </w:rPr>
              <w:t>2013</w:t>
            </w:r>
          </w:p>
        </w:tc>
        <w:tc>
          <w:tcPr>
            <w:tcW w:w="960" w:type="dxa"/>
          </w:tcPr>
          <w:p w14:paraId="71EEE45F" w14:textId="77777777" w:rsidR="00912259" w:rsidRPr="00C25BBE" w:rsidRDefault="00912259">
            <w:pPr>
              <w:spacing w:after="0" w:line="240" w:lineRule="auto"/>
              <w:jc w:val="center"/>
              <w:rPr>
                <w:b/>
                <w:color w:val="000000"/>
                <w:szCs w:val="22"/>
                <w:lang w:val="nl-BE" w:eastAsia="nl-BE"/>
              </w:rPr>
            </w:pPr>
            <w:r>
              <w:rPr>
                <w:b/>
                <w:color w:val="000000"/>
                <w:szCs w:val="22"/>
                <w:lang w:val="nl-BE" w:eastAsia="nl-BE"/>
              </w:rPr>
              <w:t>2019</w:t>
            </w:r>
          </w:p>
        </w:tc>
      </w:tr>
      <w:tr w:rsidR="00912259" w:rsidRPr="00FA4E79" w14:paraId="28EA268C" w14:textId="77777777">
        <w:trPr>
          <w:trHeight w:val="300"/>
        </w:trPr>
        <w:tc>
          <w:tcPr>
            <w:tcW w:w="2093" w:type="dxa"/>
            <w:noWrap/>
            <w:hideMark/>
          </w:tcPr>
          <w:p w14:paraId="6EEE01CF"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Beneden-Zeeschelde</w:t>
            </w:r>
          </w:p>
        </w:tc>
        <w:tc>
          <w:tcPr>
            <w:tcW w:w="761" w:type="dxa"/>
            <w:noWrap/>
            <w:hideMark/>
          </w:tcPr>
          <w:p w14:paraId="3BC85D02"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10A4E47B"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20DDF27D"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DAC7AE6"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5CF3D36C"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1102B878"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306B8C17"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r>
      <w:tr w:rsidR="00912259" w:rsidRPr="00FA4E79" w14:paraId="0B5A7C86" w14:textId="77777777">
        <w:trPr>
          <w:trHeight w:val="300"/>
        </w:trPr>
        <w:tc>
          <w:tcPr>
            <w:tcW w:w="2093" w:type="dxa"/>
            <w:noWrap/>
            <w:hideMark/>
          </w:tcPr>
          <w:p w14:paraId="39D59AAF"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Boven-Zeeschelde</w:t>
            </w:r>
          </w:p>
        </w:tc>
        <w:tc>
          <w:tcPr>
            <w:tcW w:w="761" w:type="dxa"/>
            <w:noWrap/>
            <w:hideMark/>
          </w:tcPr>
          <w:p w14:paraId="529BEC89"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42CE301E"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B18BB66"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EDA2359"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118B11BC"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1F340B47"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c>
          <w:tcPr>
            <w:tcW w:w="960" w:type="dxa"/>
          </w:tcPr>
          <w:p w14:paraId="2AA15C31" w14:textId="77777777" w:rsidR="00912259" w:rsidRDefault="00912259">
            <w:pPr>
              <w:spacing w:after="0" w:line="240" w:lineRule="auto"/>
              <w:jc w:val="center"/>
              <w:rPr>
                <w:color w:val="000000"/>
                <w:szCs w:val="22"/>
                <w:lang w:val="nl-BE" w:eastAsia="nl-BE"/>
              </w:rPr>
            </w:pPr>
            <w:r>
              <w:rPr>
                <w:color w:val="000000"/>
                <w:szCs w:val="22"/>
                <w:lang w:val="nl-BE" w:eastAsia="nl-BE"/>
              </w:rPr>
              <w:t>A</w:t>
            </w:r>
          </w:p>
        </w:tc>
      </w:tr>
      <w:tr w:rsidR="00912259" w:rsidRPr="00FA4E79" w14:paraId="2289635E" w14:textId="77777777">
        <w:trPr>
          <w:trHeight w:val="300"/>
        </w:trPr>
        <w:tc>
          <w:tcPr>
            <w:tcW w:w="2093" w:type="dxa"/>
            <w:noWrap/>
            <w:hideMark/>
          </w:tcPr>
          <w:p w14:paraId="2967E76A"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Durme</w:t>
            </w:r>
          </w:p>
        </w:tc>
        <w:tc>
          <w:tcPr>
            <w:tcW w:w="761" w:type="dxa"/>
            <w:noWrap/>
            <w:hideMark/>
          </w:tcPr>
          <w:p w14:paraId="122592F8"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4683F62E"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4F88247E"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34ECD130"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7C21E8FD"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3BF427D9"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20A98614"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r>
      <w:tr w:rsidR="00912259" w:rsidRPr="00FA4E79" w14:paraId="159C04D5" w14:textId="77777777">
        <w:trPr>
          <w:trHeight w:val="300"/>
        </w:trPr>
        <w:tc>
          <w:tcPr>
            <w:tcW w:w="2093" w:type="dxa"/>
            <w:noWrap/>
            <w:hideMark/>
          </w:tcPr>
          <w:p w14:paraId="0BB5C62C"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Rupel</w:t>
            </w:r>
          </w:p>
        </w:tc>
        <w:tc>
          <w:tcPr>
            <w:tcW w:w="761" w:type="dxa"/>
            <w:noWrap/>
            <w:hideMark/>
          </w:tcPr>
          <w:p w14:paraId="5780423A"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6E798668"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47262DBB"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1EB532C8"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2869DFF3"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00C13716"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0F6AF740"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r>
      <w:tr w:rsidR="00912259" w:rsidRPr="00FA4E79" w14:paraId="1FB0F396" w14:textId="77777777">
        <w:trPr>
          <w:trHeight w:val="300"/>
        </w:trPr>
        <w:tc>
          <w:tcPr>
            <w:tcW w:w="2093" w:type="dxa"/>
            <w:noWrap/>
            <w:hideMark/>
          </w:tcPr>
          <w:p w14:paraId="1D720F4C"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Zenne</w:t>
            </w:r>
          </w:p>
        </w:tc>
        <w:tc>
          <w:tcPr>
            <w:tcW w:w="761" w:type="dxa"/>
            <w:noWrap/>
            <w:hideMark/>
          </w:tcPr>
          <w:p w14:paraId="3BC1A360"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0EA56405"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79FAD035"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26126A88"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2B8D9ED3"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7312E010"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c>
          <w:tcPr>
            <w:tcW w:w="960" w:type="dxa"/>
          </w:tcPr>
          <w:p w14:paraId="362AB6BB" w14:textId="77777777" w:rsidR="00912259" w:rsidRDefault="00912259">
            <w:pPr>
              <w:spacing w:after="0" w:line="240" w:lineRule="auto"/>
              <w:jc w:val="center"/>
              <w:rPr>
                <w:color w:val="000000"/>
                <w:szCs w:val="22"/>
                <w:lang w:val="nl-BE" w:eastAsia="nl-BE"/>
              </w:rPr>
            </w:pPr>
          </w:p>
        </w:tc>
      </w:tr>
      <w:tr w:rsidR="00912259" w:rsidRPr="00FA4E79" w14:paraId="765773FA" w14:textId="77777777">
        <w:trPr>
          <w:trHeight w:val="300"/>
        </w:trPr>
        <w:tc>
          <w:tcPr>
            <w:tcW w:w="2093" w:type="dxa"/>
            <w:noWrap/>
            <w:hideMark/>
          </w:tcPr>
          <w:p w14:paraId="627D7830"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Dijle</w:t>
            </w:r>
          </w:p>
        </w:tc>
        <w:tc>
          <w:tcPr>
            <w:tcW w:w="761" w:type="dxa"/>
            <w:noWrap/>
            <w:hideMark/>
          </w:tcPr>
          <w:p w14:paraId="0278BA35"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6C8C44E4"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5C3BBD2A"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7AD4D908"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529713DF"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08E2378B"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c>
          <w:tcPr>
            <w:tcW w:w="960" w:type="dxa"/>
          </w:tcPr>
          <w:p w14:paraId="697987B1" w14:textId="77777777" w:rsidR="00912259" w:rsidRDefault="00912259">
            <w:pPr>
              <w:spacing w:after="0" w:line="240" w:lineRule="auto"/>
              <w:jc w:val="center"/>
              <w:rPr>
                <w:color w:val="000000"/>
                <w:szCs w:val="22"/>
                <w:lang w:val="nl-BE" w:eastAsia="nl-BE"/>
              </w:rPr>
            </w:pPr>
          </w:p>
        </w:tc>
      </w:tr>
      <w:tr w:rsidR="00912259" w:rsidRPr="00FA4E79" w14:paraId="65E81CB8" w14:textId="77777777">
        <w:trPr>
          <w:trHeight w:val="300"/>
        </w:trPr>
        <w:tc>
          <w:tcPr>
            <w:tcW w:w="2093" w:type="dxa"/>
            <w:noWrap/>
            <w:hideMark/>
          </w:tcPr>
          <w:p w14:paraId="1409467E"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Kleine Nete</w:t>
            </w:r>
          </w:p>
        </w:tc>
        <w:tc>
          <w:tcPr>
            <w:tcW w:w="761" w:type="dxa"/>
          </w:tcPr>
          <w:p w14:paraId="42E20F3D"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756F6B3A"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4E7188A1"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74936C5D"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56B130DB"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66AC322C"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c>
          <w:tcPr>
            <w:tcW w:w="960" w:type="dxa"/>
          </w:tcPr>
          <w:p w14:paraId="770DC269" w14:textId="77777777" w:rsidR="00912259" w:rsidRDefault="00912259">
            <w:pPr>
              <w:spacing w:after="0" w:line="240" w:lineRule="auto"/>
              <w:jc w:val="center"/>
              <w:rPr>
                <w:color w:val="000000"/>
                <w:szCs w:val="22"/>
                <w:lang w:val="nl-BE" w:eastAsia="nl-BE"/>
              </w:rPr>
            </w:pPr>
          </w:p>
        </w:tc>
      </w:tr>
      <w:tr w:rsidR="00912259" w:rsidRPr="00FA4E79" w14:paraId="6B127157" w14:textId="77777777">
        <w:trPr>
          <w:trHeight w:val="300"/>
        </w:trPr>
        <w:tc>
          <w:tcPr>
            <w:tcW w:w="2093" w:type="dxa"/>
            <w:noWrap/>
            <w:hideMark/>
          </w:tcPr>
          <w:p w14:paraId="14A2B250" w14:textId="77777777" w:rsidR="00912259" w:rsidRPr="00FA4E79" w:rsidRDefault="00912259">
            <w:pPr>
              <w:spacing w:after="0" w:line="240" w:lineRule="auto"/>
              <w:jc w:val="both"/>
              <w:rPr>
                <w:color w:val="000000"/>
                <w:szCs w:val="22"/>
                <w:lang w:val="nl-BE" w:eastAsia="nl-BE"/>
              </w:rPr>
            </w:pPr>
            <w:r w:rsidRPr="00FA4E79">
              <w:rPr>
                <w:color w:val="000000"/>
                <w:szCs w:val="22"/>
                <w:lang w:val="nl-BE" w:eastAsia="nl-BE"/>
              </w:rPr>
              <w:t>Grote Nete</w:t>
            </w:r>
          </w:p>
        </w:tc>
        <w:tc>
          <w:tcPr>
            <w:tcW w:w="761" w:type="dxa"/>
          </w:tcPr>
          <w:p w14:paraId="409F5704"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3BDA17E2"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38D3145D"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14C116C5" w14:textId="77777777" w:rsidR="00912259" w:rsidRPr="00FA4E79" w:rsidRDefault="00912259">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4E933505" w14:textId="77777777" w:rsidR="00912259" w:rsidRPr="00FA4E79" w:rsidRDefault="00912259">
            <w:pPr>
              <w:spacing w:after="0" w:line="240" w:lineRule="auto"/>
              <w:jc w:val="center"/>
              <w:rPr>
                <w:color w:val="000000"/>
                <w:szCs w:val="22"/>
                <w:lang w:val="nl-BE" w:eastAsia="nl-BE"/>
              </w:rPr>
            </w:pPr>
          </w:p>
        </w:tc>
        <w:tc>
          <w:tcPr>
            <w:tcW w:w="960" w:type="dxa"/>
            <w:noWrap/>
            <w:hideMark/>
          </w:tcPr>
          <w:p w14:paraId="0065D62A" w14:textId="77777777" w:rsidR="00912259" w:rsidRPr="00FA4E79" w:rsidRDefault="00912259">
            <w:pPr>
              <w:spacing w:after="0" w:line="240" w:lineRule="auto"/>
              <w:jc w:val="center"/>
              <w:rPr>
                <w:color w:val="000000"/>
                <w:szCs w:val="22"/>
                <w:lang w:val="nl-BE" w:eastAsia="nl-BE"/>
              </w:rPr>
            </w:pPr>
            <w:r>
              <w:rPr>
                <w:color w:val="000000"/>
                <w:szCs w:val="22"/>
                <w:lang w:val="nl-BE" w:eastAsia="nl-BE"/>
              </w:rPr>
              <w:t>A</w:t>
            </w:r>
          </w:p>
        </w:tc>
        <w:tc>
          <w:tcPr>
            <w:tcW w:w="960" w:type="dxa"/>
          </w:tcPr>
          <w:p w14:paraId="5DD5B876" w14:textId="77777777" w:rsidR="00912259" w:rsidRDefault="00912259">
            <w:pPr>
              <w:spacing w:after="0" w:line="240" w:lineRule="auto"/>
              <w:jc w:val="center"/>
              <w:rPr>
                <w:color w:val="000000"/>
                <w:szCs w:val="22"/>
                <w:lang w:val="nl-BE" w:eastAsia="nl-BE"/>
              </w:rPr>
            </w:pPr>
          </w:p>
        </w:tc>
      </w:tr>
    </w:tbl>
    <w:p w14:paraId="6065301F" w14:textId="77777777" w:rsidR="00912259" w:rsidRDefault="00912259" w:rsidP="00912259"/>
    <w:p w14:paraId="35703023" w14:textId="50DA920B" w:rsidR="006338C1" w:rsidRDefault="006338C1" w:rsidP="006338C1">
      <w:r>
        <w:t>Momenteel is de vegetatiekaart van 2019 in opmaak</w:t>
      </w:r>
      <w:r w:rsidR="00BC3B92">
        <w:t xml:space="preserve">. </w:t>
      </w:r>
      <w:r>
        <w:t>De</w:t>
      </w:r>
      <w:r w:rsidR="00BC3B92">
        <w:t xml:space="preserve">ze </w:t>
      </w:r>
      <w:r>
        <w:t xml:space="preserve">kaart </w:t>
      </w:r>
      <w:r w:rsidR="00BC3B92">
        <w:t>z</w:t>
      </w:r>
      <w:r>
        <w:t xml:space="preserve">al de schorren van de volledige Zeeschelde, Durme en Rupel omvatten, inclusief de getijdenafhankelijke delen van de Ringvaart en Tijarm in het meest stroomopwaartse deel van het estuarium (regio Gent). Ook de ontpolderingen gerealiseerd in 2019 of ervoor maken deel uit van deze kaart (bijv. Wijmeers, Fasseit, Burchtse Weel, Potpolder Lillo). Naast deze ontpolderingen zijn ook de verschillende functionele gecontroleerd gereduceerd getijdengebieden (GGG’s) in deze vegetatiekaart opgenomen (Bergenmeersen, Lippenbroek, Polders van Kruibeke). </w:t>
      </w:r>
      <w:r w:rsidR="00687FB6">
        <w:t xml:space="preserve">Van </w:t>
      </w:r>
      <w:r w:rsidR="00DE5DDC">
        <w:t xml:space="preserve">de </w:t>
      </w:r>
      <w:r w:rsidR="00687FB6">
        <w:t xml:space="preserve">verschillende GGG’s is de vegetatiekaart overgenomen uit de OMES-rapportage (Maris </w:t>
      </w:r>
      <w:r w:rsidR="00687FB6" w:rsidRPr="00245CD1">
        <w:rPr>
          <w:i/>
          <w:iCs/>
        </w:rPr>
        <w:t>et al</w:t>
      </w:r>
      <w:r w:rsidR="00687FB6">
        <w:t>., 2020).</w:t>
      </w:r>
    </w:p>
    <w:p w14:paraId="2BF38E1A" w14:textId="7562B697" w:rsidR="006338C1" w:rsidRDefault="006338C1" w:rsidP="006338C1">
      <w:r>
        <w:t>In de zomer van 2019 zijn falsecolour infrared-beelden (FCIR) gemaakt van het volledige projectgebied, inclusief de nieuw aangelegde gebieden (GGG’s en ontpolderingen). Met behulp van deze beelden is in 2020</w:t>
      </w:r>
      <w:r w:rsidR="00245CD1">
        <w:t xml:space="preserve">, </w:t>
      </w:r>
      <w:r>
        <w:t>2021</w:t>
      </w:r>
      <w:r w:rsidR="00DE5DDC">
        <w:t xml:space="preserve">, </w:t>
      </w:r>
      <w:r w:rsidR="00245CD1">
        <w:t xml:space="preserve">2022 </w:t>
      </w:r>
      <w:r w:rsidR="00DE5DDC">
        <w:t xml:space="preserve">en 2023 </w:t>
      </w:r>
      <w:r>
        <w:t xml:space="preserve">veldwerk verricht om grondwaarheidsgegevens te verzamelen. </w:t>
      </w:r>
    </w:p>
    <w:p w14:paraId="5A61219F" w14:textId="0A322F94" w:rsidR="00912259" w:rsidRDefault="00BC3B92" w:rsidP="00912259">
      <w:r>
        <w:lastRenderedPageBreak/>
        <w:t xml:space="preserve">In </w:t>
      </w:r>
      <w:r w:rsidRPr="00BC3B92">
        <w:t xml:space="preserve">Van Ryckegem </w:t>
      </w:r>
      <w:r w:rsidRPr="00BC3B92">
        <w:rPr>
          <w:i/>
          <w:iCs/>
        </w:rPr>
        <w:t>et al</w:t>
      </w:r>
      <w:r>
        <w:t xml:space="preserve">. (2022) is een voorlopige versie van de vegetatiekaart van 2019 van de Zeeschelde, Durme en Rupel gepubliceerd. </w:t>
      </w:r>
      <w:r w:rsidR="006338C1">
        <w:t xml:space="preserve">In deze rapportage wordt </w:t>
      </w:r>
      <w:r w:rsidR="00687FB6">
        <w:t xml:space="preserve">geen nieuwe </w:t>
      </w:r>
      <w:r w:rsidR="006338C1">
        <w:t>versie van de</w:t>
      </w:r>
      <w:r>
        <w:t>ze</w:t>
      </w:r>
      <w:r w:rsidR="006338C1">
        <w:t xml:space="preserve"> vegetatiekaart </w:t>
      </w:r>
      <w:r>
        <w:t>ter beschikking gesteld. De definitieve versie van de kaart zal gepubliceerd worden in het datarapport van 202</w:t>
      </w:r>
      <w:r w:rsidR="00DE5DDC">
        <w:t>5 of in een aparte rapportage</w:t>
      </w:r>
      <w:r>
        <w:t>.</w:t>
      </w:r>
    </w:p>
    <w:p w14:paraId="1B415F29" w14:textId="6EF8828F" w:rsidR="00912259" w:rsidRDefault="00912259" w:rsidP="00912259">
      <w:pPr>
        <w:pStyle w:val="Kop2"/>
      </w:pPr>
      <w:r>
        <w:t>Referenties</w:t>
      </w:r>
    </w:p>
    <w:p w14:paraId="7E07683C" w14:textId="77777777" w:rsidR="00912259" w:rsidRPr="00522927" w:rsidRDefault="00912259" w:rsidP="00912259">
      <w:pPr>
        <w:jc w:val="both"/>
      </w:pPr>
      <w:r w:rsidRPr="00522927">
        <w:t>Bertels L., Houthuys R., Deronde B., Knaeps E., Vandevoorde B. &amp; Van den Bergh E. (2008). Automatische kartering voor opvolging areaal slikken en schorren. Rapport VITO 2008/TAP/R/076, 137 p.</w:t>
      </w:r>
    </w:p>
    <w:p w14:paraId="7D36CC37" w14:textId="77777777" w:rsidR="00912259" w:rsidRPr="00522927" w:rsidRDefault="00912259" w:rsidP="00912259">
      <w:pPr>
        <w:jc w:val="both"/>
      </w:pPr>
      <w:r w:rsidRPr="00522927">
        <w:t>Eurosense (2012). Hyperspectraalmetingen en kartering van slikken en schorren van de Zeeschelde afwaarts Wintam in het kader van de geïntegreerde monitoring van het Schelde-estuarium (MONEOS-programma). Eindrapport 01/10/2012. In opdracht van W&amp;Z Afdeling Zeeschelde.</w:t>
      </w:r>
    </w:p>
    <w:p w14:paraId="704CF3DC" w14:textId="7B4F5E4B" w:rsidR="00245CD1" w:rsidRDefault="00245CD1" w:rsidP="00245CD1">
      <w:r w:rsidRPr="00245CD1">
        <w:t>Maris T., Baeten S., Van den Neucker T., van den Broeck T. &amp; Meire P. (2020). Onderzoek naar de gevolgen van het Sigmaplan, baggeractiviteiten en havenuitbreiding in de Zeeschelde op het milieu. Geïntegreerd eindverslag van het onderzoek verricht in 2019, deelrapport Intergetijdengebieden. ECOBE 020-R266 Universiteit Antwerpen, Antwerpen</w:t>
      </w:r>
      <w:r w:rsidR="002F36A1">
        <w:t>.</w:t>
      </w:r>
    </w:p>
    <w:p w14:paraId="2E461063" w14:textId="3C36E2CF" w:rsidR="00912259" w:rsidRDefault="00912259" w:rsidP="00912259">
      <w:r w:rsidRPr="00912259">
        <w:t>Vandevoorde B. (2011). Systeemmonitoring vegetatiekartering. In Van Ryckegem G., (red.) (2011). MONEOS –Geïntegreerd datarapport Toestand Zeeschelde tot 2009. Datarapportage ten behoeve van de VNSC voor het vastleggen van de uitgangssituatie anno 2009. Rapporten van het Instituut voor Natuur- en Bosonderzoek INBO.R.2011.8</w:t>
      </w:r>
      <w:r w:rsidR="00BC3B92">
        <w:t xml:space="preserve">. </w:t>
      </w:r>
      <w:r w:rsidR="00BC3B92" w:rsidRPr="00BC3B92">
        <w:t>Instituut voor Natuur‐ en Bosonderzoek, Brussel</w:t>
      </w:r>
      <w:r w:rsidRPr="00912259">
        <w:t>.</w:t>
      </w:r>
    </w:p>
    <w:p w14:paraId="470105D4" w14:textId="514F5A4D" w:rsidR="00912259" w:rsidRDefault="00BC3B92" w:rsidP="00912259">
      <w:r w:rsidRPr="00BC3B92">
        <w:t>Van Ryckegem G., Vanoverbeke J., Van de Meutter F., Vandevoorde B., Mertens W., Mertens A., Van Braeckel A., Smeekens V., Thibau K., Bezdenjesnji O., Buerms D., De Regge N., Hessel K., Lefranc C., Soors J. &amp; Van Lierop F. (2022). MONEOS ‐ Geïntegreerd datarapport INBO: Toestand Zeeschelde 2021. Monitoringsoverzicht en 1ste lijnsrapportage Geomorfologie, diversiteit Habitats en diversiteit Soorten. Rapporten van het Instituut voor Natuur‐ en Bosonderzoek 2022 (26). Instituut voor Natuur‐ en Bosonderzoek, Brussel</w:t>
      </w:r>
      <w:r>
        <w:t>.</w:t>
      </w:r>
    </w:p>
    <w:bookmarkEnd w:id="0"/>
    <w:bookmarkEnd w:id="1"/>
    <w:p w14:paraId="71523757" w14:textId="77777777" w:rsidR="00912259" w:rsidRPr="00912259" w:rsidRDefault="00912259" w:rsidP="00912259"/>
    <w:sectPr w:rsidR="00912259" w:rsidRPr="00912259" w:rsidSect="008E64BE">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B926F" w14:textId="77777777" w:rsidR="00967589" w:rsidRDefault="00967589">
      <w:r>
        <w:separator/>
      </w:r>
    </w:p>
  </w:endnote>
  <w:endnote w:type="continuationSeparator" w:id="0">
    <w:p w14:paraId="5C8B9C72" w14:textId="77777777" w:rsidR="00967589" w:rsidRDefault="0096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A7AE8" w14:textId="77777777" w:rsidR="00967589" w:rsidRDefault="00967589" w:rsidP="00FA143A">
      <w:pPr>
        <w:spacing w:after="0"/>
      </w:pPr>
      <w:r>
        <w:separator/>
      </w:r>
    </w:p>
  </w:footnote>
  <w:footnote w:type="continuationSeparator" w:id="0">
    <w:p w14:paraId="2D5D0973" w14:textId="77777777" w:rsidR="00967589" w:rsidRDefault="00967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646737"/>
    <w:multiLevelType w:val="hybridMultilevel"/>
    <w:tmpl w:val="0E2AC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4"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7"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1"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5"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40"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2987293">
    <w:abstractNumId w:val="37"/>
  </w:num>
  <w:num w:numId="2" w16cid:durableId="1023752427">
    <w:abstractNumId w:val="39"/>
  </w:num>
  <w:num w:numId="3" w16cid:durableId="1945456945">
    <w:abstractNumId w:val="0"/>
  </w:num>
  <w:num w:numId="4" w16cid:durableId="243533426">
    <w:abstractNumId w:val="26"/>
  </w:num>
  <w:num w:numId="5" w16cid:durableId="316612875">
    <w:abstractNumId w:val="17"/>
  </w:num>
  <w:num w:numId="6" w16cid:durableId="2063823868">
    <w:abstractNumId w:val="20"/>
  </w:num>
  <w:num w:numId="7" w16cid:durableId="48463806">
    <w:abstractNumId w:val="21"/>
  </w:num>
  <w:num w:numId="8" w16cid:durableId="1981691424">
    <w:abstractNumId w:val="6"/>
  </w:num>
  <w:num w:numId="9" w16cid:durableId="31612584">
    <w:abstractNumId w:val="2"/>
  </w:num>
  <w:num w:numId="10" w16cid:durableId="969628452">
    <w:abstractNumId w:val="3"/>
  </w:num>
  <w:num w:numId="11" w16cid:durableId="268320373">
    <w:abstractNumId w:val="38"/>
  </w:num>
  <w:num w:numId="12" w16cid:durableId="216405876">
    <w:abstractNumId w:val="11"/>
  </w:num>
  <w:num w:numId="13" w16cid:durableId="929657432">
    <w:abstractNumId w:val="32"/>
  </w:num>
  <w:num w:numId="14" w16cid:durableId="2056930182">
    <w:abstractNumId w:val="23"/>
  </w:num>
  <w:num w:numId="15" w16cid:durableId="336662294">
    <w:abstractNumId w:val="41"/>
    <w:lvlOverride w:ilvl="0">
      <w:startOverride w:val="1"/>
    </w:lvlOverride>
  </w:num>
  <w:num w:numId="16" w16cid:durableId="224030671">
    <w:abstractNumId w:val="7"/>
  </w:num>
  <w:num w:numId="17" w16cid:durableId="1440101327">
    <w:abstractNumId w:val="31"/>
  </w:num>
  <w:num w:numId="18" w16cid:durableId="614555502">
    <w:abstractNumId w:val="1"/>
  </w:num>
  <w:num w:numId="19" w16cid:durableId="1113669813">
    <w:abstractNumId w:val="22"/>
  </w:num>
  <w:num w:numId="20" w16cid:durableId="86270666">
    <w:abstractNumId w:val="22"/>
    <w:lvlOverride w:ilvl="0">
      <w:startOverride w:val="1"/>
    </w:lvlOverride>
  </w:num>
  <w:num w:numId="21" w16cid:durableId="2001276456">
    <w:abstractNumId w:val="22"/>
    <w:lvlOverride w:ilvl="0">
      <w:startOverride w:val="1"/>
    </w:lvlOverride>
  </w:num>
  <w:num w:numId="22" w16cid:durableId="1468283975">
    <w:abstractNumId w:val="22"/>
    <w:lvlOverride w:ilvl="0">
      <w:startOverride w:val="1"/>
    </w:lvlOverride>
  </w:num>
  <w:num w:numId="23" w16cid:durableId="655761564">
    <w:abstractNumId w:val="22"/>
    <w:lvlOverride w:ilvl="0">
      <w:startOverride w:val="1"/>
    </w:lvlOverride>
  </w:num>
  <w:num w:numId="24" w16cid:durableId="327440684">
    <w:abstractNumId w:val="22"/>
    <w:lvlOverride w:ilvl="0">
      <w:startOverride w:val="1"/>
    </w:lvlOverride>
  </w:num>
  <w:num w:numId="25" w16cid:durableId="37359141">
    <w:abstractNumId w:val="22"/>
    <w:lvlOverride w:ilvl="0">
      <w:startOverride w:val="1"/>
    </w:lvlOverride>
  </w:num>
  <w:num w:numId="26" w16cid:durableId="14966465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5609000">
    <w:abstractNumId w:val="22"/>
    <w:lvlOverride w:ilvl="0">
      <w:startOverride w:val="1"/>
    </w:lvlOverride>
  </w:num>
  <w:num w:numId="28" w16cid:durableId="1594244905">
    <w:abstractNumId w:val="22"/>
    <w:lvlOverride w:ilvl="0">
      <w:startOverride w:val="1"/>
    </w:lvlOverride>
  </w:num>
  <w:num w:numId="29" w16cid:durableId="1181972922">
    <w:abstractNumId w:val="10"/>
  </w:num>
  <w:num w:numId="30" w16cid:durableId="1197737267">
    <w:abstractNumId w:val="26"/>
  </w:num>
  <w:num w:numId="31" w16cid:durableId="242881772">
    <w:abstractNumId w:val="5"/>
  </w:num>
  <w:num w:numId="32" w16cid:durableId="7371402">
    <w:abstractNumId w:val="15"/>
  </w:num>
  <w:num w:numId="33" w16cid:durableId="2103136411">
    <w:abstractNumId w:val="13"/>
  </w:num>
  <w:num w:numId="34" w16cid:durableId="1798179206">
    <w:abstractNumId w:val="14"/>
  </w:num>
  <w:num w:numId="35" w16cid:durableId="1525285208">
    <w:abstractNumId w:val="18"/>
  </w:num>
  <w:num w:numId="36" w16cid:durableId="1110276837">
    <w:abstractNumId w:val="34"/>
  </w:num>
  <w:num w:numId="37" w16cid:durableId="461391428">
    <w:abstractNumId w:val="16"/>
  </w:num>
  <w:num w:numId="38" w16cid:durableId="989553729">
    <w:abstractNumId w:val="41"/>
  </w:num>
  <w:num w:numId="39" w16cid:durableId="972715972">
    <w:abstractNumId w:val="8"/>
  </w:num>
  <w:num w:numId="40" w16cid:durableId="991175342">
    <w:abstractNumId w:val="35"/>
  </w:num>
  <w:num w:numId="41" w16cid:durableId="1694845815">
    <w:abstractNumId w:val="30"/>
  </w:num>
  <w:num w:numId="42" w16cid:durableId="2102099079">
    <w:abstractNumId w:val="27"/>
  </w:num>
  <w:num w:numId="43" w16cid:durableId="651763570">
    <w:abstractNumId w:val="33"/>
  </w:num>
  <w:num w:numId="44" w16cid:durableId="727608159">
    <w:abstractNumId w:val="36"/>
  </w:num>
  <w:num w:numId="45" w16cid:durableId="2051490946">
    <w:abstractNumId w:val="28"/>
  </w:num>
  <w:num w:numId="46" w16cid:durableId="283657822">
    <w:abstractNumId w:val="4"/>
  </w:num>
  <w:num w:numId="47" w16cid:durableId="768160825">
    <w:abstractNumId w:val="22"/>
    <w:lvlOverride w:ilvl="0">
      <w:startOverride w:val="1"/>
    </w:lvlOverride>
  </w:num>
  <w:num w:numId="48" w16cid:durableId="586574179">
    <w:abstractNumId w:val="29"/>
  </w:num>
  <w:num w:numId="49" w16cid:durableId="141164756">
    <w:abstractNumId w:val="9"/>
  </w:num>
  <w:num w:numId="50" w16cid:durableId="1027024626">
    <w:abstractNumId w:val="42"/>
  </w:num>
  <w:num w:numId="51" w16cid:durableId="581841935">
    <w:abstractNumId w:val="26"/>
  </w:num>
  <w:num w:numId="52" w16cid:durableId="745032725">
    <w:abstractNumId w:val="26"/>
  </w:num>
  <w:num w:numId="53" w16cid:durableId="2111123765">
    <w:abstractNumId w:val="22"/>
  </w:num>
  <w:num w:numId="54" w16cid:durableId="228199430">
    <w:abstractNumId w:val="25"/>
  </w:num>
  <w:num w:numId="55" w16cid:durableId="1938557376">
    <w:abstractNumId w:val="24"/>
  </w:num>
  <w:num w:numId="56" w16cid:durableId="2145464614">
    <w:abstractNumId w:val="12"/>
  </w:num>
  <w:num w:numId="57" w16cid:durableId="1695498277">
    <w:abstractNumId w:val="43"/>
  </w:num>
  <w:num w:numId="58" w16cid:durableId="73550296">
    <w:abstractNumId w:val="40"/>
  </w:num>
  <w:num w:numId="59" w16cid:durableId="1565023379">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AB"/>
    <w:rsid w:val="00000D56"/>
    <w:rsid w:val="00001DA4"/>
    <w:rsid w:val="00002705"/>
    <w:rsid w:val="00002BA2"/>
    <w:rsid w:val="000036AF"/>
    <w:rsid w:val="00004E36"/>
    <w:rsid w:val="0000589E"/>
    <w:rsid w:val="00005C01"/>
    <w:rsid w:val="00010C25"/>
    <w:rsid w:val="00012672"/>
    <w:rsid w:val="00012BAA"/>
    <w:rsid w:val="000131B2"/>
    <w:rsid w:val="000135A0"/>
    <w:rsid w:val="00013A1E"/>
    <w:rsid w:val="00014232"/>
    <w:rsid w:val="00015FF2"/>
    <w:rsid w:val="00016640"/>
    <w:rsid w:val="00016F79"/>
    <w:rsid w:val="000171A7"/>
    <w:rsid w:val="00017B1A"/>
    <w:rsid w:val="00020358"/>
    <w:rsid w:val="00023840"/>
    <w:rsid w:val="00024E2D"/>
    <w:rsid w:val="00030736"/>
    <w:rsid w:val="00032260"/>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3453"/>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6A64"/>
    <w:rsid w:val="0009758B"/>
    <w:rsid w:val="000977D6"/>
    <w:rsid w:val="000A1135"/>
    <w:rsid w:val="000A1960"/>
    <w:rsid w:val="000A2B64"/>
    <w:rsid w:val="000A41A0"/>
    <w:rsid w:val="000A4335"/>
    <w:rsid w:val="000A4954"/>
    <w:rsid w:val="000A581E"/>
    <w:rsid w:val="000A5C8F"/>
    <w:rsid w:val="000A628F"/>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163"/>
    <w:rsid w:val="000D3AB6"/>
    <w:rsid w:val="000D433F"/>
    <w:rsid w:val="000D58A9"/>
    <w:rsid w:val="000D6F50"/>
    <w:rsid w:val="000D738B"/>
    <w:rsid w:val="000D7A42"/>
    <w:rsid w:val="000E047B"/>
    <w:rsid w:val="000E0D01"/>
    <w:rsid w:val="000E5013"/>
    <w:rsid w:val="000E6708"/>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6791"/>
    <w:rsid w:val="001071AE"/>
    <w:rsid w:val="00110293"/>
    <w:rsid w:val="0011156C"/>
    <w:rsid w:val="00111F03"/>
    <w:rsid w:val="0011261C"/>
    <w:rsid w:val="00112B31"/>
    <w:rsid w:val="00114382"/>
    <w:rsid w:val="00115D97"/>
    <w:rsid w:val="00120BB7"/>
    <w:rsid w:val="0012150D"/>
    <w:rsid w:val="001218D6"/>
    <w:rsid w:val="00124AC2"/>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7DB"/>
    <w:rsid w:val="00144CDD"/>
    <w:rsid w:val="00145341"/>
    <w:rsid w:val="00150AAB"/>
    <w:rsid w:val="00152EE4"/>
    <w:rsid w:val="0015368A"/>
    <w:rsid w:val="00153D09"/>
    <w:rsid w:val="00156492"/>
    <w:rsid w:val="001600BE"/>
    <w:rsid w:val="001601E9"/>
    <w:rsid w:val="00161094"/>
    <w:rsid w:val="00165B37"/>
    <w:rsid w:val="0017103E"/>
    <w:rsid w:val="00171264"/>
    <w:rsid w:val="00172A6E"/>
    <w:rsid w:val="00172E7C"/>
    <w:rsid w:val="00173B5C"/>
    <w:rsid w:val="00174ACB"/>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067E"/>
    <w:rsid w:val="001A1E33"/>
    <w:rsid w:val="001A2C4A"/>
    <w:rsid w:val="001A39C6"/>
    <w:rsid w:val="001A3F32"/>
    <w:rsid w:val="001A5051"/>
    <w:rsid w:val="001A51F9"/>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1300"/>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6EB8"/>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DA8"/>
    <w:rsid w:val="00243F81"/>
    <w:rsid w:val="00245CD1"/>
    <w:rsid w:val="00246DE2"/>
    <w:rsid w:val="00246DE3"/>
    <w:rsid w:val="002473F6"/>
    <w:rsid w:val="00247DFF"/>
    <w:rsid w:val="002519AA"/>
    <w:rsid w:val="002523D3"/>
    <w:rsid w:val="002528B3"/>
    <w:rsid w:val="00252B7C"/>
    <w:rsid w:val="00252C28"/>
    <w:rsid w:val="00255ECB"/>
    <w:rsid w:val="002569DF"/>
    <w:rsid w:val="00257F1A"/>
    <w:rsid w:val="00262144"/>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5336"/>
    <w:rsid w:val="00287137"/>
    <w:rsid w:val="002907ED"/>
    <w:rsid w:val="00290BD7"/>
    <w:rsid w:val="00290CB0"/>
    <w:rsid w:val="00292107"/>
    <w:rsid w:val="00292C90"/>
    <w:rsid w:val="002978B9"/>
    <w:rsid w:val="002A22BB"/>
    <w:rsid w:val="002C0C14"/>
    <w:rsid w:val="002C2E4B"/>
    <w:rsid w:val="002C3BD3"/>
    <w:rsid w:val="002C62F3"/>
    <w:rsid w:val="002C63DA"/>
    <w:rsid w:val="002D0822"/>
    <w:rsid w:val="002D1EBD"/>
    <w:rsid w:val="002D317A"/>
    <w:rsid w:val="002D4067"/>
    <w:rsid w:val="002D506D"/>
    <w:rsid w:val="002D526C"/>
    <w:rsid w:val="002D6A6A"/>
    <w:rsid w:val="002D6B8D"/>
    <w:rsid w:val="002E071F"/>
    <w:rsid w:val="002E0CAE"/>
    <w:rsid w:val="002E1914"/>
    <w:rsid w:val="002E2050"/>
    <w:rsid w:val="002E24ED"/>
    <w:rsid w:val="002E5F31"/>
    <w:rsid w:val="002E6000"/>
    <w:rsid w:val="002E6C90"/>
    <w:rsid w:val="002E7719"/>
    <w:rsid w:val="002E7F21"/>
    <w:rsid w:val="002F36A1"/>
    <w:rsid w:val="002F4F3C"/>
    <w:rsid w:val="002F724C"/>
    <w:rsid w:val="002F78A5"/>
    <w:rsid w:val="00300509"/>
    <w:rsid w:val="00303FFB"/>
    <w:rsid w:val="00304ADF"/>
    <w:rsid w:val="00306317"/>
    <w:rsid w:val="00307069"/>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32575"/>
    <w:rsid w:val="00332F5D"/>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36D"/>
    <w:rsid w:val="003F6B0F"/>
    <w:rsid w:val="00402E6B"/>
    <w:rsid w:val="00406F61"/>
    <w:rsid w:val="00412087"/>
    <w:rsid w:val="004146B2"/>
    <w:rsid w:val="00414AE3"/>
    <w:rsid w:val="00414BF1"/>
    <w:rsid w:val="004162C0"/>
    <w:rsid w:val="00417207"/>
    <w:rsid w:val="004177B7"/>
    <w:rsid w:val="00420513"/>
    <w:rsid w:val="00420A22"/>
    <w:rsid w:val="00422BCB"/>
    <w:rsid w:val="00422D27"/>
    <w:rsid w:val="004257E9"/>
    <w:rsid w:val="004269F6"/>
    <w:rsid w:val="0042701F"/>
    <w:rsid w:val="00427DAA"/>
    <w:rsid w:val="0043063C"/>
    <w:rsid w:val="00433E8A"/>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4E0F"/>
    <w:rsid w:val="00485904"/>
    <w:rsid w:val="00486965"/>
    <w:rsid w:val="00487FDF"/>
    <w:rsid w:val="004904BE"/>
    <w:rsid w:val="00490A96"/>
    <w:rsid w:val="00491361"/>
    <w:rsid w:val="00492866"/>
    <w:rsid w:val="004944D3"/>
    <w:rsid w:val="00494ECF"/>
    <w:rsid w:val="0049551D"/>
    <w:rsid w:val="00495D8D"/>
    <w:rsid w:val="00496B2C"/>
    <w:rsid w:val="00496B93"/>
    <w:rsid w:val="004A0DA7"/>
    <w:rsid w:val="004A1389"/>
    <w:rsid w:val="004A1E72"/>
    <w:rsid w:val="004A20CC"/>
    <w:rsid w:val="004A243C"/>
    <w:rsid w:val="004A3492"/>
    <w:rsid w:val="004A3F62"/>
    <w:rsid w:val="004A4AFA"/>
    <w:rsid w:val="004A4E5F"/>
    <w:rsid w:val="004A59AD"/>
    <w:rsid w:val="004A59ED"/>
    <w:rsid w:val="004A798F"/>
    <w:rsid w:val="004B02E2"/>
    <w:rsid w:val="004B2F16"/>
    <w:rsid w:val="004B35A2"/>
    <w:rsid w:val="004B4492"/>
    <w:rsid w:val="004B5986"/>
    <w:rsid w:val="004B79F9"/>
    <w:rsid w:val="004C02AE"/>
    <w:rsid w:val="004C19CA"/>
    <w:rsid w:val="004C1A60"/>
    <w:rsid w:val="004C58A0"/>
    <w:rsid w:val="004C79B5"/>
    <w:rsid w:val="004C7C73"/>
    <w:rsid w:val="004D15C8"/>
    <w:rsid w:val="004D18DC"/>
    <w:rsid w:val="004D2E37"/>
    <w:rsid w:val="004D357F"/>
    <w:rsid w:val="004D5BA1"/>
    <w:rsid w:val="004E054A"/>
    <w:rsid w:val="004E1CFD"/>
    <w:rsid w:val="004E266E"/>
    <w:rsid w:val="004E3F37"/>
    <w:rsid w:val="004E469B"/>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5B1"/>
    <w:rsid w:val="0051282A"/>
    <w:rsid w:val="005133BA"/>
    <w:rsid w:val="00514B8B"/>
    <w:rsid w:val="00514C34"/>
    <w:rsid w:val="00516426"/>
    <w:rsid w:val="00516859"/>
    <w:rsid w:val="00521DBB"/>
    <w:rsid w:val="00521F1E"/>
    <w:rsid w:val="00524002"/>
    <w:rsid w:val="00525873"/>
    <w:rsid w:val="0052767A"/>
    <w:rsid w:val="00527A8A"/>
    <w:rsid w:val="00531847"/>
    <w:rsid w:val="00532344"/>
    <w:rsid w:val="00532D27"/>
    <w:rsid w:val="005352AC"/>
    <w:rsid w:val="005374DD"/>
    <w:rsid w:val="00540FEA"/>
    <w:rsid w:val="005425E6"/>
    <w:rsid w:val="0054524F"/>
    <w:rsid w:val="00545430"/>
    <w:rsid w:val="00547945"/>
    <w:rsid w:val="00547DE9"/>
    <w:rsid w:val="0055388B"/>
    <w:rsid w:val="00555FBC"/>
    <w:rsid w:val="005600AE"/>
    <w:rsid w:val="005605DB"/>
    <w:rsid w:val="00560823"/>
    <w:rsid w:val="00561E64"/>
    <w:rsid w:val="005651B1"/>
    <w:rsid w:val="00565391"/>
    <w:rsid w:val="005675D2"/>
    <w:rsid w:val="00567B1C"/>
    <w:rsid w:val="0057255E"/>
    <w:rsid w:val="00573090"/>
    <w:rsid w:val="00574D49"/>
    <w:rsid w:val="00581241"/>
    <w:rsid w:val="00582C53"/>
    <w:rsid w:val="00587224"/>
    <w:rsid w:val="005875BB"/>
    <w:rsid w:val="005904C3"/>
    <w:rsid w:val="005906F0"/>
    <w:rsid w:val="00592AAD"/>
    <w:rsid w:val="005939A1"/>
    <w:rsid w:val="00594F07"/>
    <w:rsid w:val="0059580C"/>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4E64"/>
    <w:rsid w:val="005D5893"/>
    <w:rsid w:val="005D5D39"/>
    <w:rsid w:val="005E16DC"/>
    <w:rsid w:val="005E4858"/>
    <w:rsid w:val="005E5694"/>
    <w:rsid w:val="005E5EC8"/>
    <w:rsid w:val="005E605F"/>
    <w:rsid w:val="005E76BA"/>
    <w:rsid w:val="005F063E"/>
    <w:rsid w:val="005F1B77"/>
    <w:rsid w:val="005F286A"/>
    <w:rsid w:val="005F30C6"/>
    <w:rsid w:val="005F6D48"/>
    <w:rsid w:val="00600C26"/>
    <w:rsid w:val="006010B6"/>
    <w:rsid w:val="006019FB"/>
    <w:rsid w:val="006039DD"/>
    <w:rsid w:val="0060456C"/>
    <w:rsid w:val="006053C3"/>
    <w:rsid w:val="00607DD4"/>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87E"/>
    <w:rsid w:val="006338C1"/>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540C"/>
    <w:rsid w:val="00666939"/>
    <w:rsid w:val="006672EB"/>
    <w:rsid w:val="006679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87FB6"/>
    <w:rsid w:val="00690BAA"/>
    <w:rsid w:val="0069125E"/>
    <w:rsid w:val="00691863"/>
    <w:rsid w:val="00692AF2"/>
    <w:rsid w:val="006930F9"/>
    <w:rsid w:val="00693128"/>
    <w:rsid w:val="006941DB"/>
    <w:rsid w:val="00695B1C"/>
    <w:rsid w:val="00695D0D"/>
    <w:rsid w:val="00696C04"/>
    <w:rsid w:val="0069791D"/>
    <w:rsid w:val="006A2941"/>
    <w:rsid w:val="006A572B"/>
    <w:rsid w:val="006A5B42"/>
    <w:rsid w:val="006A5EC0"/>
    <w:rsid w:val="006A672B"/>
    <w:rsid w:val="006A6EE7"/>
    <w:rsid w:val="006A6F49"/>
    <w:rsid w:val="006A7F0D"/>
    <w:rsid w:val="006B1BC9"/>
    <w:rsid w:val="006B20CA"/>
    <w:rsid w:val="006B30A4"/>
    <w:rsid w:val="006B48A4"/>
    <w:rsid w:val="006B4B82"/>
    <w:rsid w:val="006B4ED3"/>
    <w:rsid w:val="006B62DB"/>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77F3"/>
    <w:rsid w:val="006F03C8"/>
    <w:rsid w:val="006F03F6"/>
    <w:rsid w:val="006F040B"/>
    <w:rsid w:val="006F369D"/>
    <w:rsid w:val="006F38CF"/>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51AF"/>
    <w:rsid w:val="00726365"/>
    <w:rsid w:val="0072796B"/>
    <w:rsid w:val="00732355"/>
    <w:rsid w:val="0073454A"/>
    <w:rsid w:val="00735117"/>
    <w:rsid w:val="00735B7F"/>
    <w:rsid w:val="00735D57"/>
    <w:rsid w:val="00736D00"/>
    <w:rsid w:val="00736EF0"/>
    <w:rsid w:val="00737C61"/>
    <w:rsid w:val="00737D69"/>
    <w:rsid w:val="007428A2"/>
    <w:rsid w:val="00742BBF"/>
    <w:rsid w:val="0074605E"/>
    <w:rsid w:val="00750270"/>
    <w:rsid w:val="00750C25"/>
    <w:rsid w:val="00753C46"/>
    <w:rsid w:val="007552D9"/>
    <w:rsid w:val="00755F62"/>
    <w:rsid w:val="0075621F"/>
    <w:rsid w:val="00757049"/>
    <w:rsid w:val="00757E33"/>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4F79"/>
    <w:rsid w:val="0077533E"/>
    <w:rsid w:val="0077646A"/>
    <w:rsid w:val="00780DA9"/>
    <w:rsid w:val="0078462A"/>
    <w:rsid w:val="007849AC"/>
    <w:rsid w:val="00785B98"/>
    <w:rsid w:val="00785CEE"/>
    <w:rsid w:val="00787592"/>
    <w:rsid w:val="007876C9"/>
    <w:rsid w:val="0079060D"/>
    <w:rsid w:val="007917E1"/>
    <w:rsid w:val="00793239"/>
    <w:rsid w:val="007937EE"/>
    <w:rsid w:val="00794F33"/>
    <w:rsid w:val="007955A9"/>
    <w:rsid w:val="007A14F1"/>
    <w:rsid w:val="007A1B8D"/>
    <w:rsid w:val="007A2DB7"/>
    <w:rsid w:val="007A36C8"/>
    <w:rsid w:val="007A4999"/>
    <w:rsid w:val="007A76C0"/>
    <w:rsid w:val="007A7A6F"/>
    <w:rsid w:val="007B05D4"/>
    <w:rsid w:val="007B1995"/>
    <w:rsid w:val="007B4CB9"/>
    <w:rsid w:val="007B5D98"/>
    <w:rsid w:val="007C07A5"/>
    <w:rsid w:val="007C1024"/>
    <w:rsid w:val="007C192F"/>
    <w:rsid w:val="007C2E6C"/>
    <w:rsid w:val="007C36B7"/>
    <w:rsid w:val="007C4E8F"/>
    <w:rsid w:val="007C5588"/>
    <w:rsid w:val="007C659C"/>
    <w:rsid w:val="007C73A7"/>
    <w:rsid w:val="007D1A20"/>
    <w:rsid w:val="007D3C03"/>
    <w:rsid w:val="007D4B0C"/>
    <w:rsid w:val="007D5B56"/>
    <w:rsid w:val="007E3142"/>
    <w:rsid w:val="007E35E5"/>
    <w:rsid w:val="007E3A62"/>
    <w:rsid w:val="007E4B0A"/>
    <w:rsid w:val="007E5018"/>
    <w:rsid w:val="007E52C2"/>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45EE"/>
    <w:rsid w:val="00816686"/>
    <w:rsid w:val="00820672"/>
    <w:rsid w:val="00821409"/>
    <w:rsid w:val="00821C77"/>
    <w:rsid w:val="00823502"/>
    <w:rsid w:val="0082393C"/>
    <w:rsid w:val="008249DA"/>
    <w:rsid w:val="00824DDB"/>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5F78"/>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6390"/>
    <w:rsid w:val="00897634"/>
    <w:rsid w:val="008A09A2"/>
    <w:rsid w:val="008A0F6F"/>
    <w:rsid w:val="008A603B"/>
    <w:rsid w:val="008A7871"/>
    <w:rsid w:val="008B0275"/>
    <w:rsid w:val="008B0A30"/>
    <w:rsid w:val="008B0F25"/>
    <w:rsid w:val="008B132E"/>
    <w:rsid w:val="008B136B"/>
    <w:rsid w:val="008B140F"/>
    <w:rsid w:val="008B366C"/>
    <w:rsid w:val="008B3DFC"/>
    <w:rsid w:val="008B472B"/>
    <w:rsid w:val="008B4B76"/>
    <w:rsid w:val="008B4D5D"/>
    <w:rsid w:val="008B52AF"/>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D6DE6"/>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259"/>
    <w:rsid w:val="00912BBC"/>
    <w:rsid w:val="00914B02"/>
    <w:rsid w:val="00914F03"/>
    <w:rsid w:val="009150DC"/>
    <w:rsid w:val="0092018C"/>
    <w:rsid w:val="0092214C"/>
    <w:rsid w:val="00922C1C"/>
    <w:rsid w:val="00923BA6"/>
    <w:rsid w:val="00924C20"/>
    <w:rsid w:val="00931033"/>
    <w:rsid w:val="00932B37"/>
    <w:rsid w:val="00933509"/>
    <w:rsid w:val="00935421"/>
    <w:rsid w:val="00936E28"/>
    <w:rsid w:val="00937AD3"/>
    <w:rsid w:val="00940A47"/>
    <w:rsid w:val="00942BE6"/>
    <w:rsid w:val="00942EBE"/>
    <w:rsid w:val="009437F8"/>
    <w:rsid w:val="00943D6C"/>
    <w:rsid w:val="00943F4B"/>
    <w:rsid w:val="00946F78"/>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71FD"/>
    <w:rsid w:val="009674DC"/>
    <w:rsid w:val="00967589"/>
    <w:rsid w:val="009728E4"/>
    <w:rsid w:val="00976295"/>
    <w:rsid w:val="009762D0"/>
    <w:rsid w:val="009777CF"/>
    <w:rsid w:val="00980F00"/>
    <w:rsid w:val="009819A7"/>
    <w:rsid w:val="00982F41"/>
    <w:rsid w:val="00983AD4"/>
    <w:rsid w:val="00985DA6"/>
    <w:rsid w:val="00986467"/>
    <w:rsid w:val="00987A86"/>
    <w:rsid w:val="0099088A"/>
    <w:rsid w:val="0099099B"/>
    <w:rsid w:val="00991E93"/>
    <w:rsid w:val="00992236"/>
    <w:rsid w:val="009922C9"/>
    <w:rsid w:val="00992636"/>
    <w:rsid w:val="0099301D"/>
    <w:rsid w:val="009959DA"/>
    <w:rsid w:val="0099659F"/>
    <w:rsid w:val="009968AF"/>
    <w:rsid w:val="0099764E"/>
    <w:rsid w:val="00997B19"/>
    <w:rsid w:val="009A16A6"/>
    <w:rsid w:val="009A187D"/>
    <w:rsid w:val="009A2B76"/>
    <w:rsid w:val="009A37A6"/>
    <w:rsid w:val="009A5E2D"/>
    <w:rsid w:val="009A6339"/>
    <w:rsid w:val="009B04F6"/>
    <w:rsid w:val="009B25A5"/>
    <w:rsid w:val="009B3574"/>
    <w:rsid w:val="009B3A0A"/>
    <w:rsid w:val="009B6083"/>
    <w:rsid w:val="009B689C"/>
    <w:rsid w:val="009B6EB6"/>
    <w:rsid w:val="009C0901"/>
    <w:rsid w:val="009C0D28"/>
    <w:rsid w:val="009C2566"/>
    <w:rsid w:val="009C30BC"/>
    <w:rsid w:val="009C3D9E"/>
    <w:rsid w:val="009C6377"/>
    <w:rsid w:val="009D01CC"/>
    <w:rsid w:val="009D0902"/>
    <w:rsid w:val="009D0CE5"/>
    <w:rsid w:val="009D1372"/>
    <w:rsid w:val="009D23A6"/>
    <w:rsid w:val="009D2F1D"/>
    <w:rsid w:val="009D2F61"/>
    <w:rsid w:val="009D575F"/>
    <w:rsid w:val="009D6DFA"/>
    <w:rsid w:val="009E3125"/>
    <w:rsid w:val="009E36EC"/>
    <w:rsid w:val="009E41CA"/>
    <w:rsid w:val="009E5DE1"/>
    <w:rsid w:val="009E6DF4"/>
    <w:rsid w:val="009E6E03"/>
    <w:rsid w:val="009E7B6B"/>
    <w:rsid w:val="009E7D0E"/>
    <w:rsid w:val="009F3EF5"/>
    <w:rsid w:val="009F4163"/>
    <w:rsid w:val="009F4DA8"/>
    <w:rsid w:val="009F4E76"/>
    <w:rsid w:val="009F4F3E"/>
    <w:rsid w:val="009F555B"/>
    <w:rsid w:val="009F7101"/>
    <w:rsid w:val="00A002A6"/>
    <w:rsid w:val="00A004F3"/>
    <w:rsid w:val="00A01008"/>
    <w:rsid w:val="00A04340"/>
    <w:rsid w:val="00A078AA"/>
    <w:rsid w:val="00A10A65"/>
    <w:rsid w:val="00A11377"/>
    <w:rsid w:val="00A13613"/>
    <w:rsid w:val="00A1494E"/>
    <w:rsid w:val="00A1766A"/>
    <w:rsid w:val="00A20AF2"/>
    <w:rsid w:val="00A214C5"/>
    <w:rsid w:val="00A22F6D"/>
    <w:rsid w:val="00A25CE8"/>
    <w:rsid w:val="00A27F13"/>
    <w:rsid w:val="00A352B9"/>
    <w:rsid w:val="00A41CA7"/>
    <w:rsid w:val="00A43979"/>
    <w:rsid w:val="00A4570D"/>
    <w:rsid w:val="00A47790"/>
    <w:rsid w:val="00A500AA"/>
    <w:rsid w:val="00A5183F"/>
    <w:rsid w:val="00A5311F"/>
    <w:rsid w:val="00A54DD5"/>
    <w:rsid w:val="00A555F1"/>
    <w:rsid w:val="00A55AA6"/>
    <w:rsid w:val="00A569B3"/>
    <w:rsid w:val="00A56B3C"/>
    <w:rsid w:val="00A60765"/>
    <w:rsid w:val="00A60E03"/>
    <w:rsid w:val="00A64D38"/>
    <w:rsid w:val="00A66058"/>
    <w:rsid w:val="00A6760A"/>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4059"/>
    <w:rsid w:val="00AA6292"/>
    <w:rsid w:val="00AB136C"/>
    <w:rsid w:val="00AB14B0"/>
    <w:rsid w:val="00AB1C7B"/>
    <w:rsid w:val="00AB3571"/>
    <w:rsid w:val="00AB3A6A"/>
    <w:rsid w:val="00AB3D7E"/>
    <w:rsid w:val="00AB41C2"/>
    <w:rsid w:val="00AB47EB"/>
    <w:rsid w:val="00AB6BAC"/>
    <w:rsid w:val="00AC133F"/>
    <w:rsid w:val="00AC1804"/>
    <w:rsid w:val="00AC203A"/>
    <w:rsid w:val="00AC3A7F"/>
    <w:rsid w:val="00AC3F6B"/>
    <w:rsid w:val="00AC4F9F"/>
    <w:rsid w:val="00AC5CE5"/>
    <w:rsid w:val="00AD0888"/>
    <w:rsid w:val="00AD1D01"/>
    <w:rsid w:val="00AD1E2D"/>
    <w:rsid w:val="00AD1F08"/>
    <w:rsid w:val="00AD3001"/>
    <w:rsid w:val="00AD3320"/>
    <w:rsid w:val="00AD3813"/>
    <w:rsid w:val="00AD5564"/>
    <w:rsid w:val="00AD5AEF"/>
    <w:rsid w:val="00AD650A"/>
    <w:rsid w:val="00AD6970"/>
    <w:rsid w:val="00AD6D0B"/>
    <w:rsid w:val="00AE1B18"/>
    <w:rsid w:val="00AE1C5D"/>
    <w:rsid w:val="00AE2D84"/>
    <w:rsid w:val="00AE5DCA"/>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233B"/>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1D15"/>
    <w:rsid w:val="00B839CF"/>
    <w:rsid w:val="00B83BA9"/>
    <w:rsid w:val="00B8767A"/>
    <w:rsid w:val="00B900B0"/>
    <w:rsid w:val="00B91AB4"/>
    <w:rsid w:val="00B91B80"/>
    <w:rsid w:val="00B938A4"/>
    <w:rsid w:val="00B945CD"/>
    <w:rsid w:val="00BA005B"/>
    <w:rsid w:val="00BA02A9"/>
    <w:rsid w:val="00BA04C9"/>
    <w:rsid w:val="00BA0B3A"/>
    <w:rsid w:val="00BA3CB5"/>
    <w:rsid w:val="00BA4FB2"/>
    <w:rsid w:val="00BA5C81"/>
    <w:rsid w:val="00BB09A4"/>
    <w:rsid w:val="00BB0D4B"/>
    <w:rsid w:val="00BB2AA1"/>
    <w:rsid w:val="00BB409A"/>
    <w:rsid w:val="00BB49FE"/>
    <w:rsid w:val="00BB5E97"/>
    <w:rsid w:val="00BB6B55"/>
    <w:rsid w:val="00BB781F"/>
    <w:rsid w:val="00BB791E"/>
    <w:rsid w:val="00BB7D13"/>
    <w:rsid w:val="00BC2461"/>
    <w:rsid w:val="00BC31ED"/>
    <w:rsid w:val="00BC3B92"/>
    <w:rsid w:val="00BC4BCE"/>
    <w:rsid w:val="00BC55F3"/>
    <w:rsid w:val="00BC6B7B"/>
    <w:rsid w:val="00BC6C7F"/>
    <w:rsid w:val="00BD01AB"/>
    <w:rsid w:val="00BD1E65"/>
    <w:rsid w:val="00BD223E"/>
    <w:rsid w:val="00BD26FE"/>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5DD1"/>
    <w:rsid w:val="00BF7718"/>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0669"/>
    <w:rsid w:val="00C4239A"/>
    <w:rsid w:val="00C43598"/>
    <w:rsid w:val="00C4391C"/>
    <w:rsid w:val="00C46A86"/>
    <w:rsid w:val="00C47186"/>
    <w:rsid w:val="00C545DE"/>
    <w:rsid w:val="00C54711"/>
    <w:rsid w:val="00C549E5"/>
    <w:rsid w:val="00C54CB6"/>
    <w:rsid w:val="00C55754"/>
    <w:rsid w:val="00C55B5E"/>
    <w:rsid w:val="00C565FD"/>
    <w:rsid w:val="00C6023B"/>
    <w:rsid w:val="00C62A75"/>
    <w:rsid w:val="00C64B33"/>
    <w:rsid w:val="00C6689D"/>
    <w:rsid w:val="00C67ECD"/>
    <w:rsid w:val="00C717AB"/>
    <w:rsid w:val="00C71E1B"/>
    <w:rsid w:val="00C728A4"/>
    <w:rsid w:val="00C72B19"/>
    <w:rsid w:val="00C7359F"/>
    <w:rsid w:val="00C73D17"/>
    <w:rsid w:val="00C741C4"/>
    <w:rsid w:val="00C75472"/>
    <w:rsid w:val="00C76B96"/>
    <w:rsid w:val="00C76C91"/>
    <w:rsid w:val="00C76D86"/>
    <w:rsid w:val="00C80EA9"/>
    <w:rsid w:val="00C819AC"/>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6A92"/>
    <w:rsid w:val="00CB7D0C"/>
    <w:rsid w:val="00CC014E"/>
    <w:rsid w:val="00CC041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4015"/>
    <w:rsid w:val="00CE5867"/>
    <w:rsid w:val="00CE6538"/>
    <w:rsid w:val="00CF0492"/>
    <w:rsid w:val="00CF2698"/>
    <w:rsid w:val="00CF2862"/>
    <w:rsid w:val="00CF5149"/>
    <w:rsid w:val="00CF6417"/>
    <w:rsid w:val="00D006D4"/>
    <w:rsid w:val="00D01213"/>
    <w:rsid w:val="00D01602"/>
    <w:rsid w:val="00D01F10"/>
    <w:rsid w:val="00D039FD"/>
    <w:rsid w:val="00D06E88"/>
    <w:rsid w:val="00D14143"/>
    <w:rsid w:val="00D15569"/>
    <w:rsid w:val="00D16593"/>
    <w:rsid w:val="00D21AD5"/>
    <w:rsid w:val="00D21E93"/>
    <w:rsid w:val="00D23FE0"/>
    <w:rsid w:val="00D240BE"/>
    <w:rsid w:val="00D254A6"/>
    <w:rsid w:val="00D26AF0"/>
    <w:rsid w:val="00D32063"/>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83A"/>
    <w:rsid w:val="00D52DED"/>
    <w:rsid w:val="00D54DE9"/>
    <w:rsid w:val="00D552E7"/>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59CE"/>
    <w:rsid w:val="00DB78F3"/>
    <w:rsid w:val="00DC0B05"/>
    <w:rsid w:val="00DC2FC2"/>
    <w:rsid w:val="00DC3BAA"/>
    <w:rsid w:val="00DC5CB1"/>
    <w:rsid w:val="00DC76AA"/>
    <w:rsid w:val="00DD0FBF"/>
    <w:rsid w:val="00DD1B37"/>
    <w:rsid w:val="00DD3276"/>
    <w:rsid w:val="00DD3AE5"/>
    <w:rsid w:val="00DD7048"/>
    <w:rsid w:val="00DD74B9"/>
    <w:rsid w:val="00DE5A8C"/>
    <w:rsid w:val="00DE5DD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1FB2"/>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342"/>
    <w:rsid w:val="00E41F6A"/>
    <w:rsid w:val="00E421D5"/>
    <w:rsid w:val="00E511BA"/>
    <w:rsid w:val="00E5226A"/>
    <w:rsid w:val="00E53258"/>
    <w:rsid w:val="00E542FE"/>
    <w:rsid w:val="00E54A23"/>
    <w:rsid w:val="00E56504"/>
    <w:rsid w:val="00E574E7"/>
    <w:rsid w:val="00E57AE5"/>
    <w:rsid w:val="00E600FF"/>
    <w:rsid w:val="00E615B8"/>
    <w:rsid w:val="00E64463"/>
    <w:rsid w:val="00E64AEB"/>
    <w:rsid w:val="00E656C2"/>
    <w:rsid w:val="00E65C39"/>
    <w:rsid w:val="00E675AA"/>
    <w:rsid w:val="00E70601"/>
    <w:rsid w:val="00E710CD"/>
    <w:rsid w:val="00E7295C"/>
    <w:rsid w:val="00E7394B"/>
    <w:rsid w:val="00E7461C"/>
    <w:rsid w:val="00E75940"/>
    <w:rsid w:val="00E75C40"/>
    <w:rsid w:val="00E76411"/>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A7F95"/>
    <w:rsid w:val="00EB04B6"/>
    <w:rsid w:val="00EB3BF4"/>
    <w:rsid w:val="00EB3D76"/>
    <w:rsid w:val="00EB4A19"/>
    <w:rsid w:val="00EB4C44"/>
    <w:rsid w:val="00EB5601"/>
    <w:rsid w:val="00EB57A4"/>
    <w:rsid w:val="00EB6913"/>
    <w:rsid w:val="00EC0E23"/>
    <w:rsid w:val="00EC1C8E"/>
    <w:rsid w:val="00EC3289"/>
    <w:rsid w:val="00EC65D1"/>
    <w:rsid w:val="00EC6F03"/>
    <w:rsid w:val="00ED27C3"/>
    <w:rsid w:val="00ED2D5A"/>
    <w:rsid w:val="00ED4D7A"/>
    <w:rsid w:val="00ED63A0"/>
    <w:rsid w:val="00ED7A59"/>
    <w:rsid w:val="00EE1391"/>
    <w:rsid w:val="00EE28C6"/>
    <w:rsid w:val="00EE6741"/>
    <w:rsid w:val="00EF2083"/>
    <w:rsid w:val="00EF3278"/>
    <w:rsid w:val="00EF3501"/>
    <w:rsid w:val="00EF3D5D"/>
    <w:rsid w:val="00EF69C1"/>
    <w:rsid w:val="00EF710B"/>
    <w:rsid w:val="00F002F1"/>
    <w:rsid w:val="00F006A8"/>
    <w:rsid w:val="00F01480"/>
    <w:rsid w:val="00F026E3"/>
    <w:rsid w:val="00F02A6F"/>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23B1"/>
    <w:rsid w:val="00F540E1"/>
    <w:rsid w:val="00F565D0"/>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1EE5"/>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2ABE"/>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EF995"/>
  <w15:docId w15:val="{F2CDC26A-8893-4B31-9537-9564843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235DE1"/>
    <w:pPr>
      <w:keepNext/>
      <w:spacing w:after="0"/>
      <w:ind w:left="851" w:hanging="851"/>
    </w:pPr>
    <w:rPr>
      <w:sz w:val="16"/>
      <w:szCs w:val="18"/>
    </w:rPr>
  </w:style>
  <w:style w:type="character" w:customStyle="1" w:styleId="BijschriftChar">
    <w:name w:val="Bijschrift Char"/>
    <w:aliases w:val="Figur/Tabell-Nr Char"/>
    <w:basedOn w:val="Standaardalinea-lettertype"/>
    <w:link w:val="Bijschrift"/>
    <w:rsid w:val="00235DE1"/>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G Times" w:hAnsi="CG Times"/>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117530265">
          <w:marLeft w:val="0"/>
          <w:marRight w:val="0"/>
          <w:marTop w:val="0"/>
          <w:marBottom w:val="0"/>
          <w:divBdr>
            <w:top w:val="none" w:sz="0" w:space="0" w:color="auto"/>
            <w:left w:val="none" w:sz="0" w:space="0" w:color="auto"/>
            <w:bottom w:val="none" w:sz="0" w:space="0" w:color="auto"/>
            <w:right w:val="none" w:sz="0" w:space="0" w:color="auto"/>
          </w:divBdr>
        </w:div>
        <w:div w:id="413016343">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774595519">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 w:id="1944335058">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3916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4619</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subject/>
  <dc:creator>VAN RYCKEGEM, Gunther</dc:creator>
  <cp:keywords/>
  <dc:description/>
  <cp:lastModifiedBy>VANOVERBEKE, Joost</cp:lastModifiedBy>
  <cp:revision>2</cp:revision>
  <cp:lastPrinted>2024-09-26T11:32:00Z</cp:lastPrinted>
  <dcterms:created xsi:type="dcterms:W3CDTF">2024-09-30T08:10:00Z</dcterms:created>
  <dcterms:modified xsi:type="dcterms:W3CDTF">2024-09-30T08:10:00Z</dcterms:modified>
</cp:coreProperties>
</file>