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EA9B7" w14:textId="77777777" w:rsidR="00EA4FF3" w:rsidRDefault="00000000">
      <w:pPr>
        <w:spacing w:after="36"/>
      </w:pPr>
      <w:r>
        <w:rPr>
          <w:rFonts w:ascii="Calibri" w:eastAsia="Calibri" w:hAnsi="Calibri" w:cs="Calibri"/>
          <w:b/>
          <w:bCs/>
          <w:color w:val="1A1A2E"/>
          <w:sz w:val="52"/>
          <w:szCs w:val="52"/>
        </w:rPr>
        <w:t>AMIT DIXIT</w:t>
      </w:r>
    </w:p>
    <w:p w14:paraId="506195AA" w14:textId="74E295A1" w:rsidR="00EA4FF3" w:rsidRDefault="005769E2">
      <w:pPr>
        <w:spacing w:after="60"/>
      </w:pPr>
      <w:r>
        <w:rPr>
          <w:rFonts w:ascii="Calibri" w:eastAsia="Calibri" w:hAnsi="Calibri" w:cs="Calibri"/>
          <w:color w:val="1A6B72"/>
          <w:sz w:val="23"/>
          <w:szCs w:val="23"/>
        </w:rPr>
        <w:t>Growth &amp;</w:t>
      </w:r>
      <w:r w:rsidR="00000000">
        <w:rPr>
          <w:rFonts w:ascii="Calibri" w:eastAsia="Calibri" w:hAnsi="Calibri" w:cs="Calibri"/>
          <w:color w:val="1A6B72"/>
          <w:sz w:val="23"/>
          <w:szCs w:val="23"/>
        </w:rPr>
        <w:t xml:space="preserve"> Presales  ·  Cloud &amp; Data Modernisation  ·  GenAI / Agentic AI</w:t>
      </w:r>
    </w:p>
    <w:p w14:paraId="4AB77FD6" w14:textId="77777777" w:rsidR="00EA4FF3" w:rsidRDefault="00000000">
      <w:r>
        <w:rPr>
          <w:rFonts w:ascii="Calibri" w:eastAsia="Calibri" w:hAnsi="Calibri" w:cs="Calibri"/>
          <w:color w:val="555555"/>
          <w:sz w:val="18"/>
          <w:szCs w:val="18"/>
        </w:rPr>
        <w:t xml:space="preserve">📍 Reading, UK  |  +44 772-115-9703  |  inbravo@outlook.com  |  </w:t>
      </w:r>
      <w:hyperlink r:id="rId5" w:history="1">
        <w:r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linkedin.com/in/inbravo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github.com/inbravo</w:t>
        </w:r>
      </w:hyperlink>
    </w:p>
    <w:p w14:paraId="7CB00FDA" w14:textId="77777777" w:rsidR="00EA4FF3" w:rsidRDefault="00EA4FF3">
      <w:pPr>
        <w:spacing w:after="16"/>
      </w:pPr>
    </w:p>
    <w:p w14:paraId="095D199B" w14:textId="77777777" w:rsidR="00EA4FF3" w:rsidRDefault="00EA4FF3">
      <w:pPr>
        <w:pBdr>
          <w:bottom w:val="single" w:sz="12" w:space="1" w:color="1A6B72"/>
        </w:pBdr>
      </w:pPr>
    </w:p>
    <w:p w14:paraId="53AC0914" w14:textId="77777777" w:rsidR="00EA4FF3" w:rsidRDefault="00EA4FF3">
      <w:pPr>
        <w:spacing w:after="40"/>
      </w:pPr>
    </w:p>
    <w:p w14:paraId="09E51FD5" w14:textId="77777777" w:rsidR="00EA4FF3" w:rsidRDefault="00000000">
      <w:pPr>
        <w:pBdr>
          <w:bottom w:val="single" w:sz="8" w:space="4" w:color="1A6B72"/>
        </w:pBdr>
        <w:spacing w:before="240" w:after="80"/>
      </w:pPr>
      <w:r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EXECUTIVE SUMMARY</w:t>
      </w:r>
    </w:p>
    <w:p w14:paraId="3602E082" w14:textId="5B0DE871" w:rsidR="00EA4FF3" w:rsidRDefault="00000000" w:rsidP="00DE5265">
      <w:pPr>
        <w:spacing w:before="80" w:after="100"/>
        <w:jc w:val="both"/>
      </w:pPr>
      <w:r>
        <w:rPr>
          <w:rFonts w:ascii="Calibri" w:eastAsia="Calibri" w:hAnsi="Calibri" w:cs="Calibri"/>
          <w:color w:val="555555"/>
          <w:sz w:val="19"/>
          <w:szCs w:val="19"/>
        </w:rPr>
        <w:t>Results-driven Presales leader with 20+ years across enterprise architecture, cloud transformation, and data engineering. Specialist in legacy estate exits — SAS, Teradata/Netezza EDW, DataStage/Informatica ETL, Mainframe/COBOL — and GenAI/Agentic AI for regulated enterprises. Founding member of Impetus' Context Engineering initiative, focused on semantic-first AI adoption in Tier-1 banks. Trusted advisor to C-suite at Barclays, HSBC, Swisscom, and Danske Bank. Active open-source contributor</w:t>
      </w:r>
      <w:r w:rsidR="00DE5265">
        <w:rPr>
          <w:rFonts w:ascii="Calibri" w:eastAsia="Calibri" w:hAnsi="Calibri" w:cs="Calibri"/>
          <w:color w:val="555555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555555"/>
          <w:sz w:val="19"/>
          <w:szCs w:val="19"/>
        </w:rPr>
        <w:t>on GitHub.</w:t>
      </w:r>
    </w:p>
    <w:p w14:paraId="276BA28F" w14:textId="339CA4DF" w:rsidR="00EA4FF3" w:rsidRDefault="00000000">
      <w:pPr>
        <w:pBdr>
          <w:bottom w:val="single" w:sz="8" w:space="4" w:color="1A6B72"/>
        </w:pBdr>
        <w:spacing w:before="240" w:after="80"/>
      </w:pPr>
      <w:r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 xml:space="preserve">CURRENT FOCUS — 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A4FF3" w14:paraId="1B1EAAD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8" w:space="0" w:color="1A6B72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481ECA" w14:textId="77777777" w:rsidR="00EA4FF3" w:rsidRDefault="00000000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>Founding Member, Context Engineering Initiative  ·  Impetus Technologies</w:t>
            </w:r>
            <w:r>
              <w:rPr>
                <w:rFonts w:ascii="Calibri" w:eastAsia="Calibri" w:hAnsi="Calibri" w:cs="Calibri"/>
                <w:color w:val="1A6B72"/>
                <w:sz w:val="18"/>
                <w:szCs w:val="18"/>
              </w:rPr>
              <w:t xml:space="preserve">   [Growth &amp; Presales]</w:t>
            </w:r>
          </w:p>
          <w:p w14:paraId="54D2193A" w14:textId="77777777" w:rsidR="00EA4FF3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Solving the two problems that quietly block enterprise AI in Tier-1 banks: context you can't trust, and estates too brittle to modernise.</w:t>
            </w:r>
          </w:p>
        </w:tc>
      </w:tr>
    </w:tbl>
    <w:p w14:paraId="028D2C70" w14:textId="77777777" w:rsidR="00EA4FF3" w:rsidRDefault="00EA4FF3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200"/>
        <w:gridCol w:w="4600"/>
      </w:tblGrid>
      <w:tr w:rsidR="00EA4FF3" w14:paraId="0C74AF58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E83D9" w14:textId="77777777" w:rsidR="00EA4FF3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Composite Semantic Layers</w:t>
            </w:r>
          </w:p>
          <w:p w14:paraId="654520C1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Coordinating semantically-driven artifacts across heterogeneous estates rather than chasing the universal semantic layer. OSI compliance as a non-negotiable evaluation criterion for any target architecture from 2026.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80685B9" w14:textId="77777777" w:rsidR="00EA4FF3" w:rsidRDefault="00EA4FF3"/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4DC7B" w14:textId="77777777" w:rsidR="00EA4FF3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Portability</w:t>
            </w:r>
          </w:p>
          <w:p w14:paraId="75CB1F17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Designing exit-readiness into vendor-managed semantic layers before migration commits, not after. Snowflake Cortex, Databricks Unity Catalog, Google Agentic Data Cloud — new labels, familiar lock-in trap.</w:t>
            </w:r>
          </w:p>
        </w:tc>
      </w:tr>
      <w:tr w:rsidR="00EA4FF3" w14:paraId="7BE33DD0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776B5A" w14:textId="77777777" w:rsidR="00EA4FF3" w:rsidRDefault="00EA4FF3">
            <w:pPr>
              <w:spacing w:after="8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5E583A" w14:textId="77777777" w:rsidR="00EA4FF3" w:rsidRDefault="00EA4FF3"/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6B7E91" w14:textId="77777777" w:rsidR="00EA4FF3" w:rsidRDefault="00EA4FF3">
            <w:pPr>
              <w:spacing w:after="80"/>
            </w:pPr>
          </w:p>
        </w:tc>
      </w:tr>
      <w:tr w:rsidR="00EA4FF3" w14:paraId="17BB7B5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75D28" w14:textId="77777777" w:rsidR="00EA4FF3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Observability</w:t>
            </w:r>
          </w:p>
          <w:p w14:paraId="164DA678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Detecting semantic drift in agent-interpreted business logic before it surfaces as a BCBS 239 / Principle 2 breach. Auditors don't accept 'the model seemed confident'.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F80264" w14:textId="77777777" w:rsidR="00EA4FF3" w:rsidRDefault="00EA4FF3"/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08408" w14:textId="77777777" w:rsidR="00EA4FF3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Semantic-first Agentic AI + MCP/A2A</w:t>
            </w:r>
          </w:p>
          <w:p w14:paraId="4155E83E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Agent-ready target architectures where governed semantic models are the query surface, not raw tables. Vertical (MCP) and horizontal (A2A) agent protocol adoption in BCBS 239-compliant regulated estates.</w:t>
            </w:r>
          </w:p>
        </w:tc>
      </w:tr>
    </w:tbl>
    <w:p w14:paraId="0E77E398" w14:textId="77777777" w:rsidR="00EA4FF3" w:rsidRDefault="00000000">
      <w:pPr>
        <w:pBdr>
          <w:bottom w:val="single" w:sz="8" w:space="4" w:color="1A6B72"/>
        </w:pBdr>
        <w:spacing w:before="240" w:after="80"/>
      </w:pPr>
      <w:r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KEY ACHIEVEMENTS</w:t>
      </w:r>
    </w:p>
    <w:p w14:paraId="28630507" w14:textId="77777777" w:rsidR="00EA4FF3" w:rsidRDefault="00EA4FF3">
      <w:pPr>
        <w:spacing w:after="4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8"/>
        <w:gridCol w:w="140"/>
        <w:gridCol w:w="2978"/>
        <w:gridCol w:w="142"/>
        <w:gridCol w:w="3138"/>
        <w:gridCol w:w="80"/>
      </w:tblGrid>
      <w:tr w:rsidR="00D96DFA" w14:paraId="30C38292" w14:textId="77777777" w:rsidTr="005A784E">
        <w:tblPrEx>
          <w:tblCellMar>
            <w:top w:w="0" w:type="dxa"/>
            <w:bottom w:w="0" w:type="dxa"/>
          </w:tblCellMar>
        </w:tblPrEx>
        <w:tc>
          <w:tcPr>
            <w:tcW w:w="167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4A9F7" w14:textId="77777777" w:rsidR="00D96DFA" w:rsidRDefault="00D96DFA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$1.5M</w:t>
            </w:r>
          </w:p>
          <w:p w14:paraId="08B9736D" w14:textId="202F0D38" w:rsidR="00D96DFA" w:rsidRDefault="00D96DFA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Databricks DCIF partner funding — highest </w:t>
            </w:r>
            <w:r w:rsidR="00D23F2E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awarded to Impetus</w:t>
            </w:r>
          </w:p>
        </w:tc>
        <w:tc>
          <w:tcPr>
            <w:tcW w:w="7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8DD877" w14:textId="77777777" w:rsidR="00D96DFA" w:rsidRDefault="00D96DFA"/>
        </w:tc>
        <w:tc>
          <w:tcPr>
            <w:tcW w:w="15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62C17" w14:textId="77777777" w:rsidR="00D96DFA" w:rsidRDefault="00D96DFA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$500K</w:t>
            </w:r>
          </w:p>
          <w:p w14:paraId="48C6468C" w14:textId="77777777" w:rsidR="00D96DFA" w:rsidRDefault="00D96DFA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AWS MAP partner funding secured for cloud migrations</w:t>
            </w:r>
          </w:p>
        </w:tc>
        <w:tc>
          <w:tcPr>
            <w:tcW w:w="7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8D3AAE" w14:textId="77777777" w:rsidR="00D96DFA" w:rsidRDefault="00D96DFA"/>
        </w:tc>
        <w:tc>
          <w:tcPr>
            <w:tcW w:w="16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10C8A" w14:textId="77777777" w:rsidR="00D96DFA" w:rsidRDefault="00D96DFA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£8M</w:t>
            </w:r>
          </w:p>
          <w:p w14:paraId="3B1AD031" w14:textId="77777777" w:rsidR="00D96DFA" w:rsidRDefault="00D96DFA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Largest deal closed; avg. deal size ~£1.5M</w:t>
            </w:r>
          </w:p>
        </w:tc>
        <w:tc>
          <w:tcPr>
            <w:tcW w:w="4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B1BB46" w14:textId="77777777" w:rsidR="00D96DFA" w:rsidRDefault="00D96DFA"/>
        </w:tc>
      </w:tr>
      <w:tr w:rsidR="005A784E" w14:paraId="04C76E4A" w14:textId="77777777" w:rsidTr="005A784E">
        <w:tblPrEx>
          <w:tblCellMar>
            <w:top w:w="0" w:type="dxa"/>
            <w:bottom w:w="0" w:type="dxa"/>
          </w:tblCellMar>
        </w:tblPrEx>
        <w:tc>
          <w:tcPr>
            <w:tcW w:w="4958" w:type="pct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A8CEC" w14:textId="38BFE529" w:rsidR="005A784E" w:rsidRDefault="005A784E">
            <w:pPr>
              <w:spacing w:after="30"/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</w:pPr>
            <w:r>
              <w:rPr>
                <w:rFonts w:ascii="Calibri" w:eastAsia="Calibri" w:hAnsi="Calibri" w:cs="Calibri"/>
                <w:b/>
                <w:bCs/>
                <w:color w:val="3C3489"/>
                <w:sz w:val="19"/>
                <w:szCs w:val="19"/>
              </w:rPr>
              <w:t>Founding Member, Impetus Presales Practice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— Built the presales function from scratch; established presales processes, asset development, and proposal governance; grew from </w:t>
            </w:r>
            <w:r w:rsidR="00F22A30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2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to 1</w:t>
            </w:r>
            <w:r w:rsidR="00860498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3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members as a fully formalised practice.</w:t>
            </w:r>
          </w:p>
        </w:tc>
        <w:tc>
          <w:tcPr>
            <w:tcW w:w="4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CD306C" w14:textId="77777777" w:rsidR="005A784E" w:rsidRDefault="005A784E"/>
        </w:tc>
      </w:tr>
    </w:tbl>
    <w:p w14:paraId="5774DF39" w14:textId="0511633F" w:rsidR="00EA4FF3" w:rsidRDefault="00000000">
      <w:pPr>
        <w:pBdr>
          <w:bottom w:val="single" w:sz="8" w:space="4" w:color="1A6B72"/>
        </w:pBdr>
        <w:spacing w:before="240" w:after="80"/>
      </w:pPr>
      <w:r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14:paraId="13124166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A472C9" w14:textId="77777777" w:rsidR="00EA4FF3" w:rsidRDefault="00000000">
            <w:pPr>
              <w:spacing w:before="140" w:after="16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Lead Presales Architect / Senior Solutions Architect</w:t>
            </w:r>
            <w:r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74D46421" w14:textId="77777777" w:rsidR="00EA4FF3" w:rsidRDefault="00000000">
            <w:pPr>
              <w:spacing w:before="140" w:after="16"/>
              <w:jc w:val="right"/>
            </w:pPr>
            <w:r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Dec 2009 – Present</w:t>
            </w:r>
          </w:p>
        </w:tc>
      </w:tr>
    </w:tbl>
    <w:p w14:paraId="3E639FD3" w14:textId="77777777" w:rsidR="00EA4FF3" w:rsidRDefault="00000000">
      <w:pPr>
        <w:spacing w:before="80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>Presales Leadership — EMEA</w:t>
      </w:r>
    </w:p>
    <w:p w14:paraId="0EF73D38" w14:textId="03894465" w:rsidR="00EA4FF3" w:rsidRDefault="0026451A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>Leading</w:t>
      </w:r>
      <w:r w:rsidR="00000000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EMEA presales on cloud modernisation, data engineering, and GenAI/Agentic AI; </w:t>
      </w:r>
      <w:r w:rsidR="00000000">
        <w:rPr>
          <w:rFonts w:ascii="Calibri" w:eastAsia="Calibri" w:hAnsi="Calibri" w:cs="Calibri"/>
          <w:color w:val="555555"/>
          <w:sz w:val="19"/>
          <w:szCs w:val="19"/>
        </w:rPr>
        <w:t xml:space="preserve">lead and mentor a presales team of </w:t>
      </w:r>
      <w:r w:rsidR="00C34628">
        <w:rPr>
          <w:rFonts w:ascii="Calibri" w:eastAsia="Calibri" w:hAnsi="Calibri" w:cs="Calibri"/>
          <w:color w:val="555555"/>
          <w:sz w:val="19"/>
          <w:szCs w:val="19"/>
        </w:rPr>
        <w:t>3</w:t>
      </w:r>
    </w:p>
    <w:p w14:paraId="3DF43F79" w14:textId="476459CF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Secured </w:t>
      </w:r>
      <w:r w:rsidR="005C0083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the </w:t>
      </w:r>
      <w:r w:rsidR="0026208B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highest of </w:t>
      </w: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$1.5M Databricks DCIF and $500K AWS MAP partner funding; </w:t>
      </w:r>
      <w:r>
        <w:rPr>
          <w:rFonts w:ascii="Calibri" w:eastAsia="Calibri" w:hAnsi="Calibri" w:cs="Calibri"/>
          <w:color w:val="555555"/>
          <w:sz w:val="19"/>
          <w:szCs w:val="19"/>
        </w:rPr>
        <w:t>largest single deal £8M; average deal size ~£1.5M</w:t>
      </w:r>
    </w:p>
    <w:p w14:paraId="5E33CC4A" w14:textId="584417AD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Drive GTM with AWS, Databricks, and Microsoft; </w:t>
      </w:r>
      <w:r>
        <w:rPr>
          <w:rFonts w:ascii="Calibri" w:eastAsia="Calibri" w:hAnsi="Calibri" w:cs="Calibri"/>
          <w:color w:val="555555"/>
          <w:sz w:val="19"/>
          <w:szCs w:val="19"/>
        </w:rPr>
        <w:t>own Partner Funding Programmes (MAP/D2E, ECIF)</w:t>
      </w:r>
    </w:p>
    <w:p w14:paraId="043109BB" w14:textId="77777777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Govern full proposal cycle: RFP/RFI/SOW/MSA/DPA; </w:t>
      </w:r>
      <w:r>
        <w:rPr>
          <w:rFonts w:ascii="Calibri" w:eastAsia="Calibri" w:hAnsi="Calibri" w:cs="Calibri"/>
          <w:color w:val="555555"/>
          <w:sz w:val="19"/>
          <w:szCs w:val="19"/>
        </w:rPr>
        <w:t>active conference speaker and presales asset author</w:t>
      </w:r>
    </w:p>
    <w:p w14:paraId="684EEC0D" w14:textId="77777777" w:rsidR="00EA4FF3" w:rsidRDefault="00000000">
      <w:pPr>
        <w:spacing w:before="80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>Context Engineering &amp; Solution Architecture</w:t>
      </w:r>
    </w:p>
    <w:p w14:paraId="36C29381" w14:textId="391008E4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Founding member of Impetus' Context Engineering initiative — </w:t>
      </w:r>
      <w:r>
        <w:rPr>
          <w:rFonts w:ascii="Calibri" w:eastAsia="Calibri" w:hAnsi="Calibri" w:cs="Calibri"/>
          <w:color w:val="555555"/>
          <w:sz w:val="19"/>
          <w:szCs w:val="19"/>
        </w:rPr>
        <w:t>presales lead for semantic layer, agentic AI, and MCP/A2A propositions targeting Tier-1 European banks</w:t>
      </w:r>
    </w:p>
    <w:p w14:paraId="61A17B1A" w14:textId="77777777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lastRenderedPageBreak/>
        <w:t xml:space="preserve">Architect legacy estate exits: </w:t>
      </w:r>
      <w:r>
        <w:rPr>
          <w:rFonts w:ascii="Calibri" w:eastAsia="Calibri" w:hAnsi="Calibri" w:cs="Calibri"/>
          <w:color w:val="555555"/>
          <w:sz w:val="19"/>
          <w:szCs w:val="19"/>
        </w:rPr>
        <w:t>SAS → Databricks/Snowflake; Teradata/Netezza/Oracle EDW; DataStage/Informatica/ODI ETL; Mainframe/COBOL/JCL → agent-consumable services</w:t>
      </w:r>
    </w:p>
    <w:p w14:paraId="0AFC79FA" w14:textId="77777777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Design BCBS 239 / RegTech solutions: </w:t>
      </w:r>
      <w:r>
        <w:rPr>
          <w:rFonts w:ascii="Calibri" w:eastAsia="Calibri" w:hAnsi="Calibri" w:cs="Calibri"/>
          <w:color w:val="555555"/>
          <w:sz w:val="19"/>
          <w:szCs w:val="19"/>
        </w:rPr>
        <w:t>machine-readable lineage contracts, semantic observability, Basel III/IV, FRTB, CRR3, COREP for regulated estates</w:t>
      </w:r>
    </w:p>
    <w:p w14:paraId="12E02405" w14:textId="77777777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Built and open-sourced a Python/LangChain RAG bot </w:t>
      </w:r>
      <w:r>
        <w:rPr>
          <w:rFonts w:ascii="Calibri" w:eastAsia="Calibri" w:hAnsi="Calibri" w:cs="Calibri"/>
          <w:color w:val="555555"/>
          <w:sz w:val="19"/>
          <w:szCs w:val="19"/>
        </w:rPr>
        <w:t>(Chroma vector store, multi-LLM: Ollama, GPT, Claude) for enterprise knowledge management</w:t>
      </w:r>
    </w:p>
    <w:p w14:paraId="17F04AA9" w14:textId="77777777" w:rsidR="00EA4FF3" w:rsidRDefault="00EA4FF3">
      <w:pPr>
        <w:spacing w:after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14:paraId="50A73578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6CF4DB" w14:textId="77777777" w:rsidR="00EA4FF3" w:rsidRDefault="00000000">
            <w:pPr>
              <w:spacing w:before="140" w:after="16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Technical Lead</w:t>
            </w:r>
            <w:r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  Tavant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6FA6FFF" w14:textId="77777777" w:rsidR="00EA4FF3" w:rsidRDefault="00000000">
            <w:pPr>
              <w:spacing w:before="140" w:after="16"/>
              <w:jc w:val="right"/>
            </w:pPr>
            <w:r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Oct 2008 – Dec 2009</w:t>
            </w:r>
          </w:p>
        </w:tc>
      </w:tr>
    </w:tbl>
    <w:p w14:paraId="39BB2066" w14:textId="2A2CC55E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>Led design, development</w:t>
      </w:r>
      <w:r w:rsidR="001644BF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of a set-top box advertisement platform for a DVR </w:t>
      </w:r>
      <w:hyperlink r:id="rId7" w:history="1">
        <w:r w:rsidRPr="001E2CD3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5AD6C0CB" w14:textId="77777777" w:rsidR="00EA4FF3" w:rsidRDefault="00EA4FF3">
      <w:pPr>
        <w:spacing w:after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14:paraId="67082C78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AF207B" w14:textId="77777777" w:rsidR="00EA4FF3" w:rsidRDefault="00000000">
            <w:pPr>
              <w:spacing w:before="140" w:after="16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Senior Software Engineer</w:t>
            </w:r>
            <w:r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87E0EBD" w14:textId="77777777" w:rsidR="00EA4FF3" w:rsidRDefault="00000000">
            <w:pPr>
              <w:spacing w:before="140" w:after="16"/>
              <w:jc w:val="right"/>
            </w:pPr>
            <w:r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Mar 2005 – Oct 2008</w:t>
            </w:r>
          </w:p>
        </w:tc>
      </w:tr>
    </w:tbl>
    <w:p w14:paraId="3F9EE032" w14:textId="74670DBC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>Designed carrier-grade DNS solutions for internet telephony, number portability, and number pooling</w:t>
      </w:r>
      <w:r w:rsidR="00D30E58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hyperlink r:id="rId8" w:history="1">
        <w:r w:rsidR="00D30E58" w:rsidRPr="00D30E58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4D0BA785" w14:textId="77777777" w:rsidR="00EA4FF3" w:rsidRDefault="00EA4FF3">
      <w:pPr>
        <w:spacing w:after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14:paraId="5E66AF02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266C7C" w14:textId="103A5E5E" w:rsidR="00EA4FF3" w:rsidRDefault="00000000">
            <w:pPr>
              <w:spacing w:before="140" w:after="16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Software Engineer</w:t>
            </w:r>
            <w:r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  Sunup Digital Systems (acq. </w:t>
            </w:r>
            <w:hyperlink r:id="rId9" w:history="1">
              <w:r w:rsidRPr="00047DF5">
                <w:rPr>
                  <w:rStyle w:val="Hyperlink"/>
                  <w:rFonts w:ascii="Calibri" w:eastAsia="Calibri" w:hAnsi="Calibri" w:cs="Calibri"/>
                  <w:sz w:val="19"/>
                  <w:szCs w:val="19"/>
                </w:rPr>
                <w:t>Motorola Mobility</w:t>
              </w:r>
            </w:hyperlink>
            <w:r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)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41CC2B8" w14:textId="77777777" w:rsidR="00EA4FF3" w:rsidRDefault="00000000">
            <w:pPr>
              <w:spacing w:before="140" w:after="16"/>
              <w:jc w:val="right"/>
            </w:pPr>
            <w:r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Sep 2004 – Feb 2005</w:t>
            </w:r>
          </w:p>
        </w:tc>
      </w:tr>
    </w:tbl>
    <w:p w14:paraId="2454D956" w14:textId="77777777" w:rsidR="00EA4FF3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>Developed broadcasting domain asset management and customer billing platform</w:t>
      </w:r>
    </w:p>
    <w:p w14:paraId="66228A83" w14:textId="77777777" w:rsidR="00EA4FF3" w:rsidRDefault="00000000">
      <w:pPr>
        <w:pBdr>
          <w:bottom w:val="single" w:sz="8" w:space="4" w:color="1A6B72"/>
        </w:pBdr>
        <w:spacing w:before="240" w:after="80"/>
      </w:pPr>
      <w:r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CORE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A4FF3" w14:paraId="6D2DD9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628AE5D" w14:textId="77777777" w:rsidR="00EA4FF3" w:rsidRDefault="00000000"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Presales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1B5F967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Solution selling, RFP/RFI/SOW/MSA, POC leadership, partner funding (AWS MAP, Databricks DCIF, MS ECIF), GTM strategy</w:t>
            </w:r>
          </w:p>
        </w:tc>
      </w:tr>
      <w:tr w:rsidR="00EA4FF3" w14:paraId="3BE6D6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2FF0CA7" w14:textId="77777777" w:rsidR="00EA4FF3" w:rsidRDefault="00000000"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Context Engineering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D9518D7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Semantic layers, semantic portability &amp; observability, MCP + A2A protocols, knowledge graphs, data contracts, BCBS 239</w:t>
            </w:r>
          </w:p>
        </w:tc>
      </w:tr>
      <w:tr w:rsidR="00EA4FF3" w14:paraId="40B28F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1BE24FE" w14:textId="77777777" w:rsidR="00EA4FF3" w:rsidRDefault="00000000"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Legacy Exit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69DD9A0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SAS, Teradata, Netezza, Oracle EDW, DataStage, Informatica, ODI, Talend, Mainframe/COBOL/JCL → cloud-native</w:t>
            </w:r>
          </w:p>
        </w:tc>
      </w:tr>
      <w:tr w:rsidR="00EA4FF3" w14:paraId="16B4BA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D2C09E5" w14:textId="77777777" w:rsidR="00EA4FF3" w:rsidRDefault="00000000"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Cloud &amp; Data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D84476B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AWS, Azure, Databricks, Snowflake, GCP, Spark, Hadoop, Glue, Redshift — greenfield &amp; modernisation</w:t>
            </w:r>
          </w:p>
        </w:tc>
      </w:tr>
      <w:tr w:rsidR="00EA4FF3" w14:paraId="5EFF03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E6A3A6B" w14:textId="77777777" w:rsidR="00EA4FF3" w:rsidRDefault="00000000"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GenAI / AI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C4FDDDC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LLM, LangChain, RAG, Agentic AI, vector databases (Chroma), semantic-first architectures</w:t>
            </w:r>
          </w:p>
        </w:tc>
      </w:tr>
      <w:tr w:rsidR="00EA4FF3" w14:paraId="252FB9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82BE51E" w14:textId="77777777" w:rsidR="00EA4FF3" w:rsidRDefault="00000000"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Architecture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4701A550" w14:textId="77777777" w:rsidR="00EA4FF3" w:rsidRDefault="00000000"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TOGAF, enterprise &amp; solution architecture, cloud transformation roadmaps, Python, Scala, Java, C++</w:t>
            </w:r>
          </w:p>
        </w:tc>
      </w:tr>
      <w:tr w:rsidR="00EA4FF3" w14:paraId="0FA2B4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2F852E7" w14:textId="77777777" w:rsidR="00EA4FF3" w:rsidRDefault="00000000">
            <w:r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Leadership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B9148CC" w14:textId="5DF00EE1" w:rsidR="00EA4FF3" w:rsidRDefault="00000000"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Presales team management (</w:t>
            </w:r>
            <w:r w:rsidR="00DA6B80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3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FTE), C-suite advisory, </w:t>
            </w:r>
            <w:r w:rsidR="00DA6B80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skill building &amp;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mentoring, executive stakeholder engagement</w:t>
            </w:r>
          </w:p>
        </w:tc>
      </w:tr>
    </w:tbl>
    <w:p w14:paraId="700649EA" w14:textId="77777777" w:rsidR="00EA4FF3" w:rsidRDefault="00EA4FF3">
      <w:pPr>
        <w:spacing w:after="60"/>
      </w:pPr>
    </w:p>
    <w:p w14:paraId="3C4E8773" w14:textId="77777777" w:rsidR="00EA4FF3" w:rsidRDefault="00000000">
      <w:pPr>
        <w:pBdr>
          <w:bottom w:val="single" w:sz="8" w:space="4" w:color="1A6B72"/>
        </w:pBdr>
        <w:spacing w:before="240" w:after="80"/>
      </w:pPr>
      <w:r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CERTIFICATIONS &amp; MEMBERSHIPS</w:t>
      </w:r>
    </w:p>
    <w:p w14:paraId="2BAF20C5" w14:textId="77777777" w:rsidR="00EA4FF3" w:rsidRDefault="00EA4FF3">
      <w:pPr>
        <w:spacing w:after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0"/>
        <w:gridCol w:w="2200"/>
        <w:gridCol w:w="80"/>
        <w:gridCol w:w="2200"/>
        <w:gridCol w:w="80"/>
        <w:gridCol w:w="2620"/>
      </w:tblGrid>
      <w:tr w:rsidR="00EA4FF3" w14:paraId="1E7AE27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888DECF" w14:textId="77777777" w:rsidR="00EA4FF3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TOGAF Certified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D8A2B6" w14:textId="77777777" w:rsidR="00EA4FF3" w:rsidRDefault="00EA4FF3"/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E6EF2A" w14:textId="77777777" w:rsidR="00EA4FF3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AWS Solutions Architect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72104E" w14:textId="77777777" w:rsidR="00EA4FF3" w:rsidRDefault="00EA4FF3"/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E81EFC" w14:textId="77777777" w:rsidR="00EA4FF3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Databricks Migration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F96831" w14:textId="77777777" w:rsidR="00EA4FF3" w:rsidRDefault="00EA4FF3"/>
        </w:tc>
        <w:tc>
          <w:tcPr>
            <w:tcW w:w="262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1ED916" w14:textId="77777777" w:rsidR="00EA4FF3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Azure Fundamentals</w:t>
            </w:r>
          </w:p>
        </w:tc>
      </w:tr>
    </w:tbl>
    <w:p w14:paraId="6B4DE925" w14:textId="77777777" w:rsidR="00EA4FF3" w:rsidRDefault="00EA4FF3">
      <w:pPr>
        <w:spacing w:after="80"/>
      </w:pPr>
    </w:p>
    <w:p w14:paraId="26F61BB4" w14:textId="77777777" w:rsidR="00EA4FF3" w:rsidRDefault="00000000">
      <w:pPr>
        <w:spacing w:before="4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Member — Association of Proposal Management Professionals (APMP)</w:t>
      </w:r>
    </w:p>
    <w:p w14:paraId="4A918FCC" w14:textId="77777777" w:rsidR="00EA4FF3" w:rsidRDefault="00EA4FF3">
      <w:pPr>
        <w:spacing w:after="60"/>
      </w:pPr>
    </w:p>
    <w:p w14:paraId="4D4662EB" w14:textId="77777777" w:rsidR="00EA4FF3" w:rsidRDefault="00000000">
      <w:pPr>
        <w:pBdr>
          <w:bottom w:val="single" w:sz="8" w:space="4" w:color="1A6B72"/>
        </w:pBdr>
        <w:spacing w:before="240" w:after="80"/>
      </w:pPr>
      <w:r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EDUCATION</w:t>
      </w:r>
    </w:p>
    <w:p w14:paraId="204DBB19" w14:textId="77777777" w:rsidR="00EA4FF3" w:rsidRDefault="00000000">
      <w:pPr>
        <w:spacing w:before="80" w:after="40"/>
      </w:pPr>
      <w:r>
        <w:rPr>
          <w:rFonts w:ascii="Calibri" w:eastAsia="Calibri" w:hAnsi="Calibri" w:cs="Calibri"/>
          <w:b/>
          <w:bCs/>
          <w:color w:val="1A1A2E"/>
          <w:sz w:val="19"/>
          <w:szCs w:val="19"/>
        </w:rPr>
        <w:t>B.E. Information Technology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·  CCS University  ·  First Division  ·  2003</w:t>
      </w:r>
    </w:p>
    <w:sectPr w:rsidR="00EA4FF3">
      <w:pgSz w:w="11906" w:h="16838"/>
      <w:pgMar w:top="860" w:right="1080" w:bottom="86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17BFC"/>
    <w:multiLevelType w:val="hybridMultilevel"/>
    <w:tmpl w:val="9F9808AA"/>
    <w:lvl w:ilvl="0" w:tplc="B7E8CF8A">
      <w:start w:val="1"/>
      <w:numFmt w:val="bullet"/>
      <w:lvlText w:val="▸"/>
      <w:lvlJc w:val="left"/>
      <w:pPr>
        <w:ind w:left="360" w:hanging="260"/>
      </w:pPr>
    </w:lvl>
    <w:lvl w:ilvl="1" w:tplc="7184724E">
      <w:numFmt w:val="decimal"/>
      <w:lvlText w:val=""/>
      <w:lvlJc w:val="left"/>
    </w:lvl>
    <w:lvl w:ilvl="2" w:tplc="A2008502">
      <w:numFmt w:val="decimal"/>
      <w:lvlText w:val=""/>
      <w:lvlJc w:val="left"/>
    </w:lvl>
    <w:lvl w:ilvl="3" w:tplc="0AD29034">
      <w:numFmt w:val="decimal"/>
      <w:lvlText w:val=""/>
      <w:lvlJc w:val="left"/>
    </w:lvl>
    <w:lvl w:ilvl="4" w:tplc="8C28785C">
      <w:numFmt w:val="decimal"/>
      <w:lvlText w:val=""/>
      <w:lvlJc w:val="left"/>
    </w:lvl>
    <w:lvl w:ilvl="5" w:tplc="DFC66744">
      <w:numFmt w:val="decimal"/>
      <w:lvlText w:val=""/>
      <w:lvlJc w:val="left"/>
    </w:lvl>
    <w:lvl w:ilvl="6" w:tplc="229E86A0">
      <w:numFmt w:val="decimal"/>
      <w:lvlText w:val=""/>
      <w:lvlJc w:val="left"/>
    </w:lvl>
    <w:lvl w:ilvl="7" w:tplc="3FD415D2">
      <w:numFmt w:val="decimal"/>
      <w:lvlText w:val=""/>
      <w:lvlJc w:val="left"/>
    </w:lvl>
    <w:lvl w:ilvl="8" w:tplc="6296A75E">
      <w:numFmt w:val="decimal"/>
      <w:lvlText w:val=""/>
      <w:lvlJc w:val="left"/>
    </w:lvl>
  </w:abstractNum>
  <w:abstractNum w:abstractNumId="1" w15:restartNumberingAfterBreak="0">
    <w:nsid w:val="3EAC7AA8"/>
    <w:multiLevelType w:val="hybridMultilevel"/>
    <w:tmpl w:val="C9C8B06A"/>
    <w:lvl w:ilvl="0" w:tplc="7D6ABB72">
      <w:start w:val="1"/>
      <w:numFmt w:val="bullet"/>
      <w:lvlText w:val="●"/>
      <w:lvlJc w:val="left"/>
      <w:pPr>
        <w:ind w:left="720" w:hanging="360"/>
      </w:pPr>
    </w:lvl>
    <w:lvl w:ilvl="1" w:tplc="A09ACBB4">
      <w:start w:val="1"/>
      <w:numFmt w:val="bullet"/>
      <w:lvlText w:val="○"/>
      <w:lvlJc w:val="left"/>
      <w:pPr>
        <w:ind w:left="1440" w:hanging="360"/>
      </w:pPr>
    </w:lvl>
    <w:lvl w:ilvl="2" w:tplc="3828A0E6">
      <w:start w:val="1"/>
      <w:numFmt w:val="bullet"/>
      <w:lvlText w:val="■"/>
      <w:lvlJc w:val="left"/>
      <w:pPr>
        <w:ind w:left="2160" w:hanging="360"/>
      </w:pPr>
    </w:lvl>
    <w:lvl w:ilvl="3" w:tplc="4A18DD70">
      <w:start w:val="1"/>
      <w:numFmt w:val="bullet"/>
      <w:lvlText w:val="●"/>
      <w:lvlJc w:val="left"/>
      <w:pPr>
        <w:ind w:left="2880" w:hanging="360"/>
      </w:pPr>
    </w:lvl>
    <w:lvl w:ilvl="4" w:tplc="C10C90AC">
      <w:start w:val="1"/>
      <w:numFmt w:val="bullet"/>
      <w:lvlText w:val="○"/>
      <w:lvlJc w:val="left"/>
      <w:pPr>
        <w:ind w:left="3600" w:hanging="360"/>
      </w:pPr>
    </w:lvl>
    <w:lvl w:ilvl="5" w:tplc="ADD695FC">
      <w:start w:val="1"/>
      <w:numFmt w:val="bullet"/>
      <w:lvlText w:val="■"/>
      <w:lvlJc w:val="left"/>
      <w:pPr>
        <w:ind w:left="4320" w:hanging="360"/>
      </w:pPr>
    </w:lvl>
    <w:lvl w:ilvl="6" w:tplc="60B0ACC6">
      <w:start w:val="1"/>
      <w:numFmt w:val="bullet"/>
      <w:lvlText w:val="●"/>
      <w:lvlJc w:val="left"/>
      <w:pPr>
        <w:ind w:left="5040" w:hanging="360"/>
      </w:pPr>
    </w:lvl>
    <w:lvl w:ilvl="7" w:tplc="9462FB8C">
      <w:start w:val="1"/>
      <w:numFmt w:val="bullet"/>
      <w:lvlText w:val="●"/>
      <w:lvlJc w:val="left"/>
      <w:pPr>
        <w:ind w:left="5760" w:hanging="360"/>
      </w:pPr>
    </w:lvl>
    <w:lvl w:ilvl="8" w:tplc="DE54BECE">
      <w:start w:val="1"/>
      <w:numFmt w:val="bullet"/>
      <w:lvlText w:val="●"/>
      <w:lvlJc w:val="left"/>
      <w:pPr>
        <w:ind w:left="6480" w:hanging="360"/>
      </w:pPr>
    </w:lvl>
  </w:abstractNum>
  <w:num w:numId="1" w16cid:durableId="221136483">
    <w:abstractNumId w:val="1"/>
    <w:lvlOverride w:ilvl="0">
      <w:startOverride w:val="1"/>
    </w:lvlOverride>
  </w:num>
  <w:num w:numId="2" w16cid:durableId="12978802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FF3"/>
    <w:rsid w:val="00047DF5"/>
    <w:rsid w:val="001456D8"/>
    <w:rsid w:val="001644BF"/>
    <w:rsid w:val="001E2CD3"/>
    <w:rsid w:val="0026208B"/>
    <w:rsid w:val="0026451A"/>
    <w:rsid w:val="002A04F6"/>
    <w:rsid w:val="00394960"/>
    <w:rsid w:val="005769E2"/>
    <w:rsid w:val="005A784E"/>
    <w:rsid w:val="005C0083"/>
    <w:rsid w:val="00860498"/>
    <w:rsid w:val="00C34628"/>
    <w:rsid w:val="00D23F2E"/>
    <w:rsid w:val="00D30E58"/>
    <w:rsid w:val="00D96DFA"/>
    <w:rsid w:val="00DA6B80"/>
    <w:rsid w:val="00DE1ED5"/>
    <w:rsid w:val="00DE5265"/>
    <w:rsid w:val="00E0271B"/>
    <w:rsid w:val="00EA4FF3"/>
    <w:rsid w:val="00EC5C8D"/>
    <w:rsid w:val="00F22A30"/>
    <w:rsid w:val="00F506E6"/>
    <w:rsid w:val="00F6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922A03"/>
  <w15:docId w15:val="{31402FB5-E82E-CA40-8735-C33BC77DD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E2C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ansunion.com/solution/trucontact/order-management/number-portability-administr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iv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nbravo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inkedin.com/in/inbravo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prnewswire.com/news-releases/motorola-mobility-acquires-sunup-digital-systems-12155815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732</Words>
  <Characters>4788</Characters>
  <Application>Microsoft Office Word</Application>
  <DocSecurity>0</DocSecurity>
  <Lines>136</Lines>
  <Paragraphs>84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Amit Dixit</cp:lastModifiedBy>
  <cp:revision>6</cp:revision>
  <cp:lastPrinted>2026-06-05T09:01:00Z</cp:lastPrinted>
  <dcterms:created xsi:type="dcterms:W3CDTF">2026-06-05T09:01:00Z</dcterms:created>
  <dcterms:modified xsi:type="dcterms:W3CDTF">2026-06-05T09:18:00Z</dcterms:modified>
</cp:coreProperties>
</file>