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Look w:val="04A0" w:firstRow="1" w:lastRow="0" w:firstColumn="1" w:lastColumn="0" w:noHBand="0" w:noVBand="1"/>
      </w:tblPr>
      <w:tblGrid>
        <w:gridCol w:w="6912"/>
        <w:gridCol w:w="3168"/>
      </w:tblGrid>
      <w:tr w:rsidR="00646AD2" w14:paraId="2C705951" w14:textId="77777777">
        <w:trPr>
          <w:jc w:val="center"/>
        </w:trPr>
        <w:tc>
          <w:tcPr>
            <w:tcW w:w="6912" w:type="dxa"/>
          </w:tcPr>
          <w:p w14:paraId="3E2FE177" w14:textId="77777777" w:rsidR="00646AD2" w:rsidRDefault="0080582A">
            <w:pPr>
              <w:spacing w:after="40"/>
            </w:pPr>
            <w:r>
              <w:rPr>
                <w:b/>
                <w:color w:val="1D63ED"/>
                <w:sz w:val="17"/>
              </w:rPr>
              <w:t>HASHCASE  |  CLIENT DATA PRIVACY &amp; SECURITY BRIEF</w:t>
            </w:r>
          </w:p>
          <w:p w14:paraId="4DE95AD6" w14:textId="77777777" w:rsidR="00646AD2" w:rsidRDefault="0080582A">
            <w:pPr>
              <w:spacing w:after="40"/>
            </w:pPr>
            <w:r>
              <w:rPr>
                <w:b/>
                <w:color w:val="0F2942"/>
                <w:sz w:val="32"/>
              </w:rPr>
              <w:t>How HashCase Protects Your Data &amp; IP</w:t>
            </w:r>
          </w:p>
          <w:p w14:paraId="0C4E9DF6" w14:textId="77777777" w:rsidR="00646AD2" w:rsidRDefault="0080582A">
            <w:pPr>
              <w:spacing w:after="0"/>
            </w:pPr>
            <w:r>
              <w:rPr>
                <w:i/>
                <w:color w:val="64748B"/>
              </w:rPr>
              <w:t>Practical, Hardened Security for Your Custom AI Workflows</w:t>
            </w:r>
          </w:p>
        </w:tc>
        <w:tc>
          <w:tcPr>
            <w:tcW w:w="3168" w:type="dxa"/>
            <w:tcBorders>
              <w:top w:val="single" w:sz="4" w:space="0" w:color="E2E8F0"/>
              <w:left w:val="single" w:sz="4" w:space="0" w:color="E2E8F0"/>
              <w:bottom w:val="single" w:sz="4" w:space="0" w:color="E2E8F0"/>
              <w:right w:val="single" w:sz="4" w:space="0" w:color="E2E8F0"/>
            </w:tcBorders>
            <w:shd w:val="clear" w:color="auto" w:fill="F8FAFC"/>
            <w:tcMar>
              <w:top w:w="70" w:type="dxa"/>
              <w:left w:w="100" w:type="dxa"/>
              <w:bottom w:w="70" w:type="dxa"/>
              <w:right w:w="100" w:type="dxa"/>
            </w:tcMar>
          </w:tcPr>
          <w:p w14:paraId="3F0E8E28" w14:textId="77777777" w:rsidR="00646AD2" w:rsidRDefault="0080582A">
            <w:pPr>
              <w:spacing w:after="20"/>
              <w:jc w:val="right"/>
            </w:pPr>
            <w:r>
              <w:rPr>
                <w:b/>
                <w:color w:val="64748B"/>
                <w:sz w:val="15"/>
              </w:rPr>
              <w:t xml:space="preserve">TARGET: </w:t>
            </w:r>
            <w:r>
              <w:rPr>
                <w:sz w:val="15"/>
              </w:rPr>
              <w:t>Founders, CTOs &amp; Ops Leaders</w:t>
            </w:r>
            <w:r>
              <w:rPr>
                <w:sz w:val="15"/>
              </w:rPr>
              <w:br/>
            </w:r>
            <w:r>
              <w:rPr>
                <w:b/>
                <w:color w:val="64748B"/>
                <w:sz w:val="15"/>
              </w:rPr>
              <w:t xml:space="preserve">SCOPE: </w:t>
            </w:r>
            <w:r>
              <w:rPr>
                <w:sz w:val="15"/>
              </w:rPr>
              <w:t>Data Storage, Privacy &amp; Fine-Tuning</w:t>
            </w:r>
            <w:r>
              <w:rPr>
                <w:sz w:val="15"/>
              </w:rPr>
              <w:br/>
            </w:r>
            <w:r>
              <w:rPr>
                <w:b/>
                <w:color w:val="64748B"/>
                <w:sz w:val="15"/>
              </w:rPr>
              <w:t xml:space="preserve">STANDARD: </w:t>
            </w:r>
            <w:r>
              <w:rPr>
                <w:b/>
                <w:color w:val="1D63ED"/>
                <w:sz w:val="15"/>
              </w:rPr>
              <w:t>Zero-Leakage Private Model Hosting</w:t>
            </w:r>
          </w:p>
        </w:tc>
      </w:tr>
    </w:tbl>
    <w:p w14:paraId="6D1F4886" w14:textId="77777777" w:rsidR="00646AD2" w:rsidRDefault="00646AD2">
      <w:pPr>
        <w:spacing w:after="40"/>
      </w:pPr>
    </w:p>
    <w:tbl>
      <w:tblPr>
        <w:tblW w:w="0" w:type="auto"/>
        <w:tblLook w:val="04A0" w:firstRow="1" w:lastRow="0" w:firstColumn="1" w:lastColumn="0" w:noHBand="0" w:noVBand="1"/>
      </w:tblPr>
      <w:tblGrid>
        <w:gridCol w:w="10080"/>
      </w:tblGrid>
      <w:tr w:rsidR="00646AD2" w14:paraId="5822927A" w14:textId="77777777">
        <w:tc>
          <w:tcPr>
            <w:tcW w:w="10080" w:type="dxa"/>
            <w:shd w:val="clear" w:color="auto" w:fill="1D63ED"/>
            <w:tcMar>
              <w:top w:w="10" w:type="dxa"/>
              <w:left w:w="0" w:type="dxa"/>
              <w:bottom w:w="10" w:type="dxa"/>
              <w:right w:w="0" w:type="dxa"/>
            </w:tcMar>
          </w:tcPr>
          <w:p w14:paraId="642E1D2F" w14:textId="77777777" w:rsidR="00646AD2" w:rsidRDefault="00646AD2">
            <w:pPr>
              <w:spacing w:after="0"/>
            </w:pPr>
          </w:p>
        </w:tc>
      </w:tr>
    </w:tbl>
    <w:tbl>
      <w:tblPr>
        <w:tblW w:w="0" w:type="auto"/>
        <w:jc w:val="center"/>
        <w:tblLayout w:type="fixed"/>
        <w:tblLook w:val="04A0" w:firstRow="1" w:lastRow="0" w:firstColumn="1" w:lastColumn="0" w:noHBand="0" w:noVBand="1"/>
      </w:tblPr>
      <w:tblGrid>
        <w:gridCol w:w="10080"/>
      </w:tblGrid>
      <w:tr w:rsidR="00646AD2" w14:paraId="3DD2763F" w14:textId="77777777">
        <w:trPr>
          <w:jc w:val="center"/>
        </w:trPr>
        <w:tc>
          <w:tcPr>
            <w:tcW w:w="10080" w:type="dxa"/>
            <w:tcBorders>
              <w:top w:val="none" w:sz="16" w:space="0" w:color="1D63ED"/>
              <w:left w:val="single" w:sz="16" w:space="0" w:color="1D63ED"/>
              <w:bottom w:val="none" w:sz="16" w:space="0" w:color="1D63ED"/>
              <w:right w:val="none" w:sz="16" w:space="0" w:color="1D63ED"/>
            </w:tcBorders>
            <w:shd w:val="clear" w:color="auto" w:fill="F1F5F9"/>
            <w:tcMar>
              <w:top w:w="80" w:type="dxa"/>
              <w:left w:w="140" w:type="dxa"/>
              <w:bottom w:w="80" w:type="dxa"/>
              <w:right w:w="120" w:type="dxa"/>
            </w:tcMar>
          </w:tcPr>
          <w:p w14:paraId="415A3C92" w14:textId="77777777" w:rsidR="00646AD2" w:rsidRDefault="0080582A">
            <w:pPr>
              <w:spacing w:after="40"/>
            </w:pPr>
            <w:r>
              <w:rPr>
                <w:b/>
                <w:color w:val="0F2942"/>
              </w:rPr>
              <w:t xml:space="preserve">The HashCase Security Commitment: </w:t>
            </w:r>
            <w:r>
              <w:rPr>
                <w:sz w:val="18"/>
              </w:rPr>
              <w:t>When you build custom AI automations with HashCase, your business data is never shared, never leaked, and never used to benefit another company. We take leading open-source models and fine-tune them exclusively for your business. Your model weights and proprietary records are hosted in dedicated, isolated environments with closed network ports and banking-grade encryption from day one.</w:t>
            </w:r>
          </w:p>
        </w:tc>
      </w:tr>
    </w:tbl>
    <w:p w14:paraId="4E0F141F" w14:textId="77777777" w:rsidR="00646AD2" w:rsidRDefault="0080582A">
      <w:pPr>
        <w:spacing w:before="120" w:after="60"/>
      </w:pPr>
      <w:r>
        <w:rPr>
          <w:b/>
          <w:color w:val="0F2942"/>
          <w:sz w:val="23"/>
        </w:rPr>
        <w:t>Our 4 Practical Security &amp; Data Privacy Pillars</w:t>
      </w:r>
    </w:p>
    <w:tbl>
      <w:tblPr>
        <w:tblW w:w="0" w:type="auto"/>
        <w:jc w:val="center"/>
        <w:tblLayout w:type="fixed"/>
        <w:tblLook w:val="04A0" w:firstRow="1" w:lastRow="0" w:firstColumn="1" w:lastColumn="0" w:noHBand="0" w:noVBand="1"/>
      </w:tblPr>
      <w:tblGrid>
        <w:gridCol w:w="10080"/>
      </w:tblGrid>
      <w:tr w:rsidR="00646AD2" w14:paraId="65DF61ED" w14:textId="77777777">
        <w:trPr>
          <w:jc w:val="center"/>
        </w:trPr>
        <w:tc>
          <w:tcPr>
            <w:tcW w:w="10080" w:type="dxa"/>
            <w:tcBorders>
              <w:top w:val="none" w:sz="8" w:space="0" w:color="CBD5E1"/>
              <w:left w:val="single" w:sz="8" w:space="0" w:color="CBD5E1"/>
              <w:bottom w:val="none" w:sz="8" w:space="0" w:color="CBD5E1"/>
              <w:right w:val="none" w:sz="8" w:space="0" w:color="CBD5E1"/>
            </w:tcBorders>
            <w:shd w:val="clear" w:color="auto" w:fill="FFFFFF"/>
            <w:tcMar>
              <w:top w:w="35" w:type="dxa"/>
              <w:left w:w="90" w:type="dxa"/>
              <w:bottom w:w="35" w:type="dxa"/>
              <w:right w:w="70" w:type="dxa"/>
            </w:tcMar>
          </w:tcPr>
          <w:p w14:paraId="3383BCCF" w14:textId="77777777" w:rsidR="00646AD2" w:rsidRDefault="0080582A">
            <w:pPr>
              <w:spacing w:after="20"/>
            </w:pPr>
            <w:r>
              <w:rPr>
                <w:b/>
                <w:color w:val="1D63ED"/>
                <w:sz w:val="17"/>
              </w:rPr>
              <w:t xml:space="preserve">PILLAR 1: </w:t>
            </w:r>
            <w:r>
              <w:rPr>
                <w:b/>
                <w:color w:val="0F2942"/>
              </w:rPr>
              <w:t>Private Open-Source Models: No Leaks, Total Ownership</w:t>
            </w:r>
          </w:p>
          <w:p w14:paraId="5FEF18FB" w14:textId="77777777" w:rsidR="00646AD2" w:rsidRDefault="0080582A">
            <w:pPr>
              <w:spacing w:after="40"/>
            </w:pPr>
            <w:r>
              <w:rPr>
                <w:i/>
                <w:color w:val="64748B"/>
                <w:sz w:val="16"/>
              </w:rPr>
              <w:t>Your Data Fine-Tunes Models That ONLY Your Company Uses</w:t>
            </w:r>
          </w:p>
          <w:p w14:paraId="729E2F78" w14:textId="77777777" w:rsidR="00646AD2" w:rsidRDefault="0080582A">
            <w:pPr>
              <w:spacing w:after="40" w:line="269" w:lineRule="auto"/>
            </w:pPr>
            <w:r>
              <w:rPr>
                <w:b/>
                <w:sz w:val="17"/>
              </w:rPr>
              <w:t xml:space="preserve">What We Do: </w:t>
            </w:r>
            <w:r>
              <w:rPr>
                <w:sz w:val="17"/>
              </w:rPr>
              <w:t>Unlike typical agencies that send your raw customer and business records to public black-box APIs, we fine-tune high-performance open-source models (such as Meta's Llama 3, Mistral, or Qwen) specifically on your company's workflows. These fine-tuned model weights are deployed in dedicated, private containers. Your data is NEVER pooled, NEVER shared, and NEVER used to train models for anyone else. Your competitors will never benefit from your data, and your custom model intelligence remains 100% yours.</w:t>
            </w:r>
          </w:p>
          <w:p w14:paraId="39900A14" w14:textId="77777777" w:rsidR="00646AD2" w:rsidRDefault="0080582A">
            <w:pPr>
              <w:spacing w:after="0"/>
            </w:pPr>
            <w:r>
              <w:rPr>
                <w:b/>
                <w:color w:val="1D63ED"/>
                <w:sz w:val="16"/>
              </w:rPr>
              <w:t xml:space="preserve">Client Guarantee: </w:t>
            </w:r>
            <w:r>
              <w:rPr>
                <w:i/>
                <w:color w:val="0F2942"/>
                <w:sz w:val="16"/>
              </w:rPr>
              <w:t>Zero data leakage, absolute model exclusivity, and 100% intellectual property ownership.</w:t>
            </w:r>
          </w:p>
        </w:tc>
      </w:tr>
    </w:tbl>
    <w:p w14:paraId="45BCB7EF" w14:textId="77777777" w:rsidR="00646AD2" w:rsidRDefault="00646AD2">
      <w:pPr>
        <w:spacing w:after="20"/>
      </w:pPr>
    </w:p>
    <w:tbl>
      <w:tblPr>
        <w:tblW w:w="0" w:type="auto"/>
        <w:jc w:val="center"/>
        <w:tblLayout w:type="fixed"/>
        <w:tblLook w:val="04A0" w:firstRow="1" w:lastRow="0" w:firstColumn="1" w:lastColumn="0" w:noHBand="0" w:noVBand="1"/>
      </w:tblPr>
      <w:tblGrid>
        <w:gridCol w:w="10080"/>
      </w:tblGrid>
      <w:tr w:rsidR="00646AD2" w14:paraId="2076CA23" w14:textId="77777777">
        <w:trPr>
          <w:jc w:val="center"/>
        </w:trPr>
        <w:tc>
          <w:tcPr>
            <w:tcW w:w="10080" w:type="dxa"/>
            <w:tcBorders>
              <w:top w:val="none" w:sz="8" w:space="0" w:color="CBD5E1"/>
              <w:left w:val="single" w:sz="8" w:space="0" w:color="CBD5E1"/>
              <w:bottom w:val="none" w:sz="8" w:space="0" w:color="CBD5E1"/>
              <w:right w:val="none" w:sz="8" w:space="0" w:color="CBD5E1"/>
            </w:tcBorders>
            <w:shd w:val="clear" w:color="auto" w:fill="FFFFFF"/>
            <w:tcMar>
              <w:top w:w="35" w:type="dxa"/>
              <w:left w:w="90" w:type="dxa"/>
              <w:bottom w:w="35" w:type="dxa"/>
              <w:right w:w="70" w:type="dxa"/>
            </w:tcMar>
          </w:tcPr>
          <w:p w14:paraId="73E928CF" w14:textId="77777777" w:rsidR="00646AD2" w:rsidRDefault="0080582A">
            <w:pPr>
              <w:spacing w:after="20"/>
            </w:pPr>
            <w:r>
              <w:rPr>
                <w:b/>
                <w:color w:val="1D63ED"/>
                <w:sz w:val="17"/>
              </w:rPr>
              <w:t xml:space="preserve">PILLAR 2: </w:t>
            </w:r>
            <w:r>
              <w:rPr>
                <w:b/>
                <w:color w:val="0F2942"/>
              </w:rPr>
              <w:t>Hardened Storage Architecture: Unbreachable Cloud Infrastructure</w:t>
            </w:r>
          </w:p>
          <w:p w14:paraId="52CF76FF" w14:textId="77777777" w:rsidR="00646AD2" w:rsidRDefault="0080582A">
            <w:pPr>
              <w:spacing w:after="40"/>
            </w:pPr>
            <w:r>
              <w:rPr>
                <w:i/>
                <w:color w:val="64748B"/>
                <w:sz w:val="16"/>
              </w:rPr>
              <w:t>Zero Public Exposure, Dedicated Databases &amp; Banking-Grade Encryption</w:t>
            </w:r>
          </w:p>
          <w:p w14:paraId="7C1500C1" w14:textId="77777777" w:rsidR="00646AD2" w:rsidRDefault="0080582A">
            <w:pPr>
              <w:spacing w:after="40" w:line="269" w:lineRule="auto"/>
            </w:pPr>
            <w:r>
              <w:rPr>
                <w:b/>
                <w:sz w:val="17"/>
              </w:rPr>
              <w:t xml:space="preserve">What We Do: </w:t>
            </w:r>
            <w:r>
              <w:rPr>
                <w:sz w:val="17"/>
              </w:rPr>
              <w:t>We do not store your information in open buckets or expose databases to the internet. We deploy your storage inside an isolated Virtual Private Cloud (VPC) with all public database ports strictly closed—accessible only by authenticated, authorized application code. All data is protected with AES-256 encryption at rest (rendering disk data unreadable gibberish if physically compromised) and TLS/HTTPS encryption in transit. Furthermore, we enforce strict multi-tenant isolation: your data is never mixed with a</w:t>
            </w:r>
            <w:r>
              <w:rPr>
                <w:sz w:val="17"/>
              </w:rPr>
              <w:t>nother client's records.</w:t>
            </w:r>
          </w:p>
          <w:p w14:paraId="4CCAF070" w14:textId="77777777" w:rsidR="00646AD2" w:rsidRDefault="0080582A">
            <w:pPr>
              <w:spacing w:after="0"/>
            </w:pPr>
            <w:r>
              <w:rPr>
                <w:b/>
                <w:color w:val="1D63ED"/>
                <w:sz w:val="16"/>
              </w:rPr>
              <w:t xml:space="preserve">Client Guarantee: </w:t>
            </w:r>
            <w:r>
              <w:rPr>
                <w:i/>
                <w:color w:val="0F2942"/>
                <w:sz w:val="16"/>
              </w:rPr>
              <w:t>Closed-port network isolation, AES-256 encryption, and zero cross-company data co-mingling.</w:t>
            </w:r>
          </w:p>
        </w:tc>
      </w:tr>
    </w:tbl>
    <w:p w14:paraId="08356534" w14:textId="77777777" w:rsidR="00646AD2" w:rsidRDefault="00646AD2">
      <w:pPr>
        <w:spacing w:after="20"/>
      </w:pPr>
    </w:p>
    <w:tbl>
      <w:tblPr>
        <w:tblW w:w="0" w:type="auto"/>
        <w:jc w:val="center"/>
        <w:tblLayout w:type="fixed"/>
        <w:tblLook w:val="04A0" w:firstRow="1" w:lastRow="0" w:firstColumn="1" w:lastColumn="0" w:noHBand="0" w:noVBand="1"/>
      </w:tblPr>
      <w:tblGrid>
        <w:gridCol w:w="10080"/>
      </w:tblGrid>
      <w:tr w:rsidR="00646AD2" w14:paraId="7D8A3620" w14:textId="77777777">
        <w:trPr>
          <w:jc w:val="center"/>
        </w:trPr>
        <w:tc>
          <w:tcPr>
            <w:tcW w:w="10080" w:type="dxa"/>
            <w:tcBorders>
              <w:top w:val="none" w:sz="8" w:space="0" w:color="CBD5E1"/>
              <w:left w:val="single" w:sz="8" w:space="0" w:color="CBD5E1"/>
              <w:bottom w:val="none" w:sz="8" w:space="0" w:color="CBD5E1"/>
              <w:right w:val="none" w:sz="8" w:space="0" w:color="CBD5E1"/>
            </w:tcBorders>
            <w:shd w:val="clear" w:color="auto" w:fill="FFFFFF"/>
            <w:tcMar>
              <w:top w:w="35" w:type="dxa"/>
              <w:left w:w="90" w:type="dxa"/>
              <w:bottom w:w="35" w:type="dxa"/>
              <w:right w:w="70" w:type="dxa"/>
            </w:tcMar>
          </w:tcPr>
          <w:p w14:paraId="0378301F" w14:textId="77777777" w:rsidR="00646AD2" w:rsidRDefault="0080582A">
            <w:pPr>
              <w:spacing w:after="20"/>
            </w:pPr>
            <w:r>
              <w:rPr>
                <w:b/>
                <w:color w:val="1D63ED"/>
                <w:sz w:val="17"/>
              </w:rPr>
              <w:t xml:space="preserve">PILLAR 3: </w:t>
            </w:r>
            <w:r>
              <w:rPr>
                <w:b/>
                <w:color w:val="0F2942"/>
              </w:rPr>
              <w:t>Ground-Level Operational Hygiene: Real Security in Practice</w:t>
            </w:r>
          </w:p>
          <w:p w14:paraId="34DAB987" w14:textId="77777777" w:rsidR="00646AD2" w:rsidRDefault="0080582A">
            <w:pPr>
              <w:spacing w:after="40"/>
            </w:pPr>
            <w:r>
              <w:rPr>
                <w:i/>
                <w:color w:val="64748B"/>
                <w:sz w:val="16"/>
              </w:rPr>
              <w:t>Strict Key Vaults, Least-Privilege Access &amp; Prompt Injection Defenses</w:t>
            </w:r>
          </w:p>
          <w:p w14:paraId="460C4696" w14:textId="77777777" w:rsidR="00646AD2" w:rsidRDefault="0080582A">
            <w:pPr>
              <w:spacing w:after="40" w:line="269" w:lineRule="auto"/>
            </w:pPr>
            <w:r>
              <w:rPr>
                <w:b/>
                <w:sz w:val="17"/>
              </w:rPr>
              <w:t xml:space="preserve">What We Do: </w:t>
            </w:r>
            <w:r>
              <w:rPr>
                <w:sz w:val="17"/>
              </w:rPr>
              <w:t>Real security lives in everyday engineering discipline. We store all database credentials, API keys, and tokens in encrypted cloud secret managers (like AWS Secrets Manager)—never hardcoded in code. We enforce the Principle of Least Privilege: only the specific engineers directly building your pipeline have temporary access, protected by mandatory Multi-Factor Authentication (MFA). We also implement prompt injection and extraction firewalls so outside users cannot trick your AI into revealing internal syste</w:t>
            </w:r>
            <w:r>
              <w:rPr>
                <w:sz w:val="17"/>
              </w:rPr>
              <w:t>m prompts, database keys, or private customer records.</w:t>
            </w:r>
          </w:p>
          <w:p w14:paraId="5FFCBA76" w14:textId="77777777" w:rsidR="00646AD2" w:rsidRDefault="0080582A">
            <w:pPr>
              <w:spacing w:after="0"/>
            </w:pPr>
            <w:r>
              <w:rPr>
                <w:b/>
                <w:color w:val="1D63ED"/>
                <w:sz w:val="16"/>
              </w:rPr>
              <w:t xml:space="preserve">Client Guarantee: </w:t>
            </w:r>
            <w:r>
              <w:rPr>
                <w:i/>
                <w:color w:val="0F2942"/>
                <w:sz w:val="16"/>
              </w:rPr>
              <w:t>No unauthorized staff browsing, zero exposed credentials, and hardened defenses against AI exploitation.</w:t>
            </w:r>
          </w:p>
        </w:tc>
      </w:tr>
    </w:tbl>
    <w:p w14:paraId="3A4B7418" w14:textId="77777777" w:rsidR="00646AD2" w:rsidRDefault="00646AD2">
      <w:pPr>
        <w:spacing w:after="20"/>
      </w:pPr>
    </w:p>
    <w:tbl>
      <w:tblPr>
        <w:tblW w:w="0" w:type="auto"/>
        <w:jc w:val="center"/>
        <w:tblLayout w:type="fixed"/>
        <w:tblLook w:val="04A0" w:firstRow="1" w:lastRow="0" w:firstColumn="1" w:lastColumn="0" w:noHBand="0" w:noVBand="1"/>
      </w:tblPr>
      <w:tblGrid>
        <w:gridCol w:w="10080"/>
      </w:tblGrid>
      <w:tr w:rsidR="00646AD2" w14:paraId="1443403D" w14:textId="77777777">
        <w:trPr>
          <w:jc w:val="center"/>
        </w:trPr>
        <w:tc>
          <w:tcPr>
            <w:tcW w:w="10080" w:type="dxa"/>
            <w:tcBorders>
              <w:top w:val="none" w:sz="8" w:space="0" w:color="CBD5E1"/>
              <w:left w:val="single" w:sz="8" w:space="0" w:color="CBD5E1"/>
              <w:bottom w:val="none" w:sz="8" w:space="0" w:color="CBD5E1"/>
              <w:right w:val="none" w:sz="8" w:space="0" w:color="CBD5E1"/>
            </w:tcBorders>
            <w:shd w:val="clear" w:color="auto" w:fill="FFFFFF"/>
            <w:tcMar>
              <w:top w:w="35" w:type="dxa"/>
              <w:left w:w="90" w:type="dxa"/>
              <w:bottom w:w="35" w:type="dxa"/>
              <w:right w:w="70" w:type="dxa"/>
            </w:tcMar>
          </w:tcPr>
          <w:p w14:paraId="7BB189F7" w14:textId="77777777" w:rsidR="00646AD2" w:rsidRDefault="0080582A">
            <w:pPr>
              <w:spacing w:after="20"/>
            </w:pPr>
            <w:r>
              <w:rPr>
                <w:b/>
                <w:color w:val="1D63ED"/>
                <w:sz w:val="17"/>
              </w:rPr>
              <w:t xml:space="preserve">PILLAR 4: </w:t>
            </w:r>
            <w:r>
              <w:rPr>
                <w:b/>
                <w:color w:val="0F2942"/>
              </w:rPr>
              <w:t>Business Continuity &amp; Your Exit Freedom</w:t>
            </w:r>
          </w:p>
          <w:p w14:paraId="6506D359" w14:textId="77777777" w:rsidR="00646AD2" w:rsidRDefault="0080582A">
            <w:pPr>
              <w:spacing w:after="40"/>
            </w:pPr>
            <w:r>
              <w:rPr>
                <w:i/>
                <w:color w:val="64748B"/>
                <w:sz w:val="16"/>
              </w:rPr>
              <w:t>Automated Daily Backups with a 100% Permanent Deletion Guarantee</w:t>
            </w:r>
          </w:p>
          <w:p w14:paraId="51E6D8AB" w14:textId="77777777" w:rsidR="00646AD2" w:rsidRDefault="0080582A">
            <w:pPr>
              <w:spacing w:after="40" w:line="269" w:lineRule="auto"/>
            </w:pPr>
            <w:r>
              <w:rPr>
                <w:b/>
                <w:sz w:val="17"/>
              </w:rPr>
              <w:t xml:space="preserve">What We Do: </w:t>
            </w:r>
            <w:r>
              <w:rPr>
                <w:sz w:val="17"/>
              </w:rPr>
              <w:t>We protect your operations with automated daily encrypted backups of your databases and model checkpoints, ensuring a server crash or accidental deletion can never halt your business. Equally important is our exit policy: we never hold your data or models hostage. If our engagement ever concludes, all raw documents, fine-tuned weights, vector embeddings, and database snapshots are permanently wiped from our systems upon your request, with zero residual copies.</w:t>
            </w:r>
          </w:p>
          <w:p w14:paraId="20130212" w14:textId="77777777" w:rsidR="00646AD2" w:rsidRDefault="0080582A">
            <w:pPr>
              <w:spacing w:after="0"/>
            </w:pPr>
            <w:r>
              <w:rPr>
                <w:b/>
                <w:color w:val="1D63ED"/>
                <w:sz w:val="16"/>
              </w:rPr>
              <w:t xml:space="preserve">Client Guarantee: </w:t>
            </w:r>
            <w:r>
              <w:rPr>
                <w:i/>
                <w:color w:val="0F2942"/>
                <w:sz w:val="16"/>
              </w:rPr>
              <w:t>Continuous operational uptime with zero vendor lock-in and a verifiable, complete data deletion guarantee.</w:t>
            </w:r>
          </w:p>
        </w:tc>
      </w:tr>
    </w:tbl>
    <w:p w14:paraId="73041383" w14:textId="77777777" w:rsidR="00646AD2" w:rsidRDefault="00646AD2">
      <w:pPr>
        <w:spacing w:after="20"/>
      </w:pPr>
    </w:p>
    <w:p w14:paraId="7E6D80FF" w14:textId="77777777" w:rsidR="00646AD2" w:rsidRDefault="0080582A">
      <w:pPr>
        <w:spacing w:before="80" w:after="60"/>
      </w:pPr>
      <w:r>
        <w:rPr>
          <w:b/>
          <w:color w:val="0F2942"/>
          <w:sz w:val="22"/>
        </w:rPr>
        <w:t>How HashCase Compares to Typical AI Agencies</w:t>
      </w:r>
    </w:p>
    <w:tbl>
      <w:tblPr>
        <w:tblW w:w="0" w:type="auto"/>
        <w:jc w:val="center"/>
        <w:tblLayout w:type="fixed"/>
        <w:tblLook w:val="04A0" w:firstRow="1" w:lastRow="0" w:firstColumn="1" w:lastColumn="0" w:noHBand="0" w:noVBand="1"/>
      </w:tblPr>
      <w:tblGrid>
        <w:gridCol w:w="2304"/>
        <w:gridCol w:w="3888"/>
        <w:gridCol w:w="3888"/>
      </w:tblGrid>
      <w:tr w:rsidR="00646AD2" w14:paraId="30E5E526" w14:textId="77777777">
        <w:trPr>
          <w:jc w:val="center"/>
        </w:trPr>
        <w:tc>
          <w:tcPr>
            <w:tcW w:w="2304" w:type="dxa"/>
            <w:tcBorders>
              <w:top w:val="single" w:sz="6" w:space="0" w:color="0F2942"/>
              <w:left w:val="none" w:sz="6" w:space="0" w:color="0F2942"/>
              <w:bottom w:val="single" w:sz="6" w:space="0" w:color="0F2942"/>
              <w:right w:val="none" w:sz="6" w:space="0" w:color="0F2942"/>
            </w:tcBorders>
            <w:shd w:val="clear" w:color="auto" w:fill="0F2942"/>
            <w:tcMar>
              <w:top w:w="50" w:type="dxa"/>
              <w:left w:w="80" w:type="dxa"/>
              <w:bottom w:w="50" w:type="dxa"/>
              <w:right w:w="80" w:type="dxa"/>
            </w:tcMar>
          </w:tcPr>
          <w:p w14:paraId="49FAB2F1" w14:textId="77777777" w:rsidR="00646AD2" w:rsidRDefault="0080582A">
            <w:pPr>
              <w:spacing w:after="0" w:line="252" w:lineRule="auto"/>
            </w:pPr>
            <w:r>
              <w:rPr>
                <w:b/>
                <w:color w:val="FFFFFF"/>
                <w:sz w:val="16"/>
              </w:rPr>
              <w:t>Security Factor</w:t>
            </w:r>
          </w:p>
        </w:tc>
        <w:tc>
          <w:tcPr>
            <w:tcW w:w="3888" w:type="dxa"/>
            <w:tcBorders>
              <w:top w:val="single" w:sz="6" w:space="0" w:color="0F2942"/>
              <w:left w:val="none" w:sz="6" w:space="0" w:color="0F2942"/>
              <w:bottom w:val="single" w:sz="6" w:space="0" w:color="0F2942"/>
              <w:right w:val="none" w:sz="6" w:space="0" w:color="0F2942"/>
            </w:tcBorders>
            <w:shd w:val="clear" w:color="auto" w:fill="0F2942"/>
            <w:tcMar>
              <w:top w:w="50" w:type="dxa"/>
              <w:left w:w="80" w:type="dxa"/>
              <w:bottom w:w="50" w:type="dxa"/>
              <w:right w:w="80" w:type="dxa"/>
            </w:tcMar>
          </w:tcPr>
          <w:p w14:paraId="31AFAE94" w14:textId="77777777" w:rsidR="00646AD2" w:rsidRDefault="0080582A">
            <w:pPr>
              <w:spacing w:after="0" w:line="252" w:lineRule="auto"/>
            </w:pPr>
            <w:r>
              <w:rPr>
                <w:b/>
                <w:color w:val="FFFFFF"/>
                <w:sz w:val="16"/>
              </w:rPr>
              <w:t>Typical AI Agency / Off-The-Shelf Tools</w:t>
            </w:r>
          </w:p>
        </w:tc>
        <w:tc>
          <w:tcPr>
            <w:tcW w:w="3888" w:type="dxa"/>
            <w:tcBorders>
              <w:top w:val="single" w:sz="6" w:space="0" w:color="0F2942"/>
              <w:left w:val="none" w:sz="6" w:space="0" w:color="0F2942"/>
              <w:bottom w:val="single" w:sz="6" w:space="0" w:color="0F2942"/>
              <w:right w:val="none" w:sz="6" w:space="0" w:color="0F2942"/>
            </w:tcBorders>
            <w:shd w:val="clear" w:color="auto" w:fill="0F2942"/>
            <w:tcMar>
              <w:top w:w="50" w:type="dxa"/>
              <w:left w:w="80" w:type="dxa"/>
              <w:bottom w:w="50" w:type="dxa"/>
              <w:right w:w="80" w:type="dxa"/>
            </w:tcMar>
          </w:tcPr>
          <w:p w14:paraId="3BC9343D" w14:textId="77777777" w:rsidR="00646AD2" w:rsidRDefault="0080582A">
            <w:pPr>
              <w:spacing w:after="0" w:line="252" w:lineRule="auto"/>
            </w:pPr>
            <w:r>
              <w:rPr>
                <w:b/>
                <w:color w:val="FFFFFF"/>
                <w:sz w:val="16"/>
              </w:rPr>
              <w:t>The HashCase Standard</w:t>
            </w:r>
          </w:p>
        </w:tc>
      </w:tr>
      <w:tr w:rsidR="00646AD2" w14:paraId="60560611" w14:textId="77777777">
        <w:trPr>
          <w:jc w:val="center"/>
        </w:trPr>
        <w:tc>
          <w:tcPr>
            <w:tcW w:w="2304" w:type="dxa"/>
            <w:tcBorders>
              <w:top w:val="single" w:sz="4" w:space="0" w:color="E2E8F0"/>
              <w:left w:val="none" w:sz="4" w:space="0" w:color="E2E8F0"/>
              <w:bottom w:val="single" w:sz="4" w:space="0" w:color="E2E8F0"/>
              <w:right w:val="none" w:sz="4" w:space="0" w:color="E2E8F0"/>
            </w:tcBorders>
            <w:shd w:val="clear" w:color="auto" w:fill="F8FAFC"/>
            <w:tcMar>
              <w:top w:w="50" w:type="dxa"/>
              <w:left w:w="80" w:type="dxa"/>
              <w:bottom w:w="50" w:type="dxa"/>
              <w:right w:w="80" w:type="dxa"/>
            </w:tcMar>
          </w:tcPr>
          <w:p w14:paraId="7E94A63D" w14:textId="77777777" w:rsidR="00646AD2" w:rsidRDefault="0080582A">
            <w:pPr>
              <w:spacing w:after="0" w:line="252" w:lineRule="auto"/>
            </w:pPr>
            <w:r>
              <w:rPr>
                <w:b/>
                <w:color w:val="0F2942"/>
                <w:sz w:val="15"/>
              </w:rPr>
              <w:t>Model Hosting</w:t>
            </w:r>
          </w:p>
        </w:tc>
        <w:tc>
          <w:tcPr>
            <w:tcW w:w="3888" w:type="dxa"/>
            <w:tcBorders>
              <w:top w:val="single" w:sz="4" w:space="0" w:color="E2E8F0"/>
              <w:left w:val="none" w:sz="4" w:space="0" w:color="E2E8F0"/>
              <w:bottom w:val="single" w:sz="4" w:space="0" w:color="E2E8F0"/>
              <w:right w:val="none" w:sz="4" w:space="0" w:color="E2E8F0"/>
            </w:tcBorders>
            <w:shd w:val="clear" w:color="auto" w:fill="F8FAFC"/>
            <w:tcMar>
              <w:top w:w="50" w:type="dxa"/>
              <w:left w:w="80" w:type="dxa"/>
              <w:bottom w:w="50" w:type="dxa"/>
              <w:right w:w="80" w:type="dxa"/>
            </w:tcMar>
          </w:tcPr>
          <w:p w14:paraId="27BA5E49" w14:textId="77777777" w:rsidR="00646AD2" w:rsidRDefault="0080582A">
            <w:pPr>
              <w:spacing w:after="0" w:line="252" w:lineRule="auto"/>
            </w:pPr>
            <w:r>
              <w:rPr>
                <w:sz w:val="15"/>
              </w:rPr>
              <w:t>Data sent to public third-party APIs (black-box)</w:t>
            </w:r>
          </w:p>
        </w:tc>
        <w:tc>
          <w:tcPr>
            <w:tcW w:w="3888" w:type="dxa"/>
            <w:tcBorders>
              <w:top w:val="single" w:sz="4" w:space="0" w:color="E2E8F0"/>
              <w:left w:val="none" w:sz="4" w:space="0" w:color="E2E8F0"/>
              <w:bottom w:val="single" w:sz="4" w:space="0" w:color="E2E8F0"/>
              <w:right w:val="none" w:sz="4" w:space="0" w:color="E2E8F0"/>
            </w:tcBorders>
            <w:shd w:val="clear" w:color="auto" w:fill="F8FAFC"/>
            <w:tcMar>
              <w:top w:w="50" w:type="dxa"/>
              <w:left w:w="80" w:type="dxa"/>
              <w:bottom w:w="50" w:type="dxa"/>
              <w:right w:w="80" w:type="dxa"/>
            </w:tcMar>
          </w:tcPr>
          <w:p w14:paraId="33BFCE31" w14:textId="77777777" w:rsidR="00646AD2" w:rsidRDefault="0080582A">
            <w:pPr>
              <w:spacing w:after="0" w:line="252" w:lineRule="auto"/>
            </w:pPr>
            <w:r>
              <w:rPr>
                <w:b/>
                <w:color w:val="0F2942"/>
                <w:sz w:val="15"/>
              </w:rPr>
              <w:t>Private open-source models hosted in dedicated containers</w:t>
            </w:r>
          </w:p>
        </w:tc>
      </w:tr>
      <w:tr w:rsidR="00646AD2" w14:paraId="7EF1DCD6" w14:textId="77777777">
        <w:trPr>
          <w:jc w:val="center"/>
        </w:trPr>
        <w:tc>
          <w:tcPr>
            <w:tcW w:w="2304" w:type="dxa"/>
            <w:tcBorders>
              <w:top w:val="single" w:sz="4" w:space="0" w:color="E2E8F0"/>
              <w:left w:val="none" w:sz="4" w:space="0" w:color="E2E8F0"/>
              <w:bottom w:val="single" w:sz="4" w:space="0" w:color="E2E8F0"/>
              <w:right w:val="none" w:sz="4" w:space="0" w:color="E2E8F0"/>
            </w:tcBorders>
            <w:shd w:val="clear" w:color="auto" w:fill="FFFFFF"/>
            <w:tcMar>
              <w:top w:w="50" w:type="dxa"/>
              <w:left w:w="80" w:type="dxa"/>
              <w:bottom w:w="50" w:type="dxa"/>
              <w:right w:w="80" w:type="dxa"/>
            </w:tcMar>
          </w:tcPr>
          <w:p w14:paraId="5F3392F7" w14:textId="77777777" w:rsidR="00646AD2" w:rsidRDefault="0080582A">
            <w:pPr>
              <w:spacing w:after="0" w:line="252" w:lineRule="auto"/>
            </w:pPr>
            <w:r>
              <w:rPr>
                <w:b/>
                <w:color w:val="0F2942"/>
                <w:sz w:val="15"/>
              </w:rPr>
              <w:t>Model Ownership</w:t>
            </w:r>
          </w:p>
        </w:tc>
        <w:tc>
          <w:tcPr>
            <w:tcW w:w="3888" w:type="dxa"/>
            <w:tcBorders>
              <w:top w:val="single" w:sz="4" w:space="0" w:color="E2E8F0"/>
              <w:left w:val="none" w:sz="4" w:space="0" w:color="E2E8F0"/>
              <w:bottom w:val="single" w:sz="4" w:space="0" w:color="E2E8F0"/>
              <w:right w:val="none" w:sz="4" w:space="0" w:color="E2E8F0"/>
            </w:tcBorders>
            <w:shd w:val="clear" w:color="auto" w:fill="FFFFFF"/>
            <w:tcMar>
              <w:top w:w="50" w:type="dxa"/>
              <w:left w:w="80" w:type="dxa"/>
              <w:bottom w:w="50" w:type="dxa"/>
              <w:right w:w="80" w:type="dxa"/>
            </w:tcMar>
          </w:tcPr>
          <w:p w14:paraId="5899F0EF" w14:textId="77777777" w:rsidR="00646AD2" w:rsidRDefault="0080582A">
            <w:pPr>
              <w:spacing w:after="0" w:line="252" w:lineRule="auto"/>
            </w:pPr>
            <w:r>
              <w:rPr>
                <w:sz w:val="15"/>
              </w:rPr>
              <w:t>You rent access; vendor owns the intelligence</w:t>
            </w:r>
          </w:p>
        </w:tc>
        <w:tc>
          <w:tcPr>
            <w:tcW w:w="3888" w:type="dxa"/>
            <w:tcBorders>
              <w:top w:val="single" w:sz="4" w:space="0" w:color="E2E8F0"/>
              <w:left w:val="none" w:sz="4" w:space="0" w:color="E2E8F0"/>
              <w:bottom w:val="single" w:sz="4" w:space="0" w:color="E2E8F0"/>
              <w:right w:val="none" w:sz="4" w:space="0" w:color="E2E8F0"/>
            </w:tcBorders>
            <w:shd w:val="clear" w:color="auto" w:fill="FFFFFF"/>
            <w:tcMar>
              <w:top w:w="50" w:type="dxa"/>
              <w:left w:w="80" w:type="dxa"/>
              <w:bottom w:w="50" w:type="dxa"/>
              <w:right w:w="80" w:type="dxa"/>
            </w:tcMar>
          </w:tcPr>
          <w:p w14:paraId="24BCED8C" w14:textId="77777777" w:rsidR="00646AD2" w:rsidRDefault="0080582A">
            <w:pPr>
              <w:spacing w:after="0" w:line="252" w:lineRule="auto"/>
            </w:pPr>
            <w:r>
              <w:rPr>
                <w:b/>
                <w:color w:val="0F2942"/>
                <w:sz w:val="15"/>
              </w:rPr>
              <w:t>You own the fine-tuned model and custom weights</w:t>
            </w:r>
          </w:p>
        </w:tc>
      </w:tr>
      <w:tr w:rsidR="00646AD2" w14:paraId="0D4382B4" w14:textId="77777777">
        <w:trPr>
          <w:jc w:val="center"/>
        </w:trPr>
        <w:tc>
          <w:tcPr>
            <w:tcW w:w="2304" w:type="dxa"/>
            <w:tcBorders>
              <w:top w:val="single" w:sz="4" w:space="0" w:color="E2E8F0"/>
              <w:left w:val="none" w:sz="4" w:space="0" w:color="E2E8F0"/>
              <w:bottom w:val="single" w:sz="4" w:space="0" w:color="E2E8F0"/>
              <w:right w:val="none" w:sz="4" w:space="0" w:color="E2E8F0"/>
            </w:tcBorders>
            <w:shd w:val="clear" w:color="auto" w:fill="F8FAFC"/>
            <w:tcMar>
              <w:top w:w="50" w:type="dxa"/>
              <w:left w:w="80" w:type="dxa"/>
              <w:bottom w:w="50" w:type="dxa"/>
              <w:right w:w="80" w:type="dxa"/>
            </w:tcMar>
          </w:tcPr>
          <w:p w14:paraId="1FB1FACD" w14:textId="77777777" w:rsidR="00646AD2" w:rsidRDefault="0080582A">
            <w:pPr>
              <w:spacing w:after="0" w:line="252" w:lineRule="auto"/>
            </w:pPr>
            <w:r>
              <w:rPr>
                <w:b/>
                <w:color w:val="0F2942"/>
                <w:sz w:val="15"/>
              </w:rPr>
              <w:lastRenderedPageBreak/>
              <w:t>Data Storage</w:t>
            </w:r>
          </w:p>
        </w:tc>
        <w:tc>
          <w:tcPr>
            <w:tcW w:w="3888" w:type="dxa"/>
            <w:tcBorders>
              <w:top w:val="single" w:sz="4" w:space="0" w:color="E2E8F0"/>
              <w:left w:val="none" w:sz="4" w:space="0" w:color="E2E8F0"/>
              <w:bottom w:val="single" w:sz="4" w:space="0" w:color="E2E8F0"/>
              <w:right w:val="none" w:sz="4" w:space="0" w:color="E2E8F0"/>
            </w:tcBorders>
            <w:shd w:val="clear" w:color="auto" w:fill="F8FAFC"/>
            <w:tcMar>
              <w:top w:w="50" w:type="dxa"/>
              <w:left w:w="80" w:type="dxa"/>
              <w:bottom w:w="50" w:type="dxa"/>
              <w:right w:w="80" w:type="dxa"/>
            </w:tcMar>
          </w:tcPr>
          <w:p w14:paraId="09EF4419" w14:textId="77777777" w:rsidR="00646AD2" w:rsidRDefault="0080582A">
            <w:pPr>
              <w:spacing w:after="0" w:line="252" w:lineRule="auto"/>
            </w:pPr>
            <w:r>
              <w:rPr>
                <w:sz w:val="15"/>
              </w:rPr>
              <w:t>Shared multi-tenant databases with open ports</w:t>
            </w:r>
          </w:p>
        </w:tc>
        <w:tc>
          <w:tcPr>
            <w:tcW w:w="3888" w:type="dxa"/>
            <w:tcBorders>
              <w:top w:val="single" w:sz="4" w:space="0" w:color="E2E8F0"/>
              <w:left w:val="none" w:sz="4" w:space="0" w:color="E2E8F0"/>
              <w:bottom w:val="single" w:sz="4" w:space="0" w:color="E2E8F0"/>
              <w:right w:val="none" w:sz="4" w:space="0" w:color="E2E8F0"/>
            </w:tcBorders>
            <w:shd w:val="clear" w:color="auto" w:fill="F8FAFC"/>
            <w:tcMar>
              <w:top w:w="50" w:type="dxa"/>
              <w:left w:w="80" w:type="dxa"/>
              <w:bottom w:w="50" w:type="dxa"/>
              <w:right w:w="80" w:type="dxa"/>
            </w:tcMar>
          </w:tcPr>
          <w:p w14:paraId="3B141A58" w14:textId="77777777" w:rsidR="00646AD2" w:rsidRDefault="0080582A">
            <w:pPr>
              <w:spacing w:after="0" w:line="252" w:lineRule="auto"/>
            </w:pPr>
            <w:r>
              <w:rPr>
                <w:b/>
                <w:color w:val="0F2942"/>
                <w:sz w:val="15"/>
              </w:rPr>
              <w:t>Isolated VPC subnets, closed ports &amp; strict tenant separation</w:t>
            </w:r>
          </w:p>
        </w:tc>
      </w:tr>
      <w:tr w:rsidR="00646AD2" w14:paraId="466CF183" w14:textId="77777777">
        <w:trPr>
          <w:jc w:val="center"/>
        </w:trPr>
        <w:tc>
          <w:tcPr>
            <w:tcW w:w="2304" w:type="dxa"/>
            <w:tcBorders>
              <w:top w:val="single" w:sz="4" w:space="0" w:color="E2E8F0"/>
              <w:left w:val="none" w:sz="4" w:space="0" w:color="E2E8F0"/>
              <w:bottom w:val="single" w:sz="4" w:space="0" w:color="E2E8F0"/>
              <w:right w:val="none" w:sz="4" w:space="0" w:color="E2E8F0"/>
            </w:tcBorders>
            <w:shd w:val="clear" w:color="auto" w:fill="FFFFFF"/>
            <w:tcMar>
              <w:top w:w="50" w:type="dxa"/>
              <w:left w:w="80" w:type="dxa"/>
              <w:bottom w:w="50" w:type="dxa"/>
              <w:right w:w="80" w:type="dxa"/>
            </w:tcMar>
          </w:tcPr>
          <w:p w14:paraId="71F9F9F8" w14:textId="77777777" w:rsidR="00646AD2" w:rsidRDefault="0080582A">
            <w:pPr>
              <w:spacing w:after="0" w:line="252" w:lineRule="auto"/>
            </w:pPr>
            <w:r>
              <w:rPr>
                <w:b/>
                <w:color w:val="0F2942"/>
                <w:sz w:val="15"/>
              </w:rPr>
              <w:t>Encryption</w:t>
            </w:r>
          </w:p>
        </w:tc>
        <w:tc>
          <w:tcPr>
            <w:tcW w:w="3888" w:type="dxa"/>
            <w:tcBorders>
              <w:top w:val="single" w:sz="4" w:space="0" w:color="E2E8F0"/>
              <w:left w:val="none" w:sz="4" w:space="0" w:color="E2E8F0"/>
              <w:bottom w:val="single" w:sz="4" w:space="0" w:color="E2E8F0"/>
              <w:right w:val="none" w:sz="4" w:space="0" w:color="E2E8F0"/>
            </w:tcBorders>
            <w:shd w:val="clear" w:color="auto" w:fill="FFFFFF"/>
            <w:tcMar>
              <w:top w:w="50" w:type="dxa"/>
              <w:left w:w="80" w:type="dxa"/>
              <w:bottom w:w="50" w:type="dxa"/>
              <w:right w:w="80" w:type="dxa"/>
            </w:tcMar>
          </w:tcPr>
          <w:p w14:paraId="1DF7A358" w14:textId="77777777" w:rsidR="00646AD2" w:rsidRDefault="0080582A">
            <w:pPr>
              <w:spacing w:after="0" w:line="252" w:lineRule="auto"/>
            </w:pPr>
            <w:r>
              <w:rPr>
                <w:sz w:val="15"/>
              </w:rPr>
              <w:t>Basic or default settings, often incomplete</w:t>
            </w:r>
          </w:p>
        </w:tc>
        <w:tc>
          <w:tcPr>
            <w:tcW w:w="3888" w:type="dxa"/>
            <w:tcBorders>
              <w:top w:val="single" w:sz="4" w:space="0" w:color="E2E8F0"/>
              <w:left w:val="none" w:sz="4" w:space="0" w:color="E2E8F0"/>
              <w:bottom w:val="single" w:sz="4" w:space="0" w:color="E2E8F0"/>
              <w:right w:val="none" w:sz="4" w:space="0" w:color="E2E8F0"/>
            </w:tcBorders>
            <w:shd w:val="clear" w:color="auto" w:fill="FFFFFF"/>
            <w:tcMar>
              <w:top w:w="50" w:type="dxa"/>
              <w:left w:w="80" w:type="dxa"/>
              <w:bottom w:w="50" w:type="dxa"/>
              <w:right w:w="80" w:type="dxa"/>
            </w:tcMar>
          </w:tcPr>
          <w:p w14:paraId="4042315F" w14:textId="77777777" w:rsidR="00646AD2" w:rsidRDefault="0080582A">
            <w:pPr>
              <w:spacing w:after="0" w:line="252" w:lineRule="auto"/>
            </w:pPr>
            <w:r>
              <w:rPr>
                <w:b/>
                <w:color w:val="0F2942"/>
                <w:sz w:val="15"/>
              </w:rPr>
              <w:t>AES-256 at rest and TLS/HTTPS in transit everywhere</w:t>
            </w:r>
          </w:p>
        </w:tc>
      </w:tr>
      <w:tr w:rsidR="00646AD2" w14:paraId="5BB221EA" w14:textId="77777777">
        <w:trPr>
          <w:jc w:val="center"/>
        </w:trPr>
        <w:tc>
          <w:tcPr>
            <w:tcW w:w="2304" w:type="dxa"/>
            <w:tcBorders>
              <w:top w:val="single" w:sz="4" w:space="0" w:color="E2E8F0"/>
              <w:left w:val="none" w:sz="4" w:space="0" w:color="E2E8F0"/>
              <w:bottom w:val="single" w:sz="4" w:space="0" w:color="E2E8F0"/>
              <w:right w:val="none" w:sz="4" w:space="0" w:color="E2E8F0"/>
            </w:tcBorders>
            <w:shd w:val="clear" w:color="auto" w:fill="F8FAFC"/>
            <w:tcMar>
              <w:top w:w="50" w:type="dxa"/>
              <w:left w:w="80" w:type="dxa"/>
              <w:bottom w:w="50" w:type="dxa"/>
              <w:right w:w="80" w:type="dxa"/>
            </w:tcMar>
          </w:tcPr>
          <w:p w14:paraId="5C7A0CEC" w14:textId="77777777" w:rsidR="00646AD2" w:rsidRDefault="0080582A">
            <w:pPr>
              <w:spacing w:after="0" w:line="252" w:lineRule="auto"/>
            </w:pPr>
            <w:r>
              <w:rPr>
                <w:b/>
                <w:color w:val="0F2942"/>
                <w:sz w:val="15"/>
              </w:rPr>
              <w:t>Competitor Risk</w:t>
            </w:r>
          </w:p>
        </w:tc>
        <w:tc>
          <w:tcPr>
            <w:tcW w:w="3888" w:type="dxa"/>
            <w:tcBorders>
              <w:top w:val="single" w:sz="4" w:space="0" w:color="E2E8F0"/>
              <w:left w:val="none" w:sz="4" w:space="0" w:color="E2E8F0"/>
              <w:bottom w:val="single" w:sz="4" w:space="0" w:color="E2E8F0"/>
              <w:right w:val="none" w:sz="4" w:space="0" w:color="E2E8F0"/>
            </w:tcBorders>
            <w:shd w:val="clear" w:color="auto" w:fill="F8FAFC"/>
            <w:tcMar>
              <w:top w:w="50" w:type="dxa"/>
              <w:left w:w="80" w:type="dxa"/>
              <w:bottom w:w="50" w:type="dxa"/>
              <w:right w:w="80" w:type="dxa"/>
            </w:tcMar>
          </w:tcPr>
          <w:p w14:paraId="514EADDF" w14:textId="77777777" w:rsidR="00646AD2" w:rsidRDefault="0080582A">
            <w:pPr>
              <w:spacing w:after="0" w:line="252" w:lineRule="auto"/>
            </w:pPr>
            <w:r>
              <w:rPr>
                <w:sz w:val="15"/>
              </w:rPr>
              <w:t>Risk of your data training general vendor models</w:t>
            </w:r>
          </w:p>
        </w:tc>
        <w:tc>
          <w:tcPr>
            <w:tcW w:w="3888" w:type="dxa"/>
            <w:tcBorders>
              <w:top w:val="single" w:sz="4" w:space="0" w:color="E2E8F0"/>
              <w:left w:val="none" w:sz="4" w:space="0" w:color="E2E8F0"/>
              <w:bottom w:val="single" w:sz="4" w:space="0" w:color="E2E8F0"/>
              <w:right w:val="none" w:sz="4" w:space="0" w:color="E2E8F0"/>
            </w:tcBorders>
            <w:shd w:val="clear" w:color="auto" w:fill="F8FAFC"/>
            <w:tcMar>
              <w:top w:w="50" w:type="dxa"/>
              <w:left w:w="80" w:type="dxa"/>
              <w:bottom w:w="50" w:type="dxa"/>
              <w:right w:w="80" w:type="dxa"/>
            </w:tcMar>
          </w:tcPr>
          <w:p w14:paraId="527132AE" w14:textId="77777777" w:rsidR="00646AD2" w:rsidRDefault="0080582A">
            <w:pPr>
              <w:spacing w:after="0" w:line="252" w:lineRule="auto"/>
            </w:pPr>
            <w:r>
              <w:rPr>
                <w:b/>
                <w:color w:val="0F2942"/>
                <w:sz w:val="15"/>
              </w:rPr>
              <w:t>Zero-leakage guarantee; your data is never pooled or shared</w:t>
            </w:r>
          </w:p>
        </w:tc>
      </w:tr>
      <w:tr w:rsidR="00646AD2" w14:paraId="053957D2" w14:textId="77777777">
        <w:trPr>
          <w:jc w:val="center"/>
        </w:trPr>
        <w:tc>
          <w:tcPr>
            <w:tcW w:w="2304" w:type="dxa"/>
            <w:tcBorders>
              <w:top w:val="single" w:sz="4" w:space="0" w:color="E2E8F0"/>
              <w:left w:val="none" w:sz="4" w:space="0" w:color="E2E8F0"/>
              <w:bottom w:val="single" w:sz="4" w:space="0" w:color="E2E8F0"/>
              <w:right w:val="none" w:sz="4" w:space="0" w:color="E2E8F0"/>
            </w:tcBorders>
            <w:shd w:val="clear" w:color="auto" w:fill="FFFFFF"/>
            <w:tcMar>
              <w:top w:w="50" w:type="dxa"/>
              <w:left w:w="80" w:type="dxa"/>
              <w:bottom w:w="50" w:type="dxa"/>
              <w:right w:w="80" w:type="dxa"/>
            </w:tcMar>
          </w:tcPr>
          <w:p w14:paraId="5BCBECA4" w14:textId="77777777" w:rsidR="00646AD2" w:rsidRDefault="0080582A">
            <w:pPr>
              <w:spacing w:after="0" w:line="252" w:lineRule="auto"/>
            </w:pPr>
            <w:r>
              <w:rPr>
                <w:b/>
                <w:color w:val="0F2942"/>
                <w:sz w:val="15"/>
              </w:rPr>
              <w:t>Access &amp; Keys</w:t>
            </w:r>
          </w:p>
        </w:tc>
        <w:tc>
          <w:tcPr>
            <w:tcW w:w="3888" w:type="dxa"/>
            <w:tcBorders>
              <w:top w:val="single" w:sz="4" w:space="0" w:color="E2E8F0"/>
              <w:left w:val="none" w:sz="4" w:space="0" w:color="E2E8F0"/>
              <w:bottom w:val="single" w:sz="4" w:space="0" w:color="E2E8F0"/>
              <w:right w:val="none" w:sz="4" w:space="0" w:color="E2E8F0"/>
            </w:tcBorders>
            <w:shd w:val="clear" w:color="auto" w:fill="FFFFFF"/>
            <w:tcMar>
              <w:top w:w="50" w:type="dxa"/>
              <w:left w:w="80" w:type="dxa"/>
              <w:bottom w:w="50" w:type="dxa"/>
              <w:right w:w="80" w:type="dxa"/>
            </w:tcMar>
          </w:tcPr>
          <w:p w14:paraId="3942393A" w14:textId="77777777" w:rsidR="00646AD2" w:rsidRDefault="0080582A">
            <w:pPr>
              <w:spacing w:after="0" w:line="252" w:lineRule="auto"/>
            </w:pPr>
            <w:r>
              <w:rPr>
                <w:sz w:val="15"/>
              </w:rPr>
              <w:t>Keys often hardcoded in scripts or shared drives</w:t>
            </w:r>
          </w:p>
        </w:tc>
        <w:tc>
          <w:tcPr>
            <w:tcW w:w="3888" w:type="dxa"/>
            <w:tcBorders>
              <w:top w:val="single" w:sz="4" w:space="0" w:color="E2E8F0"/>
              <w:left w:val="none" w:sz="4" w:space="0" w:color="E2E8F0"/>
              <w:bottom w:val="single" w:sz="4" w:space="0" w:color="E2E8F0"/>
              <w:right w:val="none" w:sz="4" w:space="0" w:color="E2E8F0"/>
            </w:tcBorders>
            <w:shd w:val="clear" w:color="auto" w:fill="FFFFFF"/>
            <w:tcMar>
              <w:top w:w="50" w:type="dxa"/>
              <w:left w:w="80" w:type="dxa"/>
              <w:bottom w:w="50" w:type="dxa"/>
              <w:right w:w="80" w:type="dxa"/>
            </w:tcMar>
          </w:tcPr>
          <w:p w14:paraId="3C9A4441" w14:textId="77777777" w:rsidR="00646AD2" w:rsidRDefault="0080582A">
            <w:pPr>
              <w:spacing w:after="0" w:line="252" w:lineRule="auto"/>
            </w:pPr>
            <w:r>
              <w:rPr>
                <w:b/>
                <w:color w:val="0F2942"/>
                <w:sz w:val="15"/>
              </w:rPr>
              <w:t>Encrypted secret vaults (AWS Secrets Manager) &amp; MFA</w:t>
            </w:r>
          </w:p>
        </w:tc>
      </w:tr>
      <w:tr w:rsidR="00646AD2" w14:paraId="3FA16449" w14:textId="77777777">
        <w:trPr>
          <w:jc w:val="center"/>
        </w:trPr>
        <w:tc>
          <w:tcPr>
            <w:tcW w:w="2304" w:type="dxa"/>
            <w:tcBorders>
              <w:top w:val="single" w:sz="4" w:space="0" w:color="E2E8F0"/>
              <w:left w:val="none" w:sz="4" w:space="0" w:color="E2E8F0"/>
              <w:bottom w:val="single" w:sz="4" w:space="0" w:color="E2E8F0"/>
              <w:right w:val="none" w:sz="4" w:space="0" w:color="E2E8F0"/>
            </w:tcBorders>
            <w:shd w:val="clear" w:color="auto" w:fill="F8FAFC"/>
            <w:tcMar>
              <w:top w:w="50" w:type="dxa"/>
              <w:left w:w="80" w:type="dxa"/>
              <w:bottom w:w="50" w:type="dxa"/>
              <w:right w:w="80" w:type="dxa"/>
            </w:tcMar>
          </w:tcPr>
          <w:p w14:paraId="03EABD7A" w14:textId="77777777" w:rsidR="00646AD2" w:rsidRDefault="0080582A">
            <w:pPr>
              <w:spacing w:after="0" w:line="252" w:lineRule="auto"/>
            </w:pPr>
            <w:r>
              <w:rPr>
                <w:b/>
                <w:color w:val="0F2942"/>
                <w:sz w:val="15"/>
              </w:rPr>
              <w:t>Exit &amp; Deletion</w:t>
            </w:r>
          </w:p>
        </w:tc>
        <w:tc>
          <w:tcPr>
            <w:tcW w:w="3888" w:type="dxa"/>
            <w:tcBorders>
              <w:top w:val="single" w:sz="4" w:space="0" w:color="E2E8F0"/>
              <w:left w:val="none" w:sz="4" w:space="0" w:color="E2E8F0"/>
              <w:bottom w:val="single" w:sz="4" w:space="0" w:color="E2E8F0"/>
              <w:right w:val="none" w:sz="4" w:space="0" w:color="E2E8F0"/>
            </w:tcBorders>
            <w:shd w:val="clear" w:color="auto" w:fill="F8FAFC"/>
            <w:tcMar>
              <w:top w:w="50" w:type="dxa"/>
              <w:left w:w="80" w:type="dxa"/>
              <w:bottom w:w="50" w:type="dxa"/>
              <w:right w:w="80" w:type="dxa"/>
            </w:tcMar>
          </w:tcPr>
          <w:p w14:paraId="5F73AEE9" w14:textId="77777777" w:rsidR="00646AD2" w:rsidRDefault="0080582A">
            <w:pPr>
              <w:spacing w:after="0" w:line="252" w:lineRule="auto"/>
            </w:pPr>
            <w:r>
              <w:rPr>
                <w:sz w:val="15"/>
              </w:rPr>
              <w:t>Proprietary lock-in with residual data retention</w:t>
            </w:r>
          </w:p>
        </w:tc>
        <w:tc>
          <w:tcPr>
            <w:tcW w:w="3888" w:type="dxa"/>
            <w:tcBorders>
              <w:top w:val="single" w:sz="4" w:space="0" w:color="E2E8F0"/>
              <w:left w:val="none" w:sz="4" w:space="0" w:color="E2E8F0"/>
              <w:bottom w:val="single" w:sz="4" w:space="0" w:color="E2E8F0"/>
              <w:right w:val="none" w:sz="4" w:space="0" w:color="E2E8F0"/>
            </w:tcBorders>
            <w:shd w:val="clear" w:color="auto" w:fill="F8FAFC"/>
            <w:tcMar>
              <w:top w:w="50" w:type="dxa"/>
              <w:left w:w="80" w:type="dxa"/>
              <w:bottom w:w="50" w:type="dxa"/>
              <w:right w:w="80" w:type="dxa"/>
            </w:tcMar>
          </w:tcPr>
          <w:p w14:paraId="740A0652" w14:textId="77777777" w:rsidR="00646AD2" w:rsidRDefault="0080582A">
            <w:pPr>
              <w:spacing w:after="0" w:line="252" w:lineRule="auto"/>
            </w:pPr>
            <w:r>
              <w:rPr>
                <w:b/>
                <w:color w:val="0F2942"/>
                <w:sz w:val="15"/>
              </w:rPr>
              <w:t>Complete data export or permanent cryptographic wipe</w:t>
            </w:r>
          </w:p>
        </w:tc>
      </w:tr>
    </w:tbl>
    <w:p w14:paraId="2D911EF6" w14:textId="77777777" w:rsidR="00646AD2" w:rsidRDefault="00646AD2">
      <w:pPr>
        <w:spacing w:after="60"/>
      </w:pPr>
    </w:p>
    <w:tbl>
      <w:tblPr>
        <w:tblW w:w="0" w:type="auto"/>
        <w:jc w:val="center"/>
        <w:tblLayout w:type="fixed"/>
        <w:tblLook w:val="04A0" w:firstRow="1" w:lastRow="0" w:firstColumn="1" w:lastColumn="0" w:noHBand="0" w:noVBand="1"/>
      </w:tblPr>
      <w:tblGrid>
        <w:gridCol w:w="10080"/>
      </w:tblGrid>
      <w:tr w:rsidR="00646AD2" w14:paraId="058BD6C3" w14:textId="77777777">
        <w:trPr>
          <w:jc w:val="center"/>
        </w:trPr>
        <w:tc>
          <w:tcPr>
            <w:tcW w:w="10080" w:type="dxa"/>
            <w:shd w:val="clear" w:color="auto" w:fill="0F2942"/>
            <w:tcMar>
              <w:top w:w="70" w:type="dxa"/>
              <w:left w:w="120" w:type="dxa"/>
              <w:bottom w:w="70" w:type="dxa"/>
              <w:right w:w="120" w:type="dxa"/>
            </w:tcMar>
          </w:tcPr>
          <w:p w14:paraId="335D800F" w14:textId="77777777" w:rsidR="00646AD2" w:rsidRDefault="0080582A">
            <w:pPr>
              <w:spacing w:after="20"/>
            </w:pPr>
            <w:r>
              <w:rPr>
                <w:b/>
                <w:color w:val="FFFFFF"/>
              </w:rPr>
              <w:t>Built for Real Businesses. Protected by Real Engineering.</w:t>
            </w:r>
          </w:p>
          <w:p w14:paraId="25069E3C" w14:textId="77777777" w:rsidR="00646AD2" w:rsidRDefault="0080582A">
            <w:pPr>
              <w:spacing w:after="40" w:line="264" w:lineRule="auto"/>
            </w:pPr>
            <w:r>
              <w:rPr>
                <w:color w:val="E2E8F0"/>
                <w:sz w:val="16"/>
              </w:rPr>
              <w:t>You don't need an unreadable 50-page corporate manual to know your data is safe. With HashCase, your data stays in your private environment, tunes your private models, and powers your business—with zero leaks, zero public sharing, and 100% data ownership.</w:t>
            </w:r>
          </w:p>
          <w:p w14:paraId="09F13506" w14:textId="77777777" w:rsidR="00646AD2" w:rsidRDefault="0080582A">
            <w:pPr>
              <w:spacing w:after="0"/>
            </w:pPr>
            <w:r>
              <w:rPr>
                <w:b/>
                <w:color w:val="93C5FD"/>
                <w:sz w:val="16"/>
              </w:rPr>
              <w:t xml:space="preserve">Have questions about our security setup? </w:t>
            </w:r>
            <w:r>
              <w:rPr>
                <w:color w:val="FFFFFF"/>
                <w:sz w:val="16"/>
              </w:rPr>
              <w:t xml:space="preserve">Contact HashCase Engineering directly: </w:t>
            </w:r>
            <w:r>
              <w:rPr>
                <w:b/>
                <w:color w:val="93C5FD"/>
                <w:sz w:val="16"/>
              </w:rPr>
              <w:t>hello@hashcase.com  |  www.hashcase.com</w:t>
            </w:r>
          </w:p>
        </w:tc>
      </w:tr>
    </w:tbl>
    <w:p w14:paraId="60BAB76D" w14:textId="77777777" w:rsidR="0080582A" w:rsidRDefault="0080582A"/>
    <w:sectPr w:rsidR="0080582A"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89768602">
    <w:abstractNumId w:val="8"/>
  </w:num>
  <w:num w:numId="2" w16cid:durableId="1888299590">
    <w:abstractNumId w:val="6"/>
  </w:num>
  <w:num w:numId="3" w16cid:durableId="530732014">
    <w:abstractNumId w:val="5"/>
  </w:num>
  <w:num w:numId="4" w16cid:durableId="1024794932">
    <w:abstractNumId w:val="4"/>
  </w:num>
  <w:num w:numId="5" w16cid:durableId="1389769679">
    <w:abstractNumId w:val="7"/>
  </w:num>
  <w:num w:numId="6" w16cid:durableId="948203323">
    <w:abstractNumId w:val="3"/>
  </w:num>
  <w:num w:numId="7" w16cid:durableId="1631789418">
    <w:abstractNumId w:val="2"/>
  </w:num>
  <w:num w:numId="8" w16cid:durableId="1294948184">
    <w:abstractNumId w:val="1"/>
  </w:num>
  <w:num w:numId="9" w16cid:durableId="20550410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152E7"/>
    <w:rsid w:val="00646AD2"/>
    <w:rsid w:val="0080582A"/>
    <w:rsid w:val="00AA1D8D"/>
    <w:rsid w:val="00B47730"/>
    <w:rsid w:val="00CB0664"/>
    <w:rsid w:val="00E3017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3B994ED"/>
  <w14:defaultImageDpi w14:val="300"/>
  <w15:docId w15:val="{9DA4FB2D-8F76-4787-887C-D29E52704B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334155"/>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745</Words>
  <Characters>4477</Characters>
  <Application>Microsoft Office Word</Application>
  <DocSecurity>0</DocSecurity>
  <Lines>79</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Shoaib Shaikh</cp:lastModifiedBy>
  <cp:revision>2</cp:revision>
  <cp:lastPrinted>2026-09-17T07:59:00Z</cp:lastPrinted>
  <dcterms:created xsi:type="dcterms:W3CDTF">2013-12-23T23:15:00Z</dcterms:created>
  <dcterms:modified xsi:type="dcterms:W3CDTF">2026-09-17T07:59:00Z</dcterms:modified>
  <cp:category/>
</cp:coreProperties>
</file>