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6912"/>
        <w:gridCol w:w="3168"/>
      </w:tblGrid>
      <w:tr w:rsidR="004D3D62" w14:paraId="63221A1C" w14:textId="77777777">
        <w:trPr>
          <w:jc w:val="center"/>
        </w:trPr>
        <w:tc>
          <w:tcPr>
            <w:tcW w:w="6912" w:type="dxa"/>
          </w:tcPr>
          <w:p w14:paraId="4E11B850" w14:textId="77777777" w:rsidR="004D3D62" w:rsidRDefault="0091382D">
            <w:pPr>
              <w:spacing w:after="40"/>
            </w:pPr>
            <w:r>
              <w:rPr>
                <w:b/>
                <w:color w:val="1D63ED"/>
                <w:sz w:val="17"/>
              </w:rPr>
              <w:t>HASHCASE  |  ENTERPRISE AI CAPABILITY BRIEF</w:t>
            </w:r>
          </w:p>
          <w:p w14:paraId="18D8BF2A" w14:textId="77777777" w:rsidR="004D3D62" w:rsidRDefault="0091382D">
            <w:pPr>
              <w:spacing w:after="40"/>
            </w:pPr>
            <w:r>
              <w:rPr>
                <w:b/>
                <w:color w:val="0F2942"/>
                <w:sz w:val="32"/>
              </w:rPr>
              <w:t>Enterprise AI Workflow Evaluation Framework</w:t>
            </w:r>
          </w:p>
          <w:p w14:paraId="4E2A6987" w14:textId="77777777" w:rsidR="004D3D62" w:rsidRDefault="0091382D">
            <w:pPr>
              <w:spacing w:after="0"/>
            </w:pPr>
            <w:r>
              <w:rPr>
                <w:i/>
                <w:color w:val="64748B"/>
              </w:rPr>
              <w:t>How We Benchmark, Validate, and Guarantee Production-Grade Automations</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C1F2D85" w14:textId="77777777" w:rsidR="004D3D62" w:rsidRDefault="0091382D">
            <w:pPr>
              <w:spacing w:after="20"/>
              <w:jc w:val="right"/>
            </w:pPr>
            <w:r>
              <w:rPr>
                <w:b/>
                <w:color w:val="64748B"/>
                <w:sz w:val="15"/>
              </w:rPr>
              <w:t xml:space="preserve">TARGET: </w:t>
            </w:r>
            <w:r>
              <w:rPr>
                <w:sz w:val="15"/>
              </w:rPr>
              <w:t>Enterprise Operations &amp; Tech Leadership</w:t>
            </w:r>
            <w:r>
              <w:rPr>
                <w:sz w:val="15"/>
              </w:rPr>
              <w:br/>
            </w:r>
            <w:r>
              <w:rPr>
                <w:b/>
                <w:color w:val="64748B"/>
                <w:sz w:val="15"/>
              </w:rPr>
              <w:t xml:space="preserve">SCOPE: </w:t>
            </w:r>
            <w:r>
              <w:rPr>
                <w:sz w:val="15"/>
              </w:rPr>
              <w:t>Automated Workflow Reliability (Evals)</w:t>
            </w:r>
            <w:r>
              <w:rPr>
                <w:sz w:val="15"/>
              </w:rPr>
              <w:br/>
            </w:r>
            <w:r>
              <w:rPr>
                <w:b/>
                <w:color w:val="64748B"/>
                <w:sz w:val="15"/>
              </w:rPr>
              <w:t xml:space="preserve">STATUS: </w:t>
            </w:r>
            <w:r>
              <w:rPr>
                <w:b/>
                <w:color w:val="1D63ED"/>
                <w:sz w:val="15"/>
              </w:rPr>
              <w:t>Production Hardening Standard</w:t>
            </w:r>
          </w:p>
        </w:tc>
      </w:tr>
    </w:tbl>
    <w:p w14:paraId="2E50995C" w14:textId="77777777" w:rsidR="004D3D62" w:rsidRDefault="004D3D62">
      <w:pPr>
        <w:spacing w:after="40"/>
      </w:pPr>
    </w:p>
    <w:tbl>
      <w:tblPr>
        <w:tblW w:w="0" w:type="auto"/>
        <w:tblLook w:val="04A0" w:firstRow="1" w:lastRow="0" w:firstColumn="1" w:lastColumn="0" w:noHBand="0" w:noVBand="1"/>
      </w:tblPr>
      <w:tblGrid>
        <w:gridCol w:w="10080"/>
      </w:tblGrid>
      <w:tr w:rsidR="004D3D62" w14:paraId="6DB1AE52" w14:textId="77777777">
        <w:tc>
          <w:tcPr>
            <w:tcW w:w="10080" w:type="dxa"/>
            <w:shd w:val="clear" w:color="auto" w:fill="1D63ED"/>
            <w:tcMar>
              <w:top w:w="10" w:type="dxa"/>
              <w:left w:w="0" w:type="dxa"/>
              <w:bottom w:w="10" w:type="dxa"/>
              <w:right w:w="0" w:type="dxa"/>
            </w:tcMar>
          </w:tcPr>
          <w:p w14:paraId="65183B8E" w14:textId="77777777" w:rsidR="004D3D62" w:rsidRDefault="004D3D62">
            <w:pPr>
              <w:spacing w:after="0"/>
            </w:pPr>
          </w:p>
        </w:tc>
      </w:tr>
    </w:tbl>
    <w:tbl>
      <w:tblPr>
        <w:tblW w:w="0" w:type="auto"/>
        <w:jc w:val="center"/>
        <w:tblLayout w:type="fixed"/>
        <w:tblLook w:val="04A0" w:firstRow="1" w:lastRow="0" w:firstColumn="1" w:lastColumn="0" w:noHBand="0" w:noVBand="1"/>
      </w:tblPr>
      <w:tblGrid>
        <w:gridCol w:w="10080"/>
      </w:tblGrid>
      <w:tr w:rsidR="004D3D62" w14:paraId="4FF175E8" w14:textId="77777777">
        <w:trPr>
          <w:jc w:val="center"/>
        </w:trPr>
        <w:tc>
          <w:tcPr>
            <w:tcW w:w="10080" w:type="dxa"/>
            <w:tcBorders>
              <w:top w:val="none" w:sz="16" w:space="0" w:color="1D63ED"/>
              <w:left w:val="single" w:sz="16" w:space="0" w:color="1D63ED"/>
              <w:bottom w:val="none" w:sz="16" w:space="0" w:color="1D63ED"/>
              <w:right w:val="none" w:sz="16" w:space="0" w:color="1D63ED"/>
            </w:tcBorders>
            <w:shd w:val="clear" w:color="auto" w:fill="F1F5F9"/>
            <w:tcMar>
              <w:top w:w="100" w:type="dxa"/>
              <w:left w:w="160" w:type="dxa"/>
              <w:bottom w:w="100" w:type="dxa"/>
              <w:right w:w="140" w:type="dxa"/>
            </w:tcMar>
          </w:tcPr>
          <w:p w14:paraId="547963AB" w14:textId="77777777" w:rsidR="004D3D62" w:rsidRDefault="0091382D">
            <w:pPr>
              <w:spacing w:after="60"/>
            </w:pPr>
            <w:r>
              <w:rPr>
                <w:b/>
                <w:color w:val="0F2942"/>
              </w:rPr>
              <w:t xml:space="preserve">The HashCase Guarantee: </w:t>
            </w:r>
            <w:r>
              <w:rPr>
                <w:sz w:val="18"/>
              </w:rPr>
              <w:t>General-purpose LLMs are inherently probabilistic, but enterprise operations require 100% deterministic guarantees. At HashCase, we do not deploy raw prompts into your organization. We engineer, stress-test, and deploy hardened AI workflows governed by a 6-pillar automated evaluation framework. Every automated action is validated for business logic correctness, API precision, cost predictability, and security before touching client systems.</w:t>
            </w:r>
          </w:p>
        </w:tc>
      </w:tr>
    </w:tbl>
    <w:p w14:paraId="7D451680" w14:textId="77777777" w:rsidR="004D3D62" w:rsidRDefault="0091382D">
      <w:pPr>
        <w:spacing w:before="160" w:after="80"/>
      </w:pPr>
      <w:r>
        <w:rPr>
          <w:b/>
          <w:color w:val="0F2942"/>
          <w:sz w:val="24"/>
        </w:rPr>
        <w:t>Our 6 Core Evaluation Pillars</w:t>
      </w:r>
    </w:p>
    <w:tbl>
      <w:tblPr>
        <w:tblW w:w="0" w:type="auto"/>
        <w:jc w:val="center"/>
        <w:tblLayout w:type="fixed"/>
        <w:tblLook w:val="04A0" w:firstRow="1" w:lastRow="0" w:firstColumn="1" w:lastColumn="0" w:noHBand="0" w:noVBand="1"/>
      </w:tblPr>
      <w:tblGrid>
        <w:gridCol w:w="10080"/>
      </w:tblGrid>
      <w:tr w:rsidR="004D3D62" w14:paraId="1CA2E1AC" w14:textId="77777777">
        <w:trPr>
          <w:jc w:val="center"/>
        </w:trPr>
        <w:tc>
          <w:tcPr>
            <w:tcW w:w="10080" w:type="dxa"/>
            <w:tcBorders>
              <w:top w:val="none" w:sz="8" w:space="0" w:color="CBD5E1"/>
              <w:left w:val="single" w:sz="8" w:space="0" w:color="CBD5E1"/>
              <w:bottom w:val="none" w:sz="8" w:space="0" w:color="CBD5E1"/>
              <w:right w:val="none" w:sz="8" w:space="0" w:color="CBD5E1"/>
            </w:tcBorders>
            <w:shd w:val="clear" w:color="auto" w:fill="FFFFFF"/>
            <w:tcMar>
              <w:top w:w="40" w:type="dxa"/>
              <w:left w:w="100" w:type="dxa"/>
              <w:bottom w:w="40" w:type="dxa"/>
              <w:right w:w="80" w:type="dxa"/>
            </w:tcMar>
          </w:tcPr>
          <w:p w14:paraId="5E7D28CE" w14:textId="77777777" w:rsidR="004D3D62" w:rsidRDefault="0091382D">
            <w:pPr>
              <w:spacing w:after="40"/>
            </w:pPr>
            <w:r>
              <w:rPr>
                <w:b/>
                <w:color w:val="1D63ED"/>
                <w:sz w:val="17"/>
              </w:rPr>
              <w:t xml:space="preserve">PILLAR 1: </w:t>
            </w:r>
            <w:r>
              <w:rPr>
                <w:b/>
                <w:color w:val="0F2942"/>
                <w:sz w:val="20"/>
              </w:rPr>
              <w:t>Deterministic &amp; Programmatic Business Logic Evals</w:t>
            </w:r>
          </w:p>
          <w:p w14:paraId="02934DDE" w14:textId="77777777" w:rsidR="004D3D62" w:rsidRDefault="0091382D">
            <w:pPr>
              <w:spacing w:after="40"/>
            </w:pPr>
            <w:r>
              <w:rPr>
                <w:i/>
                <w:color w:val="64748B"/>
                <w:sz w:val="17"/>
              </w:rPr>
              <w:t>Eliminating Silent Failure through Code-Level Assertions</w:t>
            </w:r>
          </w:p>
          <w:p w14:paraId="681EE7C2" w14:textId="77777777" w:rsidR="004D3D62" w:rsidRDefault="0091382D">
            <w:pPr>
              <w:spacing w:before="20" w:after="40"/>
            </w:pPr>
            <w:r>
              <w:rPr>
                <w:b/>
                <w:sz w:val="18"/>
              </w:rPr>
              <w:t xml:space="preserve">What We Do: </w:t>
            </w:r>
            <w:r>
              <w:rPr>
                <w:sz w:val="18"/>
              </w:rPr>
              <w:t>We do not rely on AI to verify its own factual or arithmetic correctness. Before any workflow output or database update is approved, our automated harness runs strict code-level assertions: validating strict data schemas (JSON/Pydantic), confirming relational invariants (e.g., invoice totals = subtotal + tax), and verifying foreign keys and entity IDs directly against your enterprise records.</w:t>
            </w:r>
          </w:p>
          <w:p w14:paraId="04ADDA78" w14:textId="77777777" w:rsidR="004D3D62" w:rsidRDefault="0091382D">
            <w:pPr>
              <w:spacing w:before="20" w:after="20"/>
            </w:pPr>
            <w:r>
              <w:rPr>
                <w:b/>
                <w:color w:val="1D63ED"/>
                <w:sz w:val="17"/>
              </w:rPr>
              <w:t xml:space="preserve">Client Guarantee: </w:t>
            </w:r>
            <w:r>
              <w:rPr>
                <w:i/>
                <w:color w:val="0F2942"/>
                <w:sz w:val="17"/>
              </w:rPr>
              <w:t>Zero hallucinated schema fields, 100% mathematical consistency, and guaranteed type safety.</w:t>
            </w:r>
          </w:p>
        </w:tc>
      </w:tr>
    </w:tbl>
    <w:p w14:paraId="2FB8402D" w14:textId="77777777" w:rsidR="004D3D62" w:rsidRDefault="004D3D62">
      <w:pPr>
        <w:spacing w:after="20"/>
      </w:pPr>
    </w:p>
    <w:tbl>
      <w:tblPr>
        <w:tblW w:w="0" w:type="auto"/>
        <w:jc w:val="center"/>
        <w:tblLayout w:type="fixed"/>
        <w:tblLook w:val="04A0" w:firstRow="1" w:lastRow="0" w:firstColumn="1" w:lastColumn="0" w:noHBand="0" w:noVBand="1"/>
      </w:tblPr>
      <w:tblGrid>
        <w:gridCol w:w="10080"/>
      </w:tblGrid>
      <w:tr w:rsidR="004D3D62" w14:paraId="6D99A43D" w14:textId="77777777">
        <w:trPr>
          <w:jc w:val="center"/>
        </w:trPr>
        <w:tc>
          <w:tcPr>
            <w:tcW w:w="10080" w:type="dxa"/>
            <w:tcBorders>
              <w:top w:val="none" w:sz="8" w:space="0" w:color="CBD5E1"/>
              <w:left w:val="single" w:sz="8" w:space="0" w:color="CBD5E1"/>
              <w:bottom w:val="none" w:sz="8" w:space="0" w:color="CBD5E1"/>
              <w:right w:val="none" w:sz="8" w:space="0" w:color="CBD5E1"/>
            </w:tcBorders>
            <w:shd w:val="clear" w:color="auto" w:fill="FFFFFF"/>
            <w:tcMar>
              <w:top w:w="40" w:type="dxa"/>
              <w:left w:w="100" w:type="dxa"/>
              <w:bottom w:w="40" w:type="dxa"/>
              <w:right w:w="80" w:type="dxa"/>
            </w:tcMar>
          </w:tcPr>
          <w:p w14:paraId="4A82DD22" w14:textId="77777777" w:rsidR="004D3D62" w:rsidRDefault="0091382D">
            <w:pPr>
              <w:spacing w:after="40"/>
            </w:pPr>
            <w:r>
              <w:rPr>
                <w:b/>
                <w:color w:val="1D63ED"/>
                <w:sz w:val="17"/>
              </w:rPr>
              <w:t xml:space="preserve">PILLAR 2: </w:t>
            </w:r>
            <w:r>
              <w:rPr>
                <w:b/>
                <w:color w:val="0F2942"/>
                <w:sz w:val="20"/>
              </w:rPr>
              <w:t>Multi-Step &amp; Agent Trajectory Evals</w:t>
            </w:r>
          </w:p>
          <w:p w14:paraId="196A3294" w14:textId="77777777" w:rsidR="004D3D62" w:rsidRDefault="0091382D">
            <w:pPr>
              <w:spacing w:after="40"/>
            </w:pPr>
            <w:r>
              <w:rPr>
                <w:i/>
                <w:color w:val="64748B"/>
                <w:sz w:val="17"/>
              </w:rPr>
              <w:t>Tool Selection Accuracy, Trajectory Efficiency &amp; Loop Detection</w:t>
            </w:r>
          </w:p>
          <w:p w14:paraId="1A230759" w14:textId="77777777" w:rsidR="004D3D62" w:rsidRDefault="0091382D">
            <w:pPr>
              <w:spacing w:before="20" w:after="40"/>
            </w:pPr>
            <w:r>
              <w:rPr>
                <w:b/>
                <w:sz w:val="18"/>
              </w:rPr>
              <w:t xml:space="preserve">What We Do: </w:t>
            </w:r>
            <w:r>
              <w:rPr>
                <w:sz w:val="18"/>
              </w:rPr>
              <w:t>Modern automations chain multiple tools (CRMs, ERPs, APIs, databases) together. We evaluate the entire execution path: measuring tool selection precision/recall (ensuring the agent selects the exact right tool with correct arguments), tracking trajectory efficiency (eliminating wasteful intermediate calls), and enforcing deterministic loop detection to ensure an agent never gets trapped in infinite execution cycles.</w:t>
            </w:r>
          </w:p>
          <w:p w14:paraId="4CDDA1EB" w14:textId="77777777" w:rsidR="004D3D62" w:rsidRDefault="0091382D">
            <w:pPr>
              <w:spacing w:before="20" w:after="20"/>
            </w:pPr>
            <w:r>
              <w:rPr>
                <w:b/>
                <w:color w:val="1D63ED"/>
                <w:sz w:val="17"/>
              </w:rPr>
              <w:t xml:space="preserve">Client Guarantee: </w:t>
            </w:r>
            <w:r>
              <w:rPr>
                <w:i/>
                <w:color w:val="0F2942"/>
                <w:sz w:val="17"/>
              </w:rPr>
              <w:t>Predictable, streamlined agent execution without runaway API loops, wasted tokens, or misfired webhooks.</w:t>
            </w:r>
          </w:p>
        </w:tc>
      </w:tr>
    </w:tbl>
    <w:p w14:paraId="3A3E9945" w14:textId="77777777" w:rsidR="004D3D62" w:rsidRDefault="004D3D62">
      <w:pPr>
        <w:spacing w:after="20"/>
      </w:pPr>
    </w:p>
    <w:tbl>
      <w:tblPr>
        <w:tblW w:w="0" w:type="auto"/>
        <w:jc w:val="center"/>
        <w:tblLayout w:type="fixed"/>
        <w:tblLook w:val="04A0" w:firstRow="1" w:lastRow="0" w:firstColumn="1" w:lastColumn="0" w:noHBand="0" w:noVBand="1"/>
      </w:tblPr>
      <w:tblGrid>
        <w:gridCol w:w="10080"/>
      </w:tblGrid>
      <w:tr w:rsidR="004D3D62" w14:paraId="674358DF" w14:textId="77777777">
        <w:trPr>
          <w:jc w:val="center"/>
        </w:trPr>
        <w:tc>
          <w:tcPr>
            <w:tcW w:w="10080" w:type="dxa"/>
            <w:tcBorders>
              <w:top w:val="none" w:sz="8" w:space="0" w:color="CBD5E1"/>
              <w:left w:val="single" w:sz="8" w:space="0" w:color="CBD5E1"/>
              <w:bottom w:val="none" w:sz="8" w:space="0" w:color="CBD5E1"/>
              <w:right w:val="none" w:sz="8" w:space="0" w:color="CBD5E1"/>
            </w:tcBorders>
            <w:shd w:val="clear" w:color="auto" w:fill="FFFFFF"/>
            <w:tcMar>
              <w:top w:w="40" w:type="dxa"/>
              <w:left w:w="100" w:type="dxa"/>
              <w:bottom w:w="40" w:type="dxa"/>
              <w:right w:w="80" w:type="dxa"/>
            </w:tcMar>
          </w:tcPr>
          <w:p w14:paraId="0E8AAF21" w14:textId="77777777" w:rsidR="004D3D62" w:rsidRDefault="0091382D">
            <w:pPr>
              <w:spacing w:after="40"/>
            </w:pPr>
            <w:r>
              <w:rPr>
                <w:b/>
                <w:color w:val="1D63ED"/>
                <w:sz w:val="17"/>
              </w:rPr>
              <w:t xml:space="preserve">PILLAR 3: </w:t>
            </w:r>
            <w:r>
              <w:rPr>
                <w:b/>
                <w:color w:val="0F2942"/>
                <w:sz w:val="20"/>
              </w:rPr>
              <w:t>LLM-as-a-Judge with Calibrated Rubrics</w:t>
            </w:r>
          </w:p>
          <w:p w14:paraId="796D4E44" w14:textId="77777777" w:rsidR="004D3D62" w:rsidRDefault="0091382D">
            <w:pPr>
              <w:spacing w:after="40"/>
            </w:pPr>
            <w:r>
              <w:rPr>
                <w:i/>
                <w:color w:val="64748B"/>
                <w:sz w:val="17"/>
              </w:rPr>
              <w:t>Automated Qualitative Audits Calibrated to Your Senior Leadership</w:t>
            </w:r>
          </w:p>
          <w:p w14:paraId="71607944" w14:textId="77777777" w:rsidR="004D3D62" w:rsidRDefault="0091382D">
            <w:pPr>
              <w:spacing w:before="20" w:after="40"/>
            </w:pPr>
            <w:r>
              <w:rPr>
                <w:b/>
                <w:sz w:val="18"/>
              </w:rPr>
              <w:t xml:space="preserve">What We Do: </w:t>
            </w:r>
            <w:r>
              <w:rPr>
                <w:sz w:val="18"/>
              </w:rPr>
              <w:t>For qualitative outputs (customer emails, policy summaries, case triage), we deploy frontier LLM judges governed by exhaustive, multi-point rubrics (evaluating faithfulness to source documents, tone, completeness, and policy compliance). Crucially, we calibrate our automated judges against your human Subject Matter Experts (SMEs) to ensure our automated evaluations achieve &gt;90% statistical alignment with your senior staff.</w:t>
            </w:r>
          </w:p>
          <w:p w14:paraId="1D191B91" w14:textId="77777777" w:rsidR="004D3D62" w:rsidRDefault="0091382D">
            <w:pPr>
              <w:spacing w:before="20" w:after="20"/>
            </w:pPr>
            <w:r>
              <w:rPr>
                <w:b/>
                <w:color w:val="1D63ED"/>
                <w:sz w:val="17"/>
              </w:rPr>
              <w:t xml:space="preserve">Client Guarantee: </w:t>
            </w:r>
            <w:r>
              <w:rPr>
                <w:i/>
                <w:color w:val="0F2942"/>
                <w:sz w:val="17"/>
              </w:rPr>
              <w:t>Automated, scalable quality control that grades every output with the exact standards of your best employees.</w:t>
            </w:r>
          </w:p>
        </w:tc>
      </w:tr>
    </w:tbl>
    <w:p w14:paraId="1DB562FE" w14:textId="77777777" w:rsidR="004D3D62" w:rsidRDefault="004D3D62">
      <w:pPr>
        <w:spacing w:after="20"/>
      </w:pPr>
    </w:p>
    <w:tbl>
      <w:tblPr>
        <w:tblW w:w="0" w:type="auto"/>
        <w:jc w:val="center"/>
        <w:tblLayout w:type="fixed"/>
        <w:tblLook w:val="04A0" w:firstRow="1" w:lastRow="0" w:firstColumn="1" w:lastColumn="0" w:noHBand="0" w:noVBand="1"/>
      </w:tblPr>
      <w:tblGrid>
        <w:gridCol w:w="10080"/>
      </w:tblGrid>
      <w:tr w:rsidR="004D3D62" w14:paraId="20546A35" w14:textId="77777777">
        <w:trPr>
          <w:jc w:val="center"/>
        </w:trPr>
        <w:tc>
          <w:tcPr>
            <w:tcW w:w="10080" w:type="dxa"/>
            <w:tcBorders>
              <w:top w:val="none" w:sz="8" w:space="0" w:color="CBD5E1"/>
              <w:left w:val="single" w:sz="8" w:space="0" w:color="CBD5E1"/>
              <w:bottom w:val="none" w:sz="8" w:space="0" w:color="CBD5E1"/>
              <w:right w:val="none" w:sz="8" w:space="0" w:color="CBD5E1"/>
            </w:tcBorders>
            <w:shd w:val="clear" w:color="auto" w:fill="FFFFFF"/>
            <w:tcMar>
              <w:top w:w="40" w:type="dxa"/>
              <w:left w:w="100" w:type="dxa"/>
              <w:bottom w:w="40" w:type="dxa"/>
              <w:right w:w="80" w:type="dxa"/>
            </w:tcMar>
          </w:tcPr>
          <w:p w14:paraId="52A3670A" w14:textId="77777777" w:rsidR="004D3D62" w:rsidRDefault="0091382D">
            <w:pPr>
              <w:spacing w:after="40"/>
            </w:pPr>
            <w:r>
              <w:rPr>
                <w:b/>
                <w:color w:val="1D63ED"/>
                <w:sz w:val="17"/>
              </w:rPr>
              <w:t xml:space="preserve">PILLAR 4: </w:t>
            </w:r>
            <w:r>
              <w:rPr>
                <w:b/>
                <w:color w:val="0F2942"/>
                <w:sz w:val="20"/>
              </w:rPr>
              <w:t>Sandbox Simulation &amp; Mock Environments</w:t>
            </w:r>
          </w:p>
          <w:p w14:paraId="61B4D062" w14:textId="77777777" w:rsidR="004D3D62" w:rsidRDefault="0091382D">
            <w:pPr>
              <w:spacing w:after="40"/>
            </w:pPr>
            <w:r>
              <w:rPr>
                <w:i/>
                <w:color w:val="64748B"/>
                <w:sz w:val="17"/>
              </w:rPr>
              <w:t>Safe, Side-Effect-Free Validation Against Enterprise Systems</w:t>
            </w:r>
          </w:p>
          <w:p w14:paraId="70AB3310" w14:textId="77777777" w:rsidR="004D3D62" w:rsidRDefault="0091382D">
            <w:pPr>
              <w:spacing w:before="20" w:after="40"/>
            </w:pPr>
            <w:r>
              <w:rPr>
                <w:b/>
                <w:sz w:val="18"/>
              </w:rPr>
              <w:t xml:space="preserve">What We Do: </w:t>
            </w:r>
            <w:r>
              <w:rPr>
                <w:sz w:val="18"/>
              </w:rPr>
              <w:t>Testing live AI agents against real production databases or ticketing platforms creates immense operational risk. HashCase evaluates workflows in isolated sandboxes and mock API environments. We validate state transitions—confirming not just what the model outputs, but that the mock CRM record, inventory count, or status flag transitioned to the exact intended state under simulated network delays, rate limits, and service outages.</w:t>
            </w:r>
          </w:p>
          <w:p w14:paraId="72D2E97E" w14:textId="77777777" w:rsidR="004D3D62" w:rsidRDefault="0091382D">
            <w:pPr>
              <w:spacing w:before="20" w:after="20"/>
            </w:pPr>
            <w:r>
              <w:rPr>
                <w:b/>
                <w:color w:val="1D63ED"/>
                <w:sz w:val="17"/>
              </w:rPr>
              <w:t xml:space="preserve">Client Guarantee: </w:t>
            </w:r>
            <w:r>
              <w:rPr>
                <w:i/>
                <w:color w:val="0F2942"/>
                <w:sz w:val="17"/>
              </w:rPr>
              <w:t>Zero risk to production data, with proven state-level verification before live deployment.</w:t>
            </w:r>
          </w:p>
        </w:tc>
      </w:tr>
    </w:tbl>
    <w:p w14:paraId="617B283A" w14:textId="77777777" w:rsidR="004D3D62" w:rsidRDefault="004D3D62">
      <w:pPr>
        <w:spacing w:after="20"/>
      </w:pPr>
    </w:p>
    <w:tbl>
      <w:tblPr>
        <w:tblW w:w="0" w:type="auto"/>
        <w:jc w:val="center"/>
        <w:tblLayout w:type="fixed"/>
        <w:tblLook w:val="04A0" w:firstRow="1" w:lastRow="0" w:firstColumn="1" w:lastColumn="0" w:noHBand="0" w:noVBand="1"/>
      </w:tblPr>
      <w:tblGrid>
        <w:gridCol w:w="10080"/>
      </w:tblGrid>
      <w:tr w:rsidR="004D3D62" w14:paraId="02E75E42" w14:textId="77777777">
        <w:trPr>
          <w:jc w:val="center"/>
        </w:trPr>
        <w:tc>
          <w:tcPr>
            <w:tcW w:w="10080" w:type="dxa"/>
            <w:tcBorders>
              <w:top w:val="none" w:sz="8" w:space="0" w:color="CBD5E1"/>
              <w:left w:val="single" w:sz="8" w:space="0" w:color="CBD5E1"/>
              <w:bottom w:val="none" w:sz="8" w:space="0" w:color="CBD5E1"/>
              <w:right w:val="none" w:sz="8" w:space="0" w:color="CBD5E1"/>
            </w:tcBorders>
            <w:shd w:val="clear" w:color="auto" w:fill="FFFFFF"/>
            <w:tcMar>
              <w:top w:w="40" w:type="dxa"/>
              <w:left w:w="100" w:type="dxa"/>
              <w:bottom w:w="40" w:type="dxa"/>
              <w:right w:w="80" w:type="dxa"/>
            </w:tcMar>
          </w:tcPr>
          <w:p w14:paraId="4CC32305" w14:textId="77777777" w:rsidR="004D3D62" w:rsidRDefault="0091382D">
            <w:pPr>
              <w:spacing w:after="40"/>
            </w:pPr>
            <w:r>
              <w:rPr>
                <w:b/>
                <w:color w:val="1D63ED"/>
                <w:sz w:val="17"/>
              </w:rPr>
              <w:t xml:space="preserve">PILLAR 5: </w:t>
            </w:r>
            <w:r>
              <w:rPr>
                <w:b/>
                <w:color w:val="0F2942"/>
                <w:sz w:val="20"/>
              </w:rPr>
              <w:t>Curated 'Golden Datasets' &amp; Synthetic Expansion</w:t>
            </w:r>
          </w:p>
          <w:p w14:paraId="75234A82" w14:textId="77777777" w:rsidR="004D3D62" w:rsidRDefault="0091382D">
            <w:pPr>
              <w:spacing w:after="40"/>
            </w:pPr>
            <w:r>
              <w:rPr>
                <w:i/>
                <w:color w:val="64748B"/>
                <w:sz w:val="17"/>
              </w:rPr>
              <w:t>Continuous Stress-Testing Against Adversarial Edge Cases</w:t>
            </w:r>
          </w:p>
          <w:p w14:paraId="65EE594E" w14:textId="77777777" w:rsidR="004D3D62" w:rsidRDefault="0091382D">
            <w:pPr>
              <w:spacing w:before="20" w:after="40"/>
            </w:pPr>
            <w:r>
              <w:rPr>
                <w:b/>
                <w:sz w:val="18"/>
              </w:rPr>
              <w:lastRenderedPageBreak/>
              <w:t xml:space="preserve">What We Do: </w:t>
            </w:r>
            <w:r>
              <w:rPr>
                <w:sz w:val="18"/>
              </w:rPr>
              <w:t>We curate a proprietary regression test suite from your historical enterprise records and real-world edge cases. We then artificially expand this dataset with synthetic adversarial generation: intentionally injecting typos, missing fields, contradictory customer requests, and malformed inputs. Crucially, every production anomaly or corner-case discovered is converted into a permanent regression test case.</w:t>
            </w:r>
          </w:p>
          <w:p w14:paraId="03E4FDC0" w14:textId="77777777" w:rsidR="004D3D62" w:rsidRDefault="0091382D">
            <w:pPr>
              <w:spacing w:before="20" w:after="20"/>
            </w:pPr>
            <w:r>
              <w:rPr>
                <w:b/>
                <w:color w:val="1D63ED"/>
                <w:sz w:val="17"/>
              </w:rPr>
              <w:t xml:space="preserve">Client Guarantee: </w:t>
            </w:r>
            <w:r>
              <w:rPr>
                <w:i/>
                <w:color w:val="0F2942"/>
                <w:sz w:val="17"/>
              </w:rPr>
              <w:t>An automation system that becomes systematically more resilient with every iteration, preventing regression.</w:t>
            </w:r>
          </w:p>
        </w:tc>
      </w:tr>
    </w:tbl>
    <w:p w14:paraId="0117C39A" w14:textId="77777777" w:rsidR="004D3D62" w:rsidRDefault="004D3D62">
      <w:pPr>
        <w:spacing w:after="20"/>
      </w:pPr>
    </w:p>
    <w:tbl>
      <w:tblPr>
        <w:tblW w:w="0" w:type="auto"/>
        <w:jc w:val="center"/>
        <w:tblLayout w:type="fixed"/>
        <w:tblLook w:val="04A0" w:firstRow="1" w:lastRow="0" w:firstColumn="1" w:lastColumn="0" w:noHBand="0" w:noVBand="1"/>
      </w:tblPr>
      <w:tblGrid>
        <w:gridCol w:w="10080"/>
      </w:tblGrid>
      <w:tr w:rsidR="004D3D62" w14:paraId="2D0D0155" w14:textId="77777777">
        <w:trPr>
          <w:jc w:val="center"/>
        </w:trPr>
        <w:tc>
          <w:tcPr>
            <w:tcW w:w="10080" w:type="dxa"/>
            <w:tcBorders>
              <w:top w:val="none" w:sz="8" w:space="0" w:color="CBD5E1"/>
              <w:left w:val="single" w:sz="8" w:space="0" w:color="CBD5E1"/>
              <w:bottom w:val="none" w:sz="8" w:space="0" w:color="CBD5E1"/>
              <w:right w:val="none" w:sz="8" w:space="0" w:color="CBD5E1"/>
            </w:tcBorders>
            <w:shd w:val="clear" w:color="auto" w:fill="FFFFFF"/>
            <w:tcMar>
              <w:top w:w="40" w:type="dxa"/>
              <w:left w:w="100" w:type="dxa"/>
              <w:bottom w:w="40" w:type="dxa"/>
              <w:right w:w="80" w:type="dxa"/>
            </w:tcMar>
          </w:tcPr>
          <w:p w14:paraId="07B79237" w14:textId="77777777" w:rsidR="004D3D62" w:rsidRDefault="0091382D">
            <w:pPr>
              <w:spacing w:after="40"/>
            </w:pPr>
            <w:r>
              <w:rPr>
                <w:b/>
                <w:color w:val="1D63ED"/>
                <w:sz w:val="17"/>
              </w:rPr>
              <w:t xml:space="preserve">PILLAR 6: </w:t>
            </w:r>
            <w:r>
              <w:rPr>
                <w:b/>
                <w:color w:val="0F2942"/>
                <w:sz w:val="20"/>
              </w:rPr>
              <w:t>Operational, Cost &amp; Security Evals</w:t>
            </w:r>
          </w:p>
          <w:p w14:paraId="2870F2FC" w14:textId="77777777" w:rsidR="004D3D62" w:rsidRDefault="0091382D">
            <w:pPr>
              <w:spacing w:after="40"/>
            </w:pPr>
            <w:r>
              <w:rPr>
                <w:i/>
                <w:color w:val="64748B"/>
                <w:sz w:val="17"/>
              </w:rPr>
              <w:t>Latency Budgets, Token Attribution &amp; Adversarial Jailbreak Defense</w:t>
            </w:r>
          </w:p>
          <w:p w14:paraId="10267E4E" w14:textId="77777777" w:rsidR="004D3D62" w:rsidRDefault="0091382D">
            <w:pPr>
              <w:spacing w:before="20" w:after="40"/>
            </w:pPr>
            <w:r>
              <w:rPr>
                <w:b/>
                <w:sz w:val="18"/>
              </w:rPr>
              <w:t xml:space="preserve">What We Do: </w:t>
            </w:r>
            <w:r>
              <w:rPr>
                <w:sz w:val="18"/>
              </w:rPr>
              <w:t>Enterprise readiness requires meeting strict operational SLAs. We benchmark Time-to-First-Token (TTFT) and P95/P99 execution latency. We enforce granular cost-per-workflow attribution to ensure high ROI and intelligent model routing. Furthermore, we execute automated security red-teaming to defend against indirect prompt injection, jailbreaks, and unauthorized PII leakage.</w:t>
            </w:r>
          </w:p>
          <w:p w14:paraId="2FC82A56" w14:textId="77777777" w:rsidR="004D3D62" w:rsidRDefault="0091382D">
            <w:pPr>
              <w:spacing w:before="20" w:after="20"/>
            </w:pPr>
            <w:r>
              <w:rPr>
                <w:b/>
                <w:color w:val="1D63ED"/>
                <w:sz w:val="17"/>
              </w:rPr>
              <w:t xml:space="preserve">Client Guarantee: </w:t>
            </w:r>
            <w:r>
              <w:rPr>
                <w:i/>
                <w:color w:val="0F2942"/>
                <w:sz w:val="17"/>
              </w:rPr>
              <w:t>Predictable cloud unit economics, guaranteed SLA compliance, and enterprise-grade data privacy.</w:t>
            </w:r>
          </w:p>
        </w:tc>
      </w:tr>
    </w:tbl>
    <w:p w14:paraId="66F8D66B" w14:textId="77777777" w:rsidR="004D3D62" w:rsidRDefault="004D3D62">
      <w:pPr>
        <w:spacing w:after="20"/>
      </w:pPr>
    </w:p>
    <w:p w14:paraId="7346BE14" w14:textId="77777777" w:rsidR="004D3D62" w:rsidRDefault="0091382D">
      <w:pPr>
        <w:spacing w:before="120" w:after="80"/>
      </w:pPr>
      <w:r>
        <w:rPr>
          <w:b/>
          <w:color w:val="0F2942"/>
          <w:sz w:val="23"/>
        </w:rPr>
        <w:t>HashCase Evaluation Architecture at a Glance</w:t>
      </w:r>
    </w:p>
    <w:tbl>
      <w:tblPr>
        <w:tblW w:w="0" w:type="auto"/>
        <w:jc w:val="center"/>
        <w:tblLayout w:type="fixed"/>
        <w:tblLook w:val="04A0" w:firstRow="1" w:lastRow="0" w:firstColumn="1" w:lastColumn="0" w:noHBand="0" w:noVBand="1"/>
      </w:tblPr>
      <w:tblGrid>
        <w:gridCol w:w="2592"/>
        <w:gridCol w:w="3888"/>
        <w:gridCol w:w="3600"/>
      </w:tblGrid>
      <w:tr w:rsidR="004D3D62" w14:paraId="2C403995" w14:textId="77777777">
        <w:trPr>
          <w:jc w:val="center"/>
        </w:trPr>
        <w:tc>
          <w:tcPr>
            <w:tcW w:w="2592" w:type="dxa"/>
            <w:tcBorders>
              <w:top w:val="single" w:sz="6" w:space="0" w:color="0F2942"/>
              <w:left w:val="none" w:sz="6" w:space="0" w:color="0F2942"/>
              <w:bottom w:val="single" w:sz="6" w:space="0" w:color="0F2942"/>
              <w:right w:val="none" w:sz="6" w:space="0" w:color="0F2942"/>
            </w:tcBorders>
            <w:shd w:val="clear" w:color="auto" w:fill="0F2942"/>
            <w:tcMar>
              <w:top w:w="60" w:type="dxa"/>
              <w:left w:w="100" w:type="dxa"/>
              <w:bottom w:w="60" w:type="dxa"/>
              <w:right w:w="100" w:type="dxa"/>
            </w:tcMar>
          </w:tcPr>
          <w:p w14:paraId="7BF70517" w14:textId="77777777" w:rsidR="004D3D62" w:rsidRDefault="0091382D">
            <w:pPr>
              <w:spacing w:after="0" w:line="264" w:lineRule="auto"/>
            </w:pPr>
            <w:r>
              <w:rPr>
                <w:b/>
                <w:color w:val="FFFFFF"/>
                <w:sz w:val="17"/>
              </w:rPr>
              <w:t>Evaluation Layer</w:t>
            </w:r>
          </w:p>
        </w:tc>
        <w:tc>
          <w:tcPr>
            <w:tcW w:w="3888" w:type="dxa"/>
            <w:tcBorders>
              <w:top w:val="single" w:sz="6" w:space="0" w:color="0F2942"/>
              <w:left w:val="none" w:sz="6" w:space="0" w:color="0F2942"/>
              <w:bottom w:val="single" w:sz="6" w:space="0" w:color="0F2942"/>
              <w:right w:val="none" w:sz="6" w:space="0" w:color="0F2942"/>
            </w:tcBorders>
            <w:shd w:val="clear" w:color="auto" w:fill="0F2942"/>
            <w:tcMar>
              <w:top w:w="60" w:type="dxa"/>
              <w:left w:w="100" w:type="dxa"/>
              <w:bottom w:w="60" w:type="dxa"/>
              <w:right w:w="100" w:type="dxa"/>
            </w:tcMar>
          </w:tcPr>
          <w:p w14:paraId="4E8B3F10" w14:textId="77777777" w:rsidR="004D3D62" w:rsidRDefault="0091382D">
            <w:pPr>
              <w:spacing w:after="0" w:line="264" w:lineRule="auto"/>
            </w:pPr>
            <w:r>
              <w:rPr>
                <w:b/>
                <w:color w:val="FFFFFF"/>
                <w:sz w:val="17"/>
              </w:rPr>
              <w:t>Primary Metrics &amp; Checks</w:t>
            </w:r>
          </w:p>
        </w:tc>
        <w:tc>
          <w:tcPr>
            <w:tcW w:w="3600" w:type="dxa"/>
            <w:tcBorders>
              <w:top w:val="single" w:sz="6" w:space="0" w:color="0F2942"/>
              <w:left w:val="none" w:sz="6" w:space="0" w:color="0F2942"/>
              <w:bottom w:val="single" w:sz="6" w:space="0" w:color="0F2942"/>
              <w:right w:val="none" w:sz="6" w:space="0" w:color="0F2942"/>
            </w:tcBorders>
            <w:shd w:val="clear" w:color="auto" w:fill="0F2942"/>
            <w:tcMar>
              <w:top w:w="60" w:type="dxa"/>
              <w:left w:w="100" w:type="dxa"/>
              <w:bottom w:w="60" w:type="dxa"/>
              <w:right w:w="100" w:type="dxa"/>
            </w:tcMar>
          </w:tcPr>
          <w:p w14:paraId="4EFF1E74" w14:textId="77777777" w:rsidR="004D3D62" w:rsidRDefault="0091382D">
            <w:pPr>
              <w:spacing w:after="0" w:line="264" w:lineRule="auto"/>
            </w:pPr>
            <w:r>
              <w:rPr>
                <w:b/>
                <w:color w:val="FFFFFF"/>
                <w:sz w:val="17"/>
              </w:rPr>
              <w:t>HashCase Safeguard for Your Business</w:t>
            </w:r>
          </w:p>
        </w:tc>
      </w:tr>
      <w:tr w:rsidR="004D3D62" w14:paraId="7B250AD9" w14:textId="77777777">
        <w:trPr>
          <w:jc w:val="center"/>
        </w:trPr>
        <w:tc>
          <w:tcPr>
            <w:tcW w:w="2592" w:type="dxa"/>
            <w:tcBorders>
              <w:top w:val="single" w:sz="4" w:space="0" w:color="E2E8F0"/>
              <w:left w:val="none" w:sz="4" w:space="0" w:color="E2E8F0"/>
              <w:bottom w:val="single" w:sz="4" w:space="0" w:color="E2E8F0"/>
              <w:right w:val="none" w:sz="4" w:space="0" w:color="E2E8F0"/>
            </w:tcBorders>
            <w:shd w:val="clear" w:color="auto" w:fill="F8FAFC"/>
            <w:tcMar>
              <w:top w:w="60" w:type="dxa"/>
              <w:left w:w="100" w:type="dxa"/>
              <w:bottom w:w="60" w:type="dxa"/>
              <w:right w:w="100" w:type="dxa"/>
            </w:tcMar>
          </w:tcPr>
          <w:p w14:paraId="36EDE31E" w14:textId="77777777" w:rsidR="004D3D62" w:rsidRDefault="0091382D">
            <w:pPr>
              <w:spacing w:after="0" w:line="264" w:lineRule="auto"/>
            </w:pPr>
            <w:r>
              <w:rPr>
                <w:b/>
                <w:color w:val="0F2942"/>
                <w:sz w:val="16"/>
              </w:rPr>
              <w:t>Deterministic &amp; Logic</w:t>
            </w:r>
          </w:p>
        </w:tc>
        <w:tc>
          <w:tcPr>
            <w:tcW w:w="3888" w:type="dxa"/>
            <w:tcBorders>
              <w:top w:val="single" w:sz="4" w:space="0" w:color="E2E8F0"/>
              <w:left w:val="none" w:sz="4" w:space="0" w:color="E2E8F0"/>
              <w:bottom w:val="single" w:sz="4" w:space="0" w:color="E2E8F0"/>
              <w:right w:val="none" w:sz="4" w:space="0" w:color="E2E8F0"/>
            </w:tcBorders>
            <w:shd w:val="clear" w:color="auto" w:fill="F8FAFC"/>
            <w:tcMar>
              <w:top w:w="60" w:type="dxa"/>
              <w:left w:w="100" w:type="dxa"/>
              <w:bottom w:w="60" w:type="dxa"/>
              <w:right w:w="100" w:type="dxa"/>
            </w:tcMar>
          </w:tcPr>
          <w:p w14:paraId="5F2ED581" w14:textId="77777777" w:rsidR="004D3D62" w:rsidRDefault="0091382D">
            <w:pPr>
              <w:spacing w:after="0" w:line="264" w:lineRule="auto"/>
            </w:pPr>
            <w:r>
              <w:rPr>
                <w:sz w:val="16"/>
              </w:rPr>
              <w:t>Schema validation, arithmetic consistency, foreign key matching</w:t>
            </w:r>
          </w:p>
        </w:tc>
        <w:tc>
          <w:tcPr>
            <w:tcW w:w="3600" w:type="dxa"/>
            <w:tcBorders>
              <w:top w:val="single" w:sz="4" w:space="0" w:color="E2E8F0"/>
              <w:left w:val="none" w:sz="4" w:space="0" w:color="E2E8F0"/>
              <w:bottom w:val="single" w:sz="4" w:space="0" w:color="E2E8F0"/>
              <w:right w:val="none" w:sz="4" w:space="0" w:color="E2E8F0"/>
            </w:tcBorders>
            <w:shd w:val="clear" w:color="auto" w:fill="F8FAFC"/>
            <w:tcMar>
              <w:top w:w="60" w:type="dxa"/>
              <w:left w:w="100" w:type="dxa"/>
              <w:bottom w:w="60" w:type="dxa"/>
              <w:right w:w="100" w:type="dxa"/>
            </w:tcMar>
          </w:tcPr>
          <w:p w14:paraId="22C1AD60" w14:textId="77777777" w:rsidR="004D3D62" w:rsidRDefault="0091382D">
            <w:pPr>
              <w:spacing w:after="0" w:line="264" w:lineRule="auto"/>
            </w:pPr>
            <w:r>
              <w:rPr>
                <w:sz w:val="16"/>
              </w:rPr>
              <w:t>Zero corrupted database records or malformed payloads</w:t>
            </w:r>
          </w:p>
        </w:tc>
      </w:tr>
      <w:tr w:rsidR="004D3D62" w14:paraId="7CE4177C" w14:textId="77777777">
        <w:trPr>
          <w:jc w:val="center"/>
        </w:trPr>
        <w:tc>
          <w:tcPr>
            <w:tcW w:w="2592" w:type="dxa"/>
            <w:tcBorders>
              <w:top w:val="single" w:sz="4" w:space="0" w:color="E2E8F0"/>
              <w:left w:val="none" w:sz="4" w:space="0" w:color="E2E8F0"/>
              <w:bottom w:val="single" w:sz="4" w:space="0" w:color="E2E8F0"/>
              <w:right w:val="none" w:sz="4" w:space="0" w:color="E2E8F0"/>
            </w:tcBorders>
            <w:shd w:val="clear" w:color="auto" w:fill="FFFFFF"/>
            <w:tcMar>
              <w:top w:w="60" w:type="dxa"/>
              <w:left w:w="100" w:type="dxa"/>
              <w:bottom w:w="60" w:type="dxa"/>
              <w:right w:w="100" w:type="dxa"/>
            </w:tcMar>
          </w:tcPr>
          <w:p w14:paraId="571E11E7" w14:textId="77777777" w:rsidR="004D3D62" w:rsidRDefault="0091382D">
            <w:pPr>
              <w:spacing w:after="0" w:line="264" w:lineRule="auto"/>
            </w:pPr>
            <w:r>
              <w:rPr>
                <w:b/>
                <w:color w:val="0F2942"/>
                <w:sz w:val="16"/>
              </w:rPr>
              <w:t>Agent Trajectory</w:t>
            </w:r>
          </w:p>
        </w:tc>
        <w:tc>
          <w:tcPr>
            <w:tcW w:w="3888" w:type="dxa"/>
            <w:tcBorders>
              <w:top w:val="single" w:sz="4" w:space="0" w:color="E2E8F0"/>
              <w:left w:val="none" w:sz="4" w:space="0" w:color="E2E8F0"/>
              <w:bottom w:val="single" w:sz="4" w:space="0" w:color="E2E8F0"/>
              <w:right w:val="none" w:sz="4" w:space="0" w:color="E2E8F0"/>
            </w:tcBorders>
            <w:shd w:val="clear" w:color="auto" w:fill="FFFFFF"/>
            <w:tcMar>
              <w:top w:w="60" w:type="dxa"/>
              <w:left w:w="100" w:type="dxa"/>
              <w:bottom w:w="60" w:type="dxa"/>
              <w:right w:w="100" w:type="dxa"/>
            </w:tcMar>
          </w:tcPr>
          <w:p w14:paraId="37A1BA7D" w14:textId="77777777" w:rsidR="004D3D62" w:rsidRDefault="0091382D">
            <w:pPr>
              <w:spacing w:after="0" w:line="264" w:lineRule="auto"/>
            </w:pPr>
            <w:r>
              <w:rPr>
                <w:sz w:val="16"/>
              </w:rPr>
              <w:t>Tool selection accuracy, step-count efficiency, loop breaker</w:t>
            </w:r>
          </w:p>
        </w:tc>
        <w:tc>
          <w:tcPr>
            <w:tcW w:w="3600" w:type="dxa"/>
            <w:tcBorders>
              <w:top w:val="single" w:sz="4" w:space="0" w:color="E2E8F0"/>
              <w:left w:val="none" w:sz="4" w:space="0" w:color="E2E8F0"/>
              <w:bottom w:val="single" w:sz="4" w:space="0" w:color="E2E8F0"/>
              <w:right w:val="none" w:sz="4" w:space="0" w:color="E2E8F0"/>
            </w:tcBorders>
            <w:shd w:val="clear" w:color="auto" w:fill="FFFFFF"/>
            <w:tcMar>
              <w:top w:w="60" w:type="dxa"/>
              <w:left w:w="100" w:type="dxa"/>
              <w:bottom w:w="60" w:type="dxa"/>
              <w:right w:w="100" w:type="dxa"/>
            </w:tcMar>
          </w:tcPr>
          <w:p w14:paraId="527C12A5" w14:textId="77777777" w:rsidR="004D3D62" w:rsidRDefault="0091382D">
            <w:pPr>
              <w:spacing w:after="0" w:line="264" w:lineRule="auto"/>
            </w:pPr>
            <w:r>
              <w:rPr>
                <w:sz w:val="16"/>
              </w:rPr>
              <w:t>Eliminates runaway API costs and infinite retry cycles</w:t>
            </w:r>
          </w:p>
        </w:tc>
      </w:tr>
      <w:tr w:rsidR="004D3D62" w14:paraId="6B523FC3" w14:textId="77777777">
        <w:trPr>
          <w:jc w:val="center"/>
        </w:trPr>
        <w:tc>
          <w:tcPr>
            <w:tcW w:w="2592" w:type="dxa"/>
            <w:tcBorders>
              <w:top w:val="single" w:sz="4" w:space="0" w:color="E2E8F0"/>
              <w:left w:val="none" w:sz="4" w:space="0" w:color="E2E8F0"/>
              <w:bottom w:val="single" w:sz="4" w:space="0" w:color="E2E8F0"/>
              <w:right w:val="none" w:sz="4" w:space="0" w:color="E2E8F0"/>
            </w:tcBorders>
            <w:shd w:val="clear" w:color="auto" w:fill="F8FAFC"/>
            <w:tcMar>
              <w:top w:w="60" w:type="dxa"/>
              <w:left w:w="100" w:type="dxa"/>
              <w:bottom w:w="60" w:type="dxa"/>
              <w:right w:w="100" w:type="dxa"/>
            </w:tcMar>
          </w:tcPr>
          <w:p w14:paraId="5565DE31" w14:textId="77777777" w:rsidR="004D3D62" w:rsidRDefault="0091382D">
            <w:pPr>
              <w:spacing w:after="0" w:line="264" w:lineRule="auto"/>
            </w:pPr>
            <w:r>
              <w:rPr>
                <w:b/>
                <w:color w:val="0F2942"/>
                <w:sz w:val="16"/>
              </w:rPr>
              <w:t>LLM-as-a-Judge</w:t>
            </w:r>
          </w:p>
        </w:tc>
        <w:tc>
          <w:tcPr>
            <w:tcW w:w="3888" w:type="dxa"/>
            <w:tcBorders>
              <w:top w:val="single" w:sz="4" w:space="0" w:color="E2E8F0"/>
              <w:left w:val="none" w:sz="4" w:space="0" w:color="E2E8F0"/>
              <w:bottom w:val="single" w:sz="4" w:space="0" w:color="E2E8F0"/>
              <w:right w:val="none" w:sz="4" w:space="0" w:color="E2E8F0"/>
            </w:tcBorders>
            <w:shd w:val="clear" w:color="auto" w:fill="F8FAFC"/>
            <w:tcMar>
              <w:top w:w="60" w:type="dxa"/>
              <w:left w:w="100" w:type="dxa"/>
              <w:bottom w:w="60" w:type="dxa"/>
              <w:right w:w="100" w:type="dxa"/>
            </w:tcMar>
          </w:tcPr>
          <w:p w14:paraId="4009D83D" w14:textId="77777777" w:rsidR="004D3D62" w:rsidRDefault="0091382D">
            <w:pPr>
              <w:spacing w:after="0" w:line="264" w:lineRule="auto"/>
            </w:pPr>
            <w:r>
              <w:rPr>
                <w:sz w:val="16"/>
              </w:rPr>
              <w:t>Groundedness/faithfulness, tone, policy compliance, SME rubrics</w:t>
            </w:r>
          </w:p>
        </w:tc>
        <w:tc>
          <w:tcPr>
            <w:tcW w:w="3600" w:type="dxa"/>
            <w:tcBorders>
              <w:top w:val="single" w:sz="4" w:space="0" w:color="E2E8F0"/>
              <w:left w:val="none" w:sz="4" w:space="0" w:color="E2E8F0"/>
              <w:bottom w:val="single" w:sz="4" w:space="0" w:color="E2E8F0"/>
              <w:right w:val="none" w:sz="4" w:space="0" w:color="E2E8F0"/>
            </w:tcBorders>
            <w:shd w:val="clear" w:color="auto" w:fill="F8FAFC"/>
            <w:tcMar>
              <w:top w:w="60" w:type="dxa"/>
              <w:left w:w="100" w:type="dxa"/>
              <w:bottom w:w="60" w:type="dxa"/>
              <w:right w:w="100" w:type="dxa"/>
            </w:tcMar>
          </w:tcPr>
          <w:p w14:paraId="54B97F37" w14:textId="77777777" w:rsidR="004D3D62" w:rsidRDefault="0091382D">
            <w:pPr>
              <w:spacing w:after="0" w:line="264" w:lineRule="auto"/>
            </w:pPr>
            <w:r>
              <w:rPr>
                <w:sz w:val="16"/>
              </w:rPr>
              <w:t>Continuous auditing matching senior leadership's standards</w:t>
            </w:r>
          </w:p>
        </w:tc>
      </w:tr>
      <w:tr w:rsidR="004D3D62" w14:paraId="7CD8587E" w14:textId="77777777">
        <w:trPr>
          <w:jc w:val="center"/>
        </w:trPr>
        <w:tc>
          <w:tcPr>
            <w:tcW w:w="2592" w:type="dxa"/>
            <w:tcBorders>
              <w:top w:val="single" w:sz="4" w:space="0" w:color="E2E8F0"/>
              <w:left w:val="none" w:sz="4" w:space="0" w:color="E2E8F0"/>
              <w:bottom w:val="single" w:sz="4" w:space="0" w:color="E2E8F0"/>
              <w:right w:val="none" w:sz="4" w:space="0" w:color="E2E8F0"/>
            </w:tcBorders>
            <w:shd w:val="clear" w:color="auto" w:fill="FFFFFF"/>
            <w:tcMar>
              <w:top w:w="60" w:type="dxa"/>
              <w:left w:w="100" w:type="dxa"/>
              <w:bottom w:w="60" w:type="dxa"/>
              <w:right w:w="100" w:type="dxa"/>
            </w:tcMar>
          </w:tcPr>
          <w:p w14:paraId="4D65136D" w14:textId="77777777" w:rsidR="004D3D62" w:rsidRDefault="0091382D">
            <w:pPr>
              <w:spacing w:after="0" w:line="264" w:lineRule="auto"/>
            </w:pPr>
            <w:r>
              <w:rPr>
                <w:b/>
                <w:color w:val="0F2942"/>
                <w:sz w:val="16"/>
              </w:rPr>
              <w:t>Sandbox Simulation</w:t>
            </w:r>
          </w:p>
        </w:tc>
        <w:tc>
          <w:tcPr>
            <w:tcW w:w="3888" w:type="dxa"/>
            <w:tcBorders>
              <w:top w:val="single" w:sz="4" w:space="0" w:color="E2E8F0"/>
              <w:left w:val="none" w:sz="4" w:space="0" w:color="E2E8F0"/>
              <w:bottom w:val="single" w:sz="4" w:space="0" w:color="E2E8F0"/>
              <w:right w:val="none" w:sz="4" w:space="0" w:color="E2E8F0"/>
            </w:tcBorders>
            <w:shd w:val="clear" w:color="auto" w:fill="FFFFFF"/>
            <w:tcMar>
              <w:top w:w="60" w:type="dxa"/>
              <w:left w:w="100" w:type="dxa"/>
              <w:bottom w:w="60" w:type="dxa"/>
              <w:right w:w="100" w:type="dxa"/>
            </w:tcMar>
          </w:tcPr>
          <w:p w14:paraId="39A7128B" w14:textId="77777777" w:rsidR="004D3D62" w:rsidRDefault="0091382D">
            <w:pPr>
              <w:spacing w:after="0" w:line="264" w:lineRule="auto"/>
            </w:pPr>
            <w:r>
              <w:rPr>
                <w:sz w:val="16"/>
              </w:rPr>
              <w:t>Mock CRM/ERP API calls, state transitions, failure recovery</w:t>
            </w:r>
          </w:p>
        </w:tc>
        <w:tc>
          <w:tcPr>
            <w:tcW w:w="3600" w:type="dxa"/>
            <w:tcBorders>
              <w:top w:val="single" w:sz="4" w:space="0" w:color="E2E8F0"/>
              <w:left w:val="none" w:sz="4" w:space="0" w:color="E2E8F0"/>
              <w:bottom w:val="single" w:sz="4" w:space="0" w:color="E2E8F0"/>
              <w:right w:val="none" w:sz="4" w:space="0" w:color="E2E8F0"/>
            </w:tcBorders>
            <w:shd w:val="clear" w:color="auto" w:fill="FFFFFF"/>
            <w:tcMar>
              <w:top w:w="60" w:type="dxa"/>
              <w:left w:w="100" w:type="dxa"/>
              <w:bottom w:w="60" w:type="dxa"/>
              <w:right w:w="100" w:type="dxa"/>
            </w:tcMar>
          </w:tcPr>
          <w:p w14:paraId="597F1F15" w14:textId="77777777" w:rsidR="004D3D62" w:rsidRDefault="0091382D">
            <w:pPr>
              <w:spacing w:after="0" w:line="264" w:lineRule="auto"/>
            </w:pPr>
            <w:r>
              <w:rPr>
                <w:sz w:val="16"/>
              </w:rPr>
              <w:t>Guarantees safe execution with zero production risk</w:t>
            </w:r>
          </w:p>
        </w:tc>
      </w:tr>
      <w:tr w:rsidR="004D3D62" w14:paraId="77583126" w14:textId="77777777">
        <w:trPr>
          <w:jc w:val="center"/>
        </w:trPr>
        <w:tc>
          <w:tcPr>
            <w:tcW w:w="2592" w:type="dxa"/>
            <w:tcBorders>
              <w:top w:val="single" w:sz="4" w:space="0" w:color="E2E8F0"/>
              <w:left w:val="none" w:sz="4" w:space="0" w:color="E2E8F0"/>
              <w:bottom w:val="single" w:sz="4" w:space="0" w:color="E2E8F0"/>
              <w:right w:val="none" w:sz="4" w:space="0" w:color="E2E8F0"/>
            </w:tcBorders>
            <w:shd w:val="clear" w:color="auto" w:fill="F8FAFC"/>
            <w:tcMar>
              <w:top w:w="60" w:type="dxa"/>
              <w:left w:w="100" w:type="dxa"/>
              <w:bottom w:w="60" w:type="dxa"/>
              <w:right w:w="100" w:type="dxa"/>
            </w:tcMar>
          </w:tcPr>
          <w:p w14:paraId="12C7E13F" w14:textId="77777777" w:rsidR="004D3D62" w:rsidRDefault="0091382D">
            <w:pPr>
              <w:spacing w:after="0" w:line="264" w:lineRule="auto"/>
            </w:pPr>
            <w:r>
              <w:rPr>
                <w:b/>
                <w:color w:val="0F2942"/>
                <w:sz w:val="16"/>
              </w:rPr>
              <w:t>Golden Datasets</w:t>
            </w:r>
          </w:p>
        </w:tc>
        <w:tc>
          <w:tcPr>
            <w:tcW w:w="3888" w:type="dxa"/>
            <w:tcBorders>
              <w:top w:val="single" w:sz="4" w:space="0" w:color="E2E8F0"/>
              <w:left w:val="none" w:sz="4" w:space="0" w:color="E2E8F0"/>
              <w:bottom w:val="single" w:sz="4" w:space="0" w:color="E2E8F0"/>
              <w:right w:val="none" w:sz="4" w:space="0" w:color="E2E8F0"/>
            </w:tcBorders>
            <w:shd w:val="clear" w:color="auto" w:fill="F8FAFC"/>
            <w:tcMar>
              <w:top w:w="60" w:type="dxa"/>
              <w:left w:w="100" w:type="dxa"/>
              <w:bottom w:w="60" w:type="dxa"/>
              <w:right w:w="100" w:type="dxa"/>
            </w:tcMar>
          </w:tcPr>
          <w:p w14:paraId="1918F0F3" w14:textId="77777777" w:rsidR="004D3D62" w:rsidRDefault="0091382D">
            <w:pPr>
              <w:spacing w:after="0" w:line="264" w:lineRule="auto"/>
            </w:pPr>
            <w:r>
              <w:rPr>
                <w:sz w:val="16"/>
              </w:rPr>
              <w:t>SME historical baselines, synthetic adversarial stress cases</w:t>
            </w:r>
          </w:p>
        </w:tc>
        <w:tc>
          <w:tcPr>
            <w:tcW w:w="3600" w:type="dxa"/>
            <w:tcBorders>
              <w:top w:val="single" w:sz="4" w:space="0" w:color="E2E8F0"/>
              <w:left w:val="none" w:sz="4" w:space="0" w:color="E2E8F0"/>
              <w:bottom w:val="single" w:sz="4" w:space="0" w:color="E2E8F0"/>
              <w:right w:val="none" w:sz="4" w:space="0" w:color="E2E8F0"/>
            </w:tcBorders>
            <w:shd w:val="clear" w:color="auto" w:fill="F8FAFC"/>
            <w:tcMar>
              <w:top w:w="60" w:type="dxa"/>
              <w:left w:w="100" w:type="dxa"/>
              <w:bottom w:w="60" w:type="dxa"/>
              <w:right w:w="100" w:type="dxa"/>
            </w:tcMar>
          </w:tcPr>
          <w:p w14:paraId="6CE0638E" w14:textId="77777777" w:rsidR="004D3D62" w:rsidRDefault="0091382D">
            <w:pPr>
              <w:spacing w:after="0" w:line="264" w:lineRule="auto"/>
            </w:pPr>
            <w:r>
              <w:rPr>
                <w:sz w:val="16"/>
              </w:rPr>
              <w:t>Prevents regressions; automations strengthen over time</w:t>
            </w:r>
          </w:p>
        </w:tc>
      </w:tr>
      <w:tr w:rsidR="004D3D62" w14:paraId="7A1C748B" w14:textId="77777777">
        <w:trPr>
          <w:jc w:val="center"/>
        </w:trPr>
        <w:tc>
          <w:tcPr>
            <w:tcW w:w="2592" w:type="dxa"/>
            <w:tcBorders>
              <w:top w:val="single" w:sz="4" w:space="0" w:color="E2E8F0"/>
              <w:left w:val="none" w:sz="4" w:space="0" w:color="E2E8F0"/>
              <w:bottom w:val="single" w:sz="4" w:space="0" w:color="E2E8F0"/>
              <w:right w:val="none" w:sz="4" w:space="0" w:color="E2E8F0"/>
            </w:tcBorders>
            <w:shd w:val="clear" w:color="auto" w:fill="FFFFFF"/>
            <w:tcMar>
              <w:top w:w="60" w:type="dxa"/>
              <w:left w:w="100" w:type="dxa"/>
              <w:bottom w:w="60" w:type="dxa"/>
              <w:right w:w="100" w:type="dxa"/>
            </w:tcMar>
          </w:tcPr>
          <w:p w14:paraId="0D6274AC" w14:textId="77777777" w:rsidR="004D3D62" w:rsidRDefault="0091382D">
            <w:pPr>
              <w:spacing w:after="0" w:line="264" w:lineRule="auto"/>
            </w:pPr>
            <w:r>
              <w:rPr>
                <w:b/>
                <w:color w:val="0F2942"/>
                <w:sz w:val="16"/>
              </w:rPr>
              <w:t>Operational &amp; Security</w:t>
            </w:r>
          </w:p>
        </w:tc>
        <w:tc>
          <w:tcPr>
            <w:tcW w:w="3888" w:type="dxa"/>
            <w:tcBorders>
              <w:top w:val="single" w:sz="4" w:space="0" w:color="E2E8F0"/>
              <w:left w:val="none" w:sz="4" w:space="0" w:color="E2E8F0"/>
              <w:bottom w:val="single" w:sz="4" w:space="0" w:color="E2E8F0"/>
              <w:right w:val="none" w:sz="4" w:space="0" w:color="E2E8F0"/>
            </w:tcBorders>
            <w:shd w:val="clear" w:color="auto" w:fill="FFFFFF"/>
            <w:tcMar>
              <w:top w:w="60" w:type="dxa"/>
              <w:left w:w="100" w:type="dxa"/>
              <w:bottom w:w="60" w:type="dxa"/>
              <w:right w:w="100" w:type="dxa"/>
            </w:tcMar>
          </w:tcPr>
          <w:p w14:paraId="15229353" w14:textId="77777777" w:rsidR="004D3D62" w:rsidRDefault="0091382D">
            <w:pPr>
              <w:spacing w:after="0" w:line="264" w:lineRule="auto"/>
            </w:pPr>
            <w:r>
              <w:rPr>
                <w:sz w:val="16"/>
              </w:rPr>
              <w:t>P95/P99 latency, TTFT, cost-per-run, prompt injection defense</w:t>
            </w:r>
          </w:p>
        </w:tc>
        <w:tc>
          <w:tcPr>
            <w:tcW w:w="3600" w:type="dxa"/>
            <w:tcBorders>
              <w:top w:val="single" w:sz="4" w:space="0" w:color="E2E8F0"/>
              <w:left w:val="none" w:sz="4" w:space="0" w:color="E2E8F0"/>
              <w:bottom w:val="single" w:sz="4" w:space="0" w:color="E2E8F0"/>
              <w:right w:val="none" w:sz="4" w:space="0" w:color="E2E8F0"/>
            </w:tcBorders>
            <w:shd w:val="clear" w:color="auto" w:fill="FFFFFF"/>
            <w:tcMar>
              <w:top w:w="60" w:type="dxa"/>
              <w:left w:w="100" w:type="dxa"/>
              <w:bottom w:w="60" w:type="dxa"/>
              <w:right w:w="100" w:type="dxa"/>
            </w:tcMar>
          </w:tcPr>
          <w:p w14:paraId="6A7A8A67" w14:textId="77777777" w:rsidR="004D3D62" w:rsidRDefault="0091382D">
            <w:pPr>
              <w:spacing w:after="0" w:line="264" w:lineRule="auto"/>
            </w:pPr>
            <w:r>
              <w:rPr>
                <w:sz w:val="16"/>
              </w:rPr>
              <w:t>Ensures strict SLA compliance, budget control &amp; data privacy</w:t>
            </w:r>
          </w:p>
        </w:tc>
      </w:tr>
    </w:tbl>
    <w:p w14:paraId="30B0049D" w14:textId="77777777" w:rsidR="004D3D62" w:rsidRDefault="004D3D62">
      <w:pPr>
        <w:spacing w:after="80"/>
      </w:pPr>
    </w:p>
    <w:tbl>
      <w:tblPr>
        <w:tblW w:w="0" w:type="auto"/>
        <w:jc w:val="center"/>
        <w:tblLayout w:type="fixed"/>
        <w:tblLook w:val="04A0" w:firstRow="1" w:lastRow="0" w:firstColumn="1" w:lastColumn="0" w:noHBand="0" w:noVBand="1"/>
      </w:tblPr>
      <w:tblGrid>
        <w:gridCol w:w="10080"/>
      </w:tblGrid>
      <w:tr w:rsidR="004D3D62" w14:paraId="097281A8" w14:textId="77777777">
        <w:trPr>
          <w:jc w:val="center"/>
        </w:trPr>
        <w:tc>
          <w:tcPr>
            <w:tcW w:w="10080" w:type="dxa"/>
            <w:shd w:val="clear" w:color="auto" w:fill="0F2942"/>
            <w:tcMar>
              <w:top w:w="100" w:type="dxa"/>
              <w:left w:w="140" w:type="dxa"/>
              <w:bottom w:w="100" w:type="dxa"/>
              <w:right w:w="140" w:type="dxa"/>
            </w:tcMar>
          </w:tcPr>
          <w:p w14:paraId="6BADC849" w14:textId="77777777" w:rsidR="004D3D62" w:rsidRDefault="0091382D">
            <w:pPr>
              <w:spacing w:after="40"/>
            </w:pPr>
            <w:r>
              <w:rPr>
                <w:b/>
                <w:color w:val="FFFFFF"/>
                <w:sz w:val="20"/>
              </w:rPr>
              <w:t>Continuous Production Monitoring: Beyond Deployment</w:t>
            </w:r>
          </w:p>
          <w:p w14:paraId="04E97CC7" w14:textId="77777777" w:rsidR="004D3D62" w:rsidRDefault="0091382D">
            <w:pPr>
              <w:spacing w:after="80"/>
            </w:pPr>
            <w:r>
              <w:rPr>
                <w:color w:val="E2E8F0"/>
                <w:sz w:val="17"/>
              </w:rPr>
              <w:t>Our evaluations do not end at deployment. HashCase workflows operate with Shadow Deployments (auditing against human staff), Human-in-the-Loop confidence thresholds (routing borderline decisions to supervisors), and continuous drift monitors that alert our engineers the moment upstream LLM model updates or data distributions shift.</w:t>
            </w:r>
          </w:p>
          <w:p w14:paraId="0C649345" w14:textId="77777777" w:rsidR="004D3D62" w:rsidRDefault="0091382D">
            <w:pPr>
              <w:spacing w:after="0"/>
            </w:pPr>
            <w:r>
              <w:rPr>
                <w:b/>
                <w:color w:val="93C5FD"/>
                <w:sz w:val="17"/>
              </w:rPr>
              <w:t xml:space="preserve">Deploy AI with Deterministic Confidence. </w:t>
            </w:r>
            <w:r>
              <w:rPr>
                <w:color w:val="FFFFFF"/>
                <w:sz w:val="17"/>
              </w:rPr>
              <w:t xml:space="preserve">Contact HashCase to schedule an AI Evaluation Audit or discuss hardening your automated workflows: </w:t>
            </w:r>
            <w:r>
              <w:rPr>
                <w:b/>
                <w:color w:val="93C5FD"/>
                <w:sz w:val="17"/>
              </w:rPr>
              <w:t>hello@hashcase.com  |  www.hashcase.com</w:t>
            </w:r>
          </w:p>
        </w:tc>
      </w:tr>
    </w:tbl>
    <w:p w14:paraId="08E4B75E" w14:textId="77777777" w:rsidR="0091382D" w:rsidRDefault="0091382D"/>
    <w:sectPr w:rsidR="0091382D"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121520">
    <w:abstractNumId w:val="8"/>
  </w:num>
  <w:num w:numId="2" w16cid:durableId="852764603">
    <w:abstractNumId w:val="6"/>
  </w:num>
  <w:num w:numId="3" w16cid:durableId="1269660447">
    <w:abstractNumId w:val="5"/>
  </w:num>
  <w:num w:numId="4" w16cid:durableId="1724599837">
    <w:abstractNumId w:val="4"/>
  </w:num>
  <w:num w:numId="5" w16cid:durableId="755323055">
    <w:abstractNumId w:val="7"/>
  </w:num>
  <w:num w:numId="6" w16cid:durableId="1191189998">
    <w:abstractNumId w:val="3"/>
  </w:num>
  <w:num w:numId="7" w16cid:durableId="1100299272">
    <w:abstractNumId w:val="2"/>
  </w:num>
  <w:num w:numId="8" w16cid:durableId="1986470800">
    <w:abstractNumId w:val="1"/>
  </w:num>
  <w:num w:numId="9" w16cid:durableId="1898977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D62"/>
    <w:rsid w:val="004D4B1B"/>
    <w:rsid w:val="0091382D"/>
    <w:rsid w:val="00AA1D8D"/>
    <w:rsid w:val="00B47730"/>
    <w:rsid w:val="00CB0664"/>
    <w:rsid w:val="00FC693F"/>
    <w:rsid w:val="00FE12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0A7D3A"/>
  <w14:defaultImageDpi w14:val="300"/>
  <w15:docId w15:val="{BAB440BF-7C36-4BD5-AB15-BADE2E98F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800</Words>
  <Characters>5422</Characters>
  <Application>Microsoft Office Word</Application>
  <DocSecurity>0</DocSecurity>
  <Lines>101</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Shoaib Shaikh</cp:lastModifiedBy>
  <cp:revision>2</cp:revision>
  <dcterms:created xsi:type="dcterms:W3CDTF">2013-12-23T23:15:00Z</dcterms:created>
  <dcterms:modified xsi:type="dcterms:W3CDTF">2026-09-17T07:15:00Z</dcterms:modified>
  <cp:category/>
</cp:coreProperties>
</file>