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20"/>
      </w:pPr>
      <w:r>
        <w:rPr>
          <w:rFonts w:ascii="Calibri" w:hAnsi="Calibri" w:eastAsia="Calibri"/>
          <w:b/>
          <w:color w:val="2E74B5"/>
          <w:sz w:val="20"/>
        </w:rPr>
        <w:t>PRODUCT CONCEPT NOTE</w:t>
      </w:r>
    </w:p>
    <w:p>
      <w:pPr>
        <w:keepNext/>
        <w:spacing w:before="0" w:after="160"/>
      </w:pPr>
      <w:r>
        <w:rPr>
          <w:rFonts w:ascii="Calibri" w:hAnsi="Calibri" w:eastAsia="Calibri"/>
          <w:b/>
          <w:color w:val="0B2545"/>
          <w:sz w:val="54"/>
        </w:rPr>
        <w:t>Government Influencer</w:t>
        <w:br/>
        <w:t>Campaign Management Platform</w:t>
      </w:r>
    </w:p>
    <w:p>
      <w:pPr>
        <w:spacing w:after="560"/>
      </w:pPr>
      <w:r>
        <w:rPr>
          <w:rFonts w:ascii="Calibri" w:hAnsi="Calibri" w:eastAsia="Calibri"/>
          <w:color w:val="59636E"/>
          <w:sz w:val="26"/>
        </w:rPr>
        <w:t>Operational flow, platform resources and example task formats</w:t>
      </w:r>
    </w:p>
    <w:p>
      <w:pPr>
        <w:spacing w:after="60"/>
      </w:pPr>
      <w:r>
        <w:rPr>
          <w:rFonts w:ascii="Calibri" w:hAnsi="Calibri" w:eastAsia="Calibri"/>
          <w:b/>
          <w:color w:val="0B2545"/>
          <w:sz w:val="21"/>
        </w:rPr>
        <w:t xml:space="preserve">Document: </w:t>
      </w:r>
      <w:r>
        <w:rPr>
          <w:rFonts w:ascii="Calibri" w:hAnsi="Calibri" w:eastAsia="Calibri"/>
          <w:color w:val="1F2933"/>
          <w:sz w:val="21"/>
        </w:rPr>
        <w:t>Product concept and operational flow</w:t>
      </w:r>
    </w:p>
    <w:p>
      <w:pPr>
        <w:spacing w:after="60"/>
      </w:pPr>
      <w:r>
        <w:rPr>
          <w:rFonts w:ascii="Calibri" w:hAnsi="Calibri" w:eastAsia="Calibri"/>
          <w:b/>
          <w:color w:val="0B2545"/>
          <w:sz w:val="21"/>
        </w:rPr>
        <w:t xml:space="preserve">Scope: </w:t>
      </w:r>
      <w:r>
        <w:rPr>
          <w:rFonts w:ascii="Calibri" w:hAnsi="Calibri" w:eastAsia="Calibri"/>
          <w:color w:val="1F2933"/>
          <w:sz w:val="21"/>
        </w:rPr>
        <w:t>Influencer registration through submission evaluation, tracking and payment</w:t>
      </w:r>
    </w:p>
    <w:p>
      <w:pPr>
        <w:spacing w:after="60"/>
      </w:pPr>
      <w:r>
        <w:rPr>
          <w:rFonts w:ascii="Calibri" w:hAnsi="Calibri" w:eastAsia="Calibri"/>
          <w:b/>
          <w:color w:val="0B2545"/>
          <w:sz w:val="21"/>
        </w:rPr>
        <w:t xml:space="preserve">Status: </w:t>
      </w:r>
      <w:r>
        <w:rPr>
          <w:rFonts w:ascii="Calibri" w:hAnsi="Calibri" w:eastAsia="Calibri"/>
          <w:color w:val="1F2933"/>
          <w:sz w:val="21"/>
        </w:rPr>
        <w:t>Working concept note</w:t>
      </w:r>
    </w:p>
    <w:p>
      <w:pPr>
        <w:spacing w:after="60"/>
      </w:pPr>
      <w:r>
        <w:rPr>
          <w:rFonts w:ascii="Calibri" w:hAnsi="Calibri" w:eastAsia="Calibri"/>
          <w:b/>
          <w:color w:val="0B2545"/>
          <w:sz w:val="21"/>
        </w:rPr>
        <w:t xml:space="preserve">Date: </w:t>
      </w:r>
      <w:r>
        <w:rPr>
          <w:rFonts w:ascii="Calibri" w:hAnsi="Calibri" w:eastAsia="Calibri"/>
          <w:color w:val="1F2933"/>
          <w:sz w:val="21"/>
        </w:rPr>
        <w:t>6 August 2026</w:t>
      </w:r>
    </w:p>
    <w:p>
      <w:pPr>
        <w:spacing w:after="760"/>
      </w:pPr>
    </w:p>
    <w:p>
      <w:pPr>
        <w:spacing w:before="90" w:after="90" w:line="264" w:lineRule="auto"/>
        <w:shd w:fill="F4F6F9" w:val="clear"/>
        <w:ind w:left="140" w:right="140"/>
      </w:pPr>
      <w:r>
        <w:rPr>
          <w:rFonts w:ascii="Calibri" w:hAnsi="Calibri" w:eastAsia="Calibri"/>
          <w:b/>
          <w:color w:val="1F4D78"/>
        </w:rPr>
        <w:t xml:space="preserve">Scope of this note: </w:t>
      </w:r>
      <w:r>
        <w:rPr>
          <w:rFonts w:ascii="Calibri" w:hAnsi="Calibri" w:eastAsia="Calibri"/>
          <w:color w:val="1F2933"/>
        </w:rPr>
        <w:t>This document describes the user roles, step-by-step operating flow, proof-of-work approach, high-level hosting and service resources, and representative task formats. The payment method, hosting vendor and external analytics providers remain open for government selection.</w:t>
      </w:r>
    </w:p>
    <w:p>
      <w:r>
        <w:br w:type="page"/>
      </w:r>
    </w:p>
    <w:p>
      <w:pPr>
        <w:pStyle w:val="Heading1"/>
      </w:pPr>
      <w:r>
        <w:t>1. Platform Overview</w:t>
      </w:r>
    </w:p>
    <w:p>
      <w:pPr>
        <w:keepLines/>
      </w:pPr>
      <w:r>
        <w:t>The platform will allow government departments to create campaigns, define campaign-specific eligibility, select influencers, assign tasks, communicate with participants, evaluate proof-of-work submissions, approve payment records and monitor campaign progress.</w:t>
      </w:r>
    </w:p>
    <w:p>
      <w:pPr>
        <w:spacing w:before="90" w:after="90" w:line="264" w:lineRule="auto"/>
        <w:shd w:fill="F4F6F9" w:val="clear"/>
        <w:ind w:left="140" w:right="140"/>
      </w:pPr>
      <w:r>
        <w:rPr>
          <w:rFonts w:ascii="Calibri" w:hAnsi="Calibri" w:eastAsia="Calibri"/>
          <w:b/>
          <w:color w:val="1F4D78"/>
        </w:rPr>
        <w:t xml:space="preserve">Operating principle: </w:t>
      </w:r>
      <w:r>
        <w:rPr>
          <w:rFonts w:ascii="Calibri" w:hAnsi="Calibri" w:eastAsia="Calibri"/>
          <w:color w:val="1F2933"/>
        </w:rPr>
        <w:t>Influencers maintain one reusable base profile. Additional evidence is collected only when a campaign requires it. A regional campaign may request residence, audience-location or previous-work evidence; a PAN-India campaign may skip regional verification.</w:t>
      </w:r>
    </w:p>
    <w:p>
      <w:pPr>
        <w:pStyle w:val="Heading2"/>
      </w:pPr>
      <w:r>
        <w:t>1.1 Two connected interfaces</w:t>
      </w:r>
    </w:p>
    <w:tbl>
      <w:tblPr>
        <w:tblW w:type="dxa" w:w="9360"/>
        <w:tblLayout w:type="fixed"/>
        <w:tblLook w:firstColumn="1" w:firstRow="1" w:lastColumn="0" w:lastRow="0" w:noHBand="0" w:noVBand="1" w:val="04A0"/>
        <w:tblInd w:w="120" w:type="dxa"/>
        <w:tblBorders>
          <w:top w:val="single" w:sz="6" w:space="0" w:color="C7CED6"/>
          <w:left w:val="single" w:sz="6" w:space="0" w:color="C7CED6"/>
          <w:bottom w:val="single" w:sz="6" w:space="0" w:color="C7CED6"/>
          <w:right w:val="single" w:sz="6" w:space="0" w:color="C7CED6"/>
          <w:insideH w:val="single" w:sz="6" w:space="0" w:color="C7CED6"/>
          <w:insideV w:val="single" w:sz="6" w:space="0" w:color="C7CED6"/>
        </w:tblBorders>
      </w:tblPr>
      <w:tblGrid>
        <w:gridCol w:w="4680"/>
        <w:gridCol w:w="4680"/>
      </w:tblGrid>
      <w:tr>
        <w:trPr>
          <w:tblHeader w:val="true"/>
        </w:trPr>
        <w:tc>
          <w:tcPr>
            <w:tcW w:type="dxa" w:w="4680"/>
            <w:tcMar>
              <w:top w:w="80" w:type="dxa"/>
              <w:start w:w="120" w:type="dxa"/>
              <w:bottom w:w="80" w:type="dxa"/>
              <w:end w:w="120" w:type="dxa"/>
            </w:tcMar>
            <w:vAlign w:val="center"/>
            <w:shd w:fill="F2F4F7" w:val="clear"/>
          </w:tcPr>
          <w:p>
            <w:pPr>
              <w:jc w:val="center"/>
            </w:pPr>
            <w:r>
              <w:rPr>
                <w:rFonts w:ascii="Calibri" w:hAnsi="Calibri" w:eastAsia="Calibri"/>
                <w:b/>
                <w:color w:val="0B2545"/>
              </w:rPr>
              <w:t>Influencer portal</w:t>
            </w:r>
          </w:p>
        </w:tc>
        <w:tc>
          <w:tcPr>
            <w:tcW w:type="dxa" w:w="4680"/>
            <w:tcMar>
              <w:top w:w="80" w:type="dxa"/>
              <w:start w:w="120" w:type="dxa"/>
              <w:bottom w:w="80" w:type="dxa"/>
              <w:end w:w="120" w:type="dxa"/>
            </w:tcMar>
            <w:vAlign w:val="center"/>
            <w:shd w:fill="F2F4F7" w:val="clear"/>
          </w:tcPr>
          <w:p>
            <w:pPr>
              <w:jc w:val="center"/>
            </w:pPr>
            <w:r>
              <w:rPr>
                <w:rFonts w:ascii="Calibri" w:hAnsi="Calibri" w:eastAsia="Calibri"/>
                <w:b/>
                <w:color w:val="0B2545"/>
              </w:rPr>
              <w:t>Government dashboard</w:t>
            </w:r>
          </w:p>
        </w:tc>
      </w:tr>
      <w:tr>
        <w:trPr>
          <w:cantSplit/>
          <w:cantSplit/>
        </w:trPr>
        <w:tc>
          <w:tcPr>
            <w:tcW w:type="dxa" w:w="4680"/>
          </w:tcPr>
          <w:p>
            <w:pPr>
              <w:spacing w:after="0"/>
            </w:pPr>
            <w:r>
              <w:rPr>
                <w:rFonts w:ascii="Calibri" w:hAnsi="Calibri" w:eastAsia="Calibri"/>
                <w:color w:val="1F2933"/>
                <w:sz w:val="20"/>
              </w:rPr>
              <w:t>Registration and profile management; campaign discovery and applications; eligibility evidence; assigned tasks; draft approval where required; campaign chat; proof-of-work submission; correction requests; and payment-status visibility.</w:t>
            </w:r>
          </w:p>
        </w:tc>
        <w:tc>
          <w:tcPr>
            <w:tcW w:type="dxa" w:w="4680"/>
          </w:tcPr>
          <w:p>
            <w:pPr>
              <w:spacing w:after="0"/>
            </w:pPr>
            <w:r>
              <w:rPr>
                <w:rFonts w:ascii="Calibri" w:hAnsi="Calibri" w:eastAsia="Calibri"/>
                <w:color w:val="1F2933"/>
                <w:sz w:val="20"/>
              </w:rPr>
              <w:t>Campaign and task creation; eligibility rules; influencer review and selection; regional verification; communication; submission evaluation; payment approval and status; campaign monitoring; reporting and export.</w:t>
            </w:r>
          </w:p>
        </w:tc>
      </w:tr>
    </w:tbl>
    <w:p>
      <w:pPr>
        <w:pStyle w:val="Heading2"/>
      </w:pPr>
      <w:r>
        <w:t>1.2 Platform and hosting resources</w:t>
      </w:r>
    </w:p>
    <w:p>
      <w:pPr>
        <w:keepNext/>
      </w:pPr>
      <w:r>
        <w:t>The following capabilities must be provisioned before launch. Exact capacity and vendor selection should be based on the number of active influencers, concurrent campaigns, expected file sizes, peak campaign traffic and the government's retention policy.</w:t>
      </w:r>
    </w:p>
    <w:tbl>
      <w:tblPr>
        <w:tblW w:type="dxa" w:w="9360"/>
        <w:tblLayout w:type="fixed"/>
        <w:tblLook w:firstColumn="1" w:firstRow="1" w:lastColumn="0" w:lastRow="0" w:noHBand="0" w:noVBand="1" w:val="04A0"/>
        <w:tblInd w:w="120" w:type="dxa"/>
        <w:tblBorders>
          <w:top w:val="single" w:sz="6" w:space="0" w:color="C7CED6"/>
          <w:left w:val="single" w:sz="6" w:space="0" w:color="C7CED6"/>
          <w:bottom w:val="single" w:sz="6" w:space="0" w:color="C7CED6"/>
          <w:right w:val="single" w:sz="6" w:space="0" w:color="C7CED6"/>
          <w:insideH w:val="single" w:sz="6" w:space="0" w:color="C7CED6"/>
          <w:insideV w:val="single" w:sz="6" w:space="0" w:color="C7CED6"/>
        </w:tblBorders>
      </w:tblPr>
      <w:tblGrid>
        <w:gridCol w:w="2150"/>
        <w:gridCol w:w="3220"/>
        <w:gridCol w:w="3990"/>
      </w:tblGrid>
      <w:tr>
        <w:trPr>
          <w:tblHeader w:val="true"/>
        </w:trPr>
        <w:tc>
          <w:tcPr>
            <w:tcW w:type="dxa" w:w="2150"/>
            <w:tcMar>
              <w:top w:w="80" w:type="dxa"/>
              <w:start w:w="120" w:type="dxa"/>
              <w:bottom w:w="80" w:type="dxa"/>
              <w:end w:w="120" w:type="dxa"/>
            </w:tcMar>
            <w:vAlign w:val="center"/>
            <w:shd w:fill="F2F4F7" w:val="clear"/>
          </w:tcPr>
          <w:p>
            <w:pPr>
              <w:jc w:val="center"/>
            </w:pPr>
            <w:r>
              <w:rPr>
                <w:rFonts w:ascii="Calibri" w:hAnsi="Calibri" w:eastAsia="Calibri"/>
                <w:b/>
                <w:color w:val="0B2545"/>
                <w:sz w:val="19"/>
              </w:rPr>
              <w:t>Resource</w:t>
            </w:r>
          </w:p>
        </w:tc>
        <w:tc>
          <w:tcPr>
            <w:tcW w:type="dxa" w:w="3220"/>
            <w:tcMar>
              <w:top w:w="80" w:type="dxa"/>
              <w:start w:w="120" w:type="dxa"/>
              <w:bottom w:w="80" w:type="dxa"/>
              <w:end w:w="120" w:type="dxa"/>
            </w:tcMar>
            <w:vAlign w:val="center"/>
            <w:shd w:fill="F2F4F7" w:val="clear"/>
          </w:tcPr>
          <w:p>
            <w:pPr>
              <w:jc w:val="center"/>
            </w:pPr>
            <w:r>
              <w:rPr>
                <w:rFonts w:ascii="Calibri" w:hAnsi="Calibri" w:eastAsia="Calibri"/>
                <w:b/>
                <w:color w:val="0B2545"/>
                <w:sz w:val="19"/>
              </w:rPr>
              <w:t>What it supports</w:t>
            </w:r>
          </w:p>
        </w:tc>
        <w:tc>
          <w:tcPr>
            <w:tcW w:type="dxa" w:w="3990"/>
            <w:tcMar>
              <w:top w:w="80" w:type="dxa"/>
              <w:start w:w="120" w:type="dxa"/>
              <w:bottom w:w="80" w:type="dxa"/>
              <w:end w:w="120" w:type="dxa"/>
            </w:tcMar>
            <w:vAlign w:val="center"/>
            <w:shd w:fill="F2F4F7" w:val="clear"/>
          </w:tcPr>
          <w:p>
            <w:pPr>
              <w:jc w:val="center"/>
            </w:pPr>
            <w:r>
              <w:rPr>
                <w:rFonts w:ascii="Calibri" w:hAnsi="Calibri" w:eastAsia="Calibri"/>
                <w:b/>
                <w:color w:val="0B2545"/>
                <w:sz w:val="19"/>
              </w:rPr>
              <w:t>Planning consideration</w:t>
            </w:r>
          </w:p>
        </w:tc>
      </w:tr>
      <w:tr>
        <w:trPr>
          <w:cantSplit/>
        </w:trPr>
        <w:tc>
          <w:tcPr>
            <w:tcW w:type="dxa" w:w="2150"/>
          </w:tcPr>
          <w:p>
            <w:pPr>
              <w:spacing w:after="0"/>
            </w:pPr>
            <w:r>
              <w:rPr>
                <w:rFonts w:ascii="Calibri" w:hAnsi="Calibri" w:eastAsia="Calibri"/>
                <w:b/>
                <w:color w:val="1F2933"/>
                <w:sz w:val="18"/>
              </w:rPr>
              <w:t>Application environments</w:t>
            </w:r>
          </w:p>
        </w:tc>
        <w:tc>
          <w:tcPr>
            <w:tcW w:type="dxa" w:w="3220"/>
          </w:tcPr>
          <w:p>
            <w:pPr>
              <w:spacing w:after="0"/>
            </w:pPr>
            <w:r>
              <w:rPr>
                <w:rFonts w:ascii="Calibri" w:hAnsi="Calibri" w:eastAsia="Calibri"/>
                <w:b w:val="0"/>
                <w:color w:val="1F2933"/>
                <w:sz w:val="18"/>
              </w:rPr>
              <w:t>Runs the influencer portal, government dashboard and a safe testing environment.</w:t>
            </w:r>
          </w:p>
        </w:tc>
        <w:tc>
          <w:tcPr>
            <w:tcW w:type="dxa" w:w="3990"/>
          </w:tcPr>
          <w:p>
            <w:pPr>
              <w:spacing w:after="0"/>
            </w:pPr>
            <w:r>
              <w:rPr>
                <w:rFonts w:ascii="Calibri" w:hAnsi="Calibri" w:eastAsia="Calibri"/>
                <w:b w:val="0"/>
                <w:color w:val="1F2933"/>
                <w:sz w:val="18"/>
              </w:rPr>
              <w:t>Separate production and staging environments; production scales for peak campaign activity.</w:t>
            </w:r>
          </w:p>
        </w:tc>
      </w:tr>
      <w:tr>
        <w:trPr>
          <w:cantSplit/>
        </w:trPr>
        <w:tc>
          <w:tcPr>
            <w:tcW w:type="dxa" w:w="2150"/>
          </w:tcPr>
          <w:p>
            <w:pPr>
              <w:spacing w:after="0"/>
            </w:pPr>
            <w:r>
              <w:rPr>
                <w:rFonts w:ascii="Calibri" w:hAnsi="Calibri" w:eastAsia="Calibri"/>
                <w:b/>
                <w:color w:val="1F2933"/>
                <w:sz w:val="18"/>
              </w:rPr>
              <w:t>Database service</w:t>
            </w:r>
          </w:p>
        </w:tc>
        <w:tc>
          <w:tcPr>
            <w:tcW w:type="dxa" w:w="3220"/>
          </w:tcPr>
          <w:p>
            <w:pPr>
              <w:spacing w:after="0"/>
            </w:pPr>
            <w:r>
              <w:rPr>
                <w:rFonts w:ascii="Calibri" w:hAnsi="Calibri" w:eastAsia="Calibri"/>
                <w:b w:val="0"/>
                <w:color w:val="1F2933"/>
                <w:sz w:val="18"/>
              </w:rPr>
              <w:t>Stores profiles, campaigns, tasks, applications, decisions and payment-status records.</w:t>
            </w:r>
          </w:p>
        </w:tc>
        <w:tc>
          <w:tcPr>
            <w:tcW w:type="dxa" w:w="3990"/>
          </w:tcPr>
          <w:p>
            <w:pPr>
              <w:spacing w:after="0"/>
            </w:pPr>
            <w:r>
              <w:rPr>
                <w:rFonts w:ascii="Calibri" w:hAnsi="Calibri" w:eastAsia="Calibri"/>
                <w:b w:val="0"/>
                <w:color w:val="1F2933"/>
                <w:sz w:val="18"/>
              </w:rPr>
              <w:t>Managed, encrypted and restricted to authorised users and services.</w:t>
            </w:r>
          </w:p>
        </w:tc>
      </w:tr>
      <w:tr>
        <w:trPr>
          <w:cantSplit/>
        </w:trPr>
        <w:tc>
          <w:tcPr>
            <w:tcW w:type="dxa" w:w="2150"/>
          </w:tcPr>
          <w:p>
            <w:pPr>
              <w:spacing w:after="0"/>
            </w:pPr>
            <w:r>
              <w:rPr>
                <w:rFonts w:ascii="Calibri" w:hAnsi="Calibri" w:eastAsia="Calibri"/>
                <w:b/>
                <w:color w:val="1F2933"/>
                <w:sz w:val="18"/>
              </w:rPr>
              <w:t>File and media storage</w:t>
            </w:r>
          </w:p>
        </w:tc>
        <w:tc>
          <w:tcPr>
            <w:tcW w:type="dxa" w:w="3220"/>
          </w:tcPr>
          <w:p>
            <w:pPr>
              <w:spacing w:after="0"/>
            </w:pPr>
            <w:r>
              <w:rPr>
                <w:rFonts w:ascii="Calibri" w:hAnsi="Calibri" w:eastAsia="Calibri"/>
                <w:b w:val="0"/>
                <w:color w:val="1F2933"/>
                <w:sz w:val="18"/>
              </w:rPr>
              <w:t>Stores residence evidence, drafts, screenshots, videos, analytics proof and chat attachments.</w:t>
            </w:r>
          </w:p>
        </w:tc>
        <w:tc>
          <w:tcPr>
            <w:tcW w:type="dxa" w:w="3990"/>
          </w:tcPr>
          <w:p>
            <w:pPr>
              <w:spacing w:after="0"/>
            </w:pPr>
            <w:r>
              <w:rPr>
                <w:rFonts w:ascii="Calibri" w:hAnsi="Calibri" w:eastAsia="Calibri"/>
                <w:b w:val="0"/>
                <w:color w:val="1F2933"/>
                <w:sz w:val="18"/>
              </w:rPr>
              <w:t>Capacity based on submissions multiplied by average file size and retention period.</w:t>
            </w:r>
          </w:p>
        </w:tc>
      </w:tr>
      <w:tr>
        <w:trPr>
          <w:cantSplit/>
        </w:trPr>
        <w:tc>
          <w:tcPr>
            <w:tcW w:type="dxa" w:w="2150"/>
          </w:tcPr>
          <w:p>
            <w:pPr>
              <w:spacing w:after="0"/>
            </w:pPr>
            <w:r>
              <w:rPr>
                <w:rFonts w:ascii="Calibri" w:hAnsi="Calibri" w:eastAsia="Calibri"/>
                <w:b/>
                <w:color w:val="1F2933"/>
                <w:sz w:val="18"/>
              </w:rPr>
              <w:t>Identity and access</w:t>
            </w:r>
          </w:p>
        </w:tc>
        <w:tc>
          <w:tcPr>
            <w:tcW w:type="dxa" w:w="3220"/>
          </w:tcPr>
          <w:p>
            <w:pPr>
              <w:spacing w:after="0"/>
            </w:pPr>
            <w:r>
              <w:rPr>
                <w:rFonts w:ascii="Calibri" w:hAnsi="Calibri" w:eastAsia="Calibri"/>
                <w:b w:val="0"/>
                <w:color w:val="1F2933"/>
                <w:sz w:val="18"/>
              </w:rPr>
              <w:t>Supports verified sign-in and role-based access for influencers and government officers.</w:t>
            </w:r>
          </w:p>
        </w:tc>
        <w:tc>
          <w:tcPr>
            <w:tcW w:type="dxa" w:w="3990"/>
          </w:tcPr>
          <w:p>
            <w:pPr>
              <w:spacing w:after="0"/>
            </w:pPr>
            <w:r>
              <w:rPr>
                <w:rFonts w:ascii="Calibri" w:hAnsi="Calibri" w:eastAsia="Calibri"/>
                <w:b w:val="0"/>
                <w:color w:val="1F2933"/>
                <w:sz w:val="18"/>
              </w:rPr>
              <w:t>Mobile OTP or email verification; stronger access controls for government users.</w:t>
            </w:r>
          </w:p>
        </w:tc>
      </w:tr>
      <w:tr>
        <w:trPr>
          <w:cantSplit/>
        </w:trPr>
        <w:tc>
          <w:tcPr>
            <w:tcW w:type="dxa" w:w="2150"/>
          </w:tcPr>
          <w:p>
            <w:pPr>
              <w:spacing w:after="0"/>
            </w:pPr>
            <w:r>
              <w:rPr>
                <w:rFonts w:ascii="Calibri" w:hAnsi="Calibri" w:eastAsia="Calibri"/>
                <w:b/>
                <w:color w:val="1F2933"/>
                <w:sz w:val="18"/>
              </w:rPr>
              <w:t>Chat and notifications</w:t>
            </w:r>
          </w:p>
        </w:tc>
        <w:tc>
          <w:tcPr>
            <w:tcW w:type="dxa" w:w="3220"/>
          </w:tcPr>
          <w:p>
            <w:pPr>
              <w:spacing w:after="0"/>
            </w:pPr>
            <w:r>
              <w:rPr>
                <w:rFonts w:ascii="Calibri" w:hAnsi="Calibri" w:eastAsia="Calibri"/>
                <w:b w:val="0"/>
                <w:color w:val="1F2933"/>
                <w:sz w:val="18"/>
              </w:rPr>
              <w:t>Supports campaign communication and deadline, correction, approval and payment alerts.</w:t>
            </w:r>
          </w:p>
        </w:tc>
        <w:tc>
          <w:tcPr>
            <w:tcW w:type="dxa" w:w="3990"/>
          </w:tcPr>
          <w:p>
            <w:pPr>
              <w:spacing w:after="0"/>
            </w:pPr>
            <w:r>
              <w:rPr>
                <w:rFonts w:ascii="Calibri" w:hAnsi="Calibri" w:eastAsia="Calibri"/>
                <w:b w:val="0"/>
                <w:color w:val="1F2933"/>
                <w:sz w:val="18"/>
              </w:rPr>
              <w:t>In-platform chat plus selected email, SMS or approved messaging channels.</w:t>
            </w:r>
          </w:p>
        </w:tc>
      </w:tr>
      <w:tr>
        <w:trPr>
          <w:cantSplit/>
        </w:trPr>
        <w:tc>
          <w:tcPr>
            <w:tcW w:type="dxa" w:w="2150"/>
          </w:tcPr>
          <w:p>
            <w:pPr>
              <w:spacing w:after="0"/>
            </w:pPr>
            <w:r>
              <w:rPr>
                <w:rFonts w:ascii="Calibri" w:hAnsi="Calibri" w:eastAsia="Calibri"/>
                <w:b/>
                <w:color w:val="1F2933"/>
                <w:sz w:val="18"/>
              </w:rPr>
              <w:t>Security, monitoring and recovery</w:t>
            </w:r>
          </w:p>
        </w:tc>
        <w:tc>
          <w:tcPr>
            <w:tcW w:type="dxa" w:w="3220"/>
          </w:tcPr>
          <w:p>
            <w:pPr>
              <w:spacing w:after="0"/>
            </w:pPr>
            <w:r>
              <w:rPr>
                <w:rFonts w:ascii="Calibri" w:hAnsi="Calibri" w:eastAsia="Calibri"/>
                <w:b w:val="0"/>
                <w:color w:val="1F2933"/>
                <w:sz w:val="18"/>
              </w:rPr>
              <w:t>Protects the service, records important actions, detects outages and restores lost data.</w:t>
            </w:r>
          </w:p>
        </w:tc>
        <w:tc>
          <w:tcPr>
            <w:tcW w:type="dxa" w:w="3990"/>
          </w:tcPr>
          <w:p>
            <w:pPr>
              <w:spacing w:after="0"/>
            </w:pPr>
            <w:r>
              <w:rPr>
                <w:rFonts w:ascii="Calibri" w:hAnsi="Calibri" w:eastAsia="Calibri"/>
                <w:b w:val="0"/>
                <w:color w:val="1F2933"/>
                <w:sz w:val="18"/>
              </w:rPr>
              <w:t>Encryption, certificates, web protection, file scanning, alerts, audit logs, automated backups and tested recovery.</w:t>
            </w:r>
          </w:p>
        </w:tc>
      </w:tr>
      <w:tr>
        <w:trPr>
          <w:cantSplit/>
        </w:trPr>
        <w:tc>
          <w:tcPr>
            <w:tcW w:type="dxa" w:w="2150"/>
          </w:tcPr>
          <w:p>
            <w:pPr>
              <w:spacing w:after="0"/>
            </w:pPr>
            <w:r>
              <w:rPr>
                <w:rFonts w:ascii="Calibri" w:hAnsi="Calibri" w:eastAsia="Calibri"/>
                <w:b/>
                <w:color w:val="1F2933"/>
                <w:sz w:val="18"/>
              </w:rPr>
              <w:t>Integration and reporting capacity</w:t>
            </w:r>
          </w:p>
        </w:tc>
        <w:tc>
          <w:tcPr>
            <w:tcW w:type="dxa" w:w="3220"/>
          </w:tcPr>
          <w:p>
            <w:pPr>
              <w:spacing w:after="0"/>
            </w:pPr>
            <w:r>
              <w:rPr>
                <w:rFonts w:ascii="Calibri" w:hAnsi="Calibri" w:eastAsia="Calibri"/>
                <w:b w:val="0"/>
                <w:color w:val="1F2933"/>
                <w:sz w:val="18"/>
              </w:rPr>
              <w:t>Connects to payment, reporting or social analytics tools selected later.</w:t>
            </w:r>
          </w:p>
        </w:tc>
        <w:tc>
          <w:tcPr>
            <w:tcW w:type="dxa" w:w="3990"/>
          </w:tcPr>
          <w:p>
            <w:pPr>
              <w:spacing w:after="0"/>
            </w:pPr>
            <w:r>
              <w:rPr>
                <w:rFonts w:ascii="Calibri" w:hAnsi="Calibri" w:eastAsia="Calibri"/>
                <w:b w:val="0"/>
                <w:color w:val="1F2933"/>
                <w:sz w:val="18"/>
              </w:rPr>
              <w:t>Secure import, export or integration capability without locking the product to one provider.</w:t>
            </w:r>
          </w:p>
        </w:tc>
      </w:tr>
    </w:tbl>
    <w:p>
      <w:r>
        <w:br w:type="page"/>
      </w:r>
    </w:p>
    <w:p>
      <w:pPr>
        <w:pStyle w:val="Heading1"/>
      </w:pPr>
      <w:r>
        <w:t>2. Users and Responsibilities</w:t>
      </w:r>
    </w:p>
    <w:p>
      <w:pPr>
        <w:keepNext/>
      </w:pPr>
      <w:r>
        <w:t>The platform separates responsibilities so that campaign decisions, regional verification, submission review and payment approval can be controlled and audited. In a small pilot, one authorised officer may perform more than one role.</w:t>
      </w:r>
    </w:p>
    <w:tbl>
      <w:tblPr>
        <w:tblW w:type="dxa" w:w="9360"/>
        <w:tblLayout w:type="fixed"/>
        <w:tblLook w:firstColumn="1" w:firstRow="1" w:lastColumn="0" w:lastRow="0" w:noHBand="0" w:noVBand="1" w:val="04A0"/>
        <w:tblInd w:w="120" w:type="dxa"/>
        <w:tblBorders>
          <w:top w:val="single" w:sz="6" w:space="0" w:color="C7CED6"/>
          <w:left w:val="single" w:sz="6" w:space="0" w:color="C7CED6"/>
          <w:bottom w:val="single" w:sz="6" w:space="0" w:color="C7CED6"/>
          <w:right w:val="single" w:sz="6" w:space="0" w:color="C7CED6"/>
          <w:insideH w:val="single" w:sz="6" w:space="0" w:color="C7CED6"/>
          <w:insideV w:val="single" w:sz="6" w:space="0" w:color="C7CED6"/>
        </w:tblBorders>
      </w:tblPr>
      <w:tblGrid>
        <w:gridCol w:w="2500"/>
        <w:gridCol w:w="6860"/>
      </w:tblGrid>
      <w:tr>
        <w:trPr>
          <w:tblHeader w:val="true"/>
        </w:trPr>
        <w:tc>
          <w:tcPr>
            <w:tcW w:type="dxa" w:w="2500"/>
            <w:tcMar>
              <w:top w:w="80" w:type="dxa"/>
              <w:start w:w="120" w:type="dxa"/>
              <w:bottom w:w="80" w:type="dxa"/>
              <w:end w:w="120" w:type="dxa"/>
            </w:tcMar>
            <w:vAlign w:val="center"/>
            <w:shd w:fill="F2F4F7" w:val="clear"/>
          </w:tcPr>
          <w:p>
            <w:pPr>
              <w:jc w:val="center"/>
            </w:pPr>
            <w:r>
              <w:rPr>
                <w:rFonts w:ascii="Calibri" w:hAnsi="Calibri" w:eastAsia="Calibri"/>
                <w:b/>
                <w:color w:val="0B2545"/>
              </w:rPr>
              <w:t>User or role</w:t>
            </w:r>
          </w:p>
        </w:tc>
        <w:tc>
          <w:tcPr>
            <w:tcW w:type="dxa" w:w="6860"/>
            <w:tcMar>
              <w:top w:w="80" w:type="dxa"/>
              <w:start w:w="120" w:type="dxa"/>
              <w:bottom w:w="80" w:type="dxa"/>
              <w:end w:w="120" w:type="dxa"/>
            </w:tcMar>
            <w:vAlign w:val="center"/>
            <w:shd w:fill="F2F4F7" w:val="clear"/>
          </w:tcPr>
          <w:p>
            <w:pPr>
              <w:jc w:val="center"/>
            </w:pPr>
            <w:r>
              <w:rPr>
                <w:rFonts w:ascii="Calibri" w:hAnsi="Calibri" w:eastAsia="Calibri"/>
                <w:b/>
                <w:color w:val="0B2545"/>
              </w:rPr>
              <w:t>Primary responsibility</w:t>
            </w:r>
          </w:p>
        </w:tc>
      </w:tr>
      <w:tr>
        <w:trPr>
          <w:cantSplit/>
        </w:trPr>
        <w:tc>
          <w:tcPr>
            <w:tcW w:type="dxa" w:w="2500"/>
          </w:tcPr>
          <w:p>
            <w:pPr>
              <w:spacing w:after="0"/>
            </w:pPr>
            <w:r>
              <w:rPr>
                <w:rFonts w:ascii="Calibri" w:hAnsi="Calibri" w:eastAsia="Calibri"/>
                <w:b/>
                <w:color w:val="1F2933"/>
                <w:sz w:val="20"/>
              </w:rPr>
              <w:t>Influencer</w:t>
            </w:r>
          </w:p>
        </w:tc>
        <w:tc>
          <w:tcPr>
            <w:tcW w:type="dxa" w:w="6860"/>
          </w:tcPr>
          <w:p>
            <w:pPr>
              <w:spacing w:after="0"/>
            </w:pPr>
            <w:r>
              <w:rPr>
                <w:rFonts w:ascii="Calibri" w:hAnsi="Calibri" w:eastAsia="Calibri"/>
                <w:b w:val="0"/>
                <w:color w:val="1F2933"/>
                <w:sz w:val="20"/>
              </w:rPr>
              <w:t>Maintains a profile, applies to eligible campaigns, completes assigned tasks, communicates with officers and submits proof of work.</w:t>
            </w:r>
          </w:p>
        </w:tc>
      </w:tr>
      <w:tr>
        <w:trPr>
          <w:cantSplit/>
        </w:trPr>
        <w:tc>
          <w:tcPr>
            <w:tcW w:type="dxa" w:w="2500"/>
          </w:tcPr>
          <w:p>
            <w:pPr>
              <w:spacing w:after="0"/>
            </w:pPr>
            <w:r>
              <w:rPr>
                <w:rFonts w:ascii="Calibri" w:hAnsi="Calibri" w:eastAsia="Calibri"/>
                <w:b/>
                <w:color w:val="1F2933"/>
                <w:sz w:val="20"/>
              </w:rPr>
              <w:t>Campaign manager</w:t>
            </w:r>
          </w:p>
        </w:tc>
        <w:tc>
          <w:tcPr>
            <w:tcW w:type="dxa" w:w="6860"/>
          </w:tcPr>
          <w:p>
            <w:pPr>
              <w:spacing w:after="0"/>
            </w:pPr>
            <w:r>
              <w:rPr>
                <w:rFonts w:ascii="Calibri" w:hAnsi="Calibri" w:eastAsia="Calibri"/>
                <w:b w:val="0"/>
                <w:color w:val="1F2933"/>
                <w:sz w:val="20"/>
              </w:rPr>
              <w:t>Creates campaigns and tasks, defines eligibility, selects influencers, manages deadlines and monitors delivery.</w:t>
            </w:r>
          </w:p>
        </w:tc>
      </w:tr>
      <w:tr>
        <w:trPr>
          <w:cantSplit/>
        </w:trPr>
        <w:tc>
          <w:tcPr>
            <w:tcW w:type="dxa" w:w="2500"/>
          </w:tcPr>
          <w:p>
            <w:pPr>
              <w:spacing w:after="0"/>
            </w:pPr>
            <w:r>
              <w:rPr>
                <w:rFonts w:ascii="Calibri" w:hAnsi="Calibri" w:eastAsia="Calibri"/>
                <w:b/>
                <w:color w:val="1F2933"/>
                <w:sz w:val="20"/>
              </w:rPr>
              <w:t>Regional verification officer</w:t>
            </w:r>
          </w:p>
        </w:tc>
        <w:tc>
          <w:tcPr>
            <w:tcW w:type="dxa" w:w="6860"/>
          </w:tcPr>
          <w:p>
            <w:pPr>
              <w:spacing w:after="0"/>
            </w:pPr>
            <w:r>
              <w:rPr>
                <w:rFonts w:ascii="Calibri" w:hAnsi="Calibri" w:eastAsia="Calibri"/>
                <w:b w:val="0"/>
                <w:color w:val="1F2933"/>
                <w:sz w:val="20"/>
              </w:rPr>
              <w:t>Checks residence, local audience, language ability or previous regional work when the campaign requires regional eligibility.</w:t>
            </w:r>
          </w:p>
        </w:tc>
      </w:tr>
      <w:tr>
        <w:trPr>
          <w:cantSplit/>
        </w:trPr>
        <w:tc>
          <w:tcPr>
            <w:tcW w:type="dxa" w:w="2500"/>
          </w:tcPr>
          <w:p>
            <w:pPr>
              <w:spacing w:after="0"/>
            </w:pPr>
            <w:r>
              <w:rPr>
                <w:rFonts w:ascii="Calibri" w:hAnsi="Calibri" w:eastAsia="Calibri"/>
                <w:b/>
                <w:color w:val="1F2933"/>
                <w:sz w:val="20"/>
              </w:rPr>
              <w:t>Content or communication officer</w:t>
            </w:r>
          </w:p>
        </w:tc>
        <w:tc>
          <w:tcPr>
            <w:tcW w:type="dxa" w:w="6860"/>
          </w:tcPr>
          <w:p>
            <w:pPr>
              <w:spacing w:after="0"/>
            </w:pPr>
            <w:r>
              <w:rPr>
                <w:rFonts w:ascii="Calibri" w:hAnsi="Calibri" w:eastAsia="Calibri"/>
                <w:b w:val="0"/>
                <w:color w:val="1F2933"/>
                <w:sz w:val="20"/>
              </w:rPr>
              <w:t>Provides approved messages, checks drafts when pre-publication approval is required and guards factual accuracy.</w:t>
            </w:r>
          </w:p>
        </w:tc>
      </w:tr>
      <w:tr>
        <w:trPr>
          <w:cantSplit/>
        </w:trPr>
        <w:tc>
          <w:tcPr>
            <w:tcW w:type="dxa" w:w="2500"/>
          </w:tcPr>
          <w:p>
            <w:pPr>
              <w:spacing w:after="0"/>
            </w:pPr>
            <w:r>
              <w:rPr>
                <w:rFonts w:ascii="Calibri" w:hAnsi="Calibri" w:eastAsia="Calibri"/>
                <w:b/>
                <w:color w:val="1F2933"/>
                <w:sz w:val="20"/>
              </w:rPr>
              <w:t>Submission evaluator</w:t>
            </w:r>
          </w:p>
        </w:tc>
        <w:tc>
          <w:tcPr>
            <w:tcW w:type="dxa" w:w="6860"/>
          </w:tcPr>
          <w:p>
            <w:pPr>
              <w:spacing w:after="0"/>
            </w:pPr>
            <w:r>
              <w:rPr>
                <w:rFonts w:ascii="Calibri" w:hAnsi="Calibri" w:eastAsia="Calibri"/>
                <w:b w:val="0"/>
                <w:color w:val="1F2933"/>
                <w:sz w:val="20"/>
              </w:rPr>
              <w:t>Reviews proof of work, applies the task criteria and accepts, rejects or requests correction with a recorded reason.</w:t>
            </w:r>
          </w:p>
        </w:tc>
      </w:tr>
      <w:tr>
        <w:trPr>
          <w:cantSplit/>
        </w:trPr>
        <w:tc>
          <w:tcPr>
            <w:tcW w:type="dxa" w:w="2500"/>
          </w:tcPr>
          <w:p>
            <w:pPr>
              <w:spacing w:after="0"/>
            </w:pPr>
            <w:r>
              <w:rPr>
                <w:rFonts w:ascii="Calibri" w:hAnsi="Calibri" w:eastAsia="Calibri"/>
                <w:b/>
                <w:color w:val="1F2933"/>
                <w:sz w:val="20"/>
              </w:rPr>
              <w:t>Finance officer</w:t>
            </w:r>
          </w:p>
        </w:tc>
        <w:tc>
          <w:tcPr>
            <w:tcW w:type="dxa" w:w="6860"/>
          </w:tcPr>
          <w:p>
            <w:pPr>
              <w:spacing w:after="0"/>
            </w:pPr>
            <w:r>
              <w:rPr>
                <w:rFonts w:ascii="Calibri" w:hAnsi="Calibri" w:eastAsia="Calibri"/>
                <w:b w:val="0"/>
                <w:color w:val="1F2933"/>
                <w:sz w:val="20"/>
              </w:rPr>
              <w:t>Reviews accepted work, confirms the payable amount and updates or imports the payment status from the selected payment process.</w:t>
            </w:r>
          </w:p>
        </w:tc>
      </w:tr>
      <w:tr>
        <w:trPr>
          <w:cantSplit/>
        </w:trPr>
        <w:tc>
          <w:tcPr>
            <w:tcW w:type="dxa" w:w="2500"/>
          </w:tcPr>
          <w:p>
            <w:pPr>
              <w:spacing w:after="0"/>
            </w:pPr>
            <w:r>
              <w:rPr>
                <w:rFonts w:ascii="Calibri" w:hAnsi="Calibri" w:eastAsia="Calibri"/>
                <w:b/>
                <w:color w:val="1F2933"/>
                <w:sz w:val="20"/>
              </w:rPr>
              <w:t>Platform administrator</w:t>
            </w:r>
          </w:p>
        </w:tc>
        <w:tc>
          <w:tcPr>
            <w:tcW w:type="dxa" w:w="6860"/>
          </w:tcPr>
          <w:p>
            <w:pPr>
              <w:spacing w:after="0"/>
            </w:pPr>
            <w:r>
              <w:rPr>
                <w:rFonts w:ascii="Calibri" w:hAnsi="Calibri" w:eastAsia="Calibri"/>
                <w:b w:val="0"/>
                <w:color w:val="1F2933"/>
                <w:sz w:val="20"/>
              </w:rPr>
              <w:t>Manages officer access, role permissions, platform settings, escalation support and audit access.</w:t>
            </w:r>
          </w:p>
        </w:tc>
      </w:tr>
      <w:tr>
        <w:trPr>
          <w:cantSplit/>
        </w:trPr>
        <w:tc>
          <w:tcPr>
            <w:tcW w:type="dxa" w:w="2500"/>
          </w:tcPr>
          <w:p>
            <w:pPr>
              <w:spacing w:after="0"/>
            </w:pPr>
            <w:r>
              <w:rPr>
                <w:rFonts w:ascii="Calibri" w:hAnsi="Calibri" w:eastAsia="Calibri"/>
                <w:b/>
                <w:color w:val="1F2933"/>
                <w:sz w:val="20"/>
              </w:rPr>
              <w:t>Reporting user</w:t>
            </w:r>
          </w:p>
        </w:tc>
        <w:tc>
          <w:tcPr>
            <w:tcW w:type="dxa" w:w="6860"/>
          </w:tcPr>
          <w:p>
            <w:pPr>
              <w:spacing w:after="0"/>
            </w:pPr>
            <w:r>
              <w:rPr>
                <w:rFonts w:ascii="Calibri" w:hAnsi="Calibri" w:eastAsia="Calibri"/>
                <w:b w:val="0"/>
                <w:color w:val="1F2933"/>
                <w:sz w:val="20"/>
              </w:rPr>
              <w:t>Views campaign progress, regional participation, task completion, performance and payment summaries without changing operational records.</w:t>
            </w:r>
          </w:p>
        </w:tc>
      </w:tr>
    </w:tbl>
    <w:p>
      <w:pPr>
        <w:pStyle w:val="Heading2"/>
      </w:pPr>
      <w:r>
        <w:t>2.1 Chat and formal decisions</w:t>
      </w:r>
    </w:p>
    <w:p>
      <w:pPr>
        <w:keepLines/>
      </w:pPr>
      <w:r>
        <w:t>Government officers and influencers can chat within the relevant campaign or task. Chat may be used for questions, clarifications, attachments and reminders. Formal actions such as selection, task assignment, deadline extension, rejection, acceptance and payment approval must still be recorded through the relevant dashboard action so they remain visible in the audit history.</w:t>
      </w:r>
    </w:p>
    <w:p>
      <w:r>
        <w:br w:type="page"/>
      </w:r>
    </w:p>
    <w:p>
      <w:pPr>
        <w:pStyle w:val="Heading1"/>
      </w:pPr>
      <w:r>
        <w:t>3. Step-by-Step Product Flow</w:t>
      </w:r>
    </w:p>
    <w:p>
      <w:pPr>
        <w:keepLines/>
      </w:pPr>
      <w:r>
        <w:t>The flow begins with a reusable influencer account and ends with an evaluated submission, payment tracking and campaign reporting. Campaign rules determine which verification and proof fields appear at each stage.</w:t>
      </w:r>
    </w:p>
    <w:p>
      <w:pPr>
        <w:spacing w:before="110" w:after="110"/>
        <w:jc w:val="center"/>
        <w:shd w:fill="E8EEF5" w:val="clear"/>
        <w:ind w:left="140" w:right="140"/>
      </w:pPr>
      <w:r>
        <w:rPr>
          <w:rFonts w:ascii="Calibri" w:hAnsi="Calibri" w:eastAsia="Calibri"/>
          <w:b/>
          <w:color w:val="0B2545"/>
          <w:sz w:val="20"/>
        </w:rPr>
        <w:t>REGISTER  &gt;  APPLY  &gt;  VERIFY  &gt;  ASSIGN  &gt;  DELIVER  &gt;  SUBMIT  &gt;  EVALUATE  &gt;  APPROVE  &gt;  TRACK</w:t>
      </w:r>
    </w:p>
    <w:p>
      <w:pPr>
        <w:pStyle w:val="Heading2"/>
      </w:pPr>
      <w:r>
        <w:t>Stage A - Registration and profile</w:t>
      </w:r>
    </w:p>
    <w:p>
      <w:pPr>
        <w:keepNext/>
        <w:numPr>
          <w:ilvl w:val="0"/>
          <w:numId w:val="11"/>
        </w:numPr>
      </w:pPr>
      <w:r>
        <w:rPr>
          <w:rFonts w:ascii="Calibri" w:hAnsi="Calibri" w:eastAsia="Calibri"/>
          <w:b/>
          <w:color w:val="0B2545"/>
        </w:rPr>
        <w:t>Influencer registration</w:t>
      </w:r>
    </w:p>
    <w:p>
      <w:pPr>
        <w:keepLines/>
        <w:spacing w:after="100" w:line="264" w:lineRule="auto"/>
        <w:ind w:left="720" w:firstLine="0"/>
      </w:pPr>
      <w:r>
        <w:rPr>
          <w:rFonts w:ascii="Calibri" w:hAnsi="Calibri" w:eastAsia="Calibri"/>
          <w:color w:val="1F2933"/>
        </w:rPr>
        <w:t>The influencer creates an account using a verified mobile number or email address and accepts the platform terms, privacy notice and campaign participation rules.</w:t>
      </w:r>
    </w:p>
    <w:p>
      <w:pPr>
        <w:keepLines/>
        <w:spacing w:after="160"/>
        <w:ind w:left="720"/>
      </w:pPr>
      <w:r>
        <w:rPr>
          <w:rFonts w:ascii="Calibri" w:hAnsi="Calibri" w:eastAsia="Calibri"/>
          <w:b/>
          <w:color w:val="1F4D78"/>
        </w:rPr>
        <w:t xml:space="preserve">Result: </w:t>
      </w:r>
      <w:r>
        <w:rPr>
          <w:rFonts w:ascii="Calibri" w:hAnsi="Calibri" w:eastAsia="Calibri"/>
          <w:color w:val="1F2933"/>
        </w:rPr>
        <w:t>A verified account that can be used across multiple campaigns.</w:t>
      </w:r>
    </w:p>
    <w:p>
      <w:pPr>
        <w:keepNext/>
        <w:numPr>
          <w:ilvl w:val="0"/>
          <w:numId w:val="11"/>
        </w:numPr>
      </w:pPr>
      <w:r>
        <w:rPr>
          <w:rFonts w:ascii="Calibri" w:hAnsi="Calibri" w:eastAsia="Calibri"/>
          <w:b/>
          <w:color w:val="0B2545"/>
        </w:rPr>
        <w:t>Reusable influencer profile</w:t>
      </w:r>
    </w:p>
    <w:p>
      <w:pPr>
        <w:keepLines/>
        <w:spacing w:after="100" w:line="264" w:lineRule="auto"/>
        <w:ind w:left="720" w:firstLine="0"/>
      </w:pPr>
      <w:r>
        <w:rPr>
          <w:rFonts w:ascii="Calibri" w:hAnsi="Calibri" w:eastAsia="Calibri"/>
          <w:color w:val="1F2933"/>
        </w:rPr>
        <w:t>The influencer records basic identity, languages, content categories, social handles, audience size, primary audience locations, regions where physical work is possible and previous campaign experience. Sensitive evidence is not required at this stage unless government policy makes it mandatory.</w:t>
      </w:r>
    </w:p>
    <w:p>
      <w:pPr>
        <w:keepLines/>
        <w:spacing w:after="160"/>
        <w:ind w:left="720"/>
      </w:pPr>
      <w:r>
        <w:rPr>
          <w:rFonts w:ascii="Calibri" w:hAnsi="Calibri" w:eastAsia="Calibri"/>
          <w:b/>
          <w:color w:val="1F4D78"/>
        </w:rPr>
        <w:t xml:space="preserve">Result: </w:t>
      </w:r>
      <w:r>
        <w:rPr>
          <w:rFonts w:ascii="Calibri" w:hAnsi="Calibri" w:eastAsia="Calibri"/>
          <w:color w:val="1F2933"/>
        </w:rPr>
        <w:t>A reusable profile that reduces repeated form filling and supports campaign screening.</w:t>
      </w:r>
    </w:p>
    <w:p>
      <w:pPr>
        <w:pStyle w:val="Heading2"/>
      </w:pPr>
      <w:r>
        <w:t>Stage B - Campaign eligibility and selection</w:t>
      </w:r>
    </w:p>
    <w:p>
      <w:pPr>
        <w:keepNext/>
        <w:numPr>
          <w:ilvl w:val="0"/>
          <w:numId w:val="11"/>
        </w:numPr>
      </w:pPr>
      <w:r>
        <w:rPr>
          <w:rFonts w:ascii="Calibri" w:hAnsi="Calibri" w:eastAsia="Calibri"/>
          <w:b/>
          <w:color w:val="0B2545"/>
        </w:rPr>
        <w:t>Government campaign creation</w:t>
      </w:r>
    </w:p>
    <w:p>
      <w:pPr>
        <w:keepLines/>
        <w:spacing w:after="100" w:line="264" w:lineRule="auto"/>
        <w:ind w:left="720" w:firstLine="0"/>
      </w:pPr>
      <w:r>
        <w:rPr>
          <w:rFonts w:ascii="Calibri" w:hAnsi="Calibri" w:eastAsia="Calibri"/>
          <w:color w:val="1F2933"/>
        </w:rPr>
        <w:t>The campaign manager creates a campaign with its objective, geographic scope, target audience, timeline, budget context, number of influencers, eligibility rules, tasks, proof requirements and evaluation conditions.</w:t>
      </w:r>
    </w:p>
    <w:p>
      <w:pPr>
        <w:keepLines/>
        <w:spacing w:after="160"/>
        <w:ind w:left="720"/>
      </w:pPr>
      <w:r>
        <w:rPr>
          <w:rFonts w:ascii="Calibri" w:hAnsi="Calibri" w:eastAsia="Calibri"/>
          <w:b/>
          <w:color w:val="1F4D78"/>
        </w:rPr>
        <w:t xml:space="preserve">Result: </w:t>
      </w:r>
      <w:r>
        <w:rPr>
          <w:rFonts w:ascii="Calibri" w:hAnsi="Calibri" w:eastAsia="Calibri"/>
          <w:color w:val="1F2933"/>
        </w:rPr>
        <w:t>A campaign ready to publish to eligible influencers or use for direct invitations.</w:t>
      </w:r>
    </w:p>
    <w:p>
      <w:pPr>
        <w:keepNext/>
        <w:numPr>
          <w:ilvl w:val="0"/>
          <w:numId w:val="11"/>
        </w:numPr>
      </w:pPr>
      <w:r>
        <w:rPr>
          <w:rFonts w:ascii="Calibri" w:hAnsi="Calibri" w:eastAsia="Calibri"/>
          <w:b/>
          <w:color w:val="0B2545"/>
        </w:rPr>
        <w:t>Campaign discovery or invitation</w:t>
      </w:r>
    </w:p>
    <w:p>
      <w:pPr>
        <w:keepLines/>
        <w:spacing w:after="100" w:line="264" w:lineRule="auto"/>
        <w:ind w:left="720" w:firstLine="0"/>
      </w:pPr>
      <w:r>
        <w:rPr>
          <w:rFonts w:ascii="Calibri" w:hAnsi="Calibri" w:eastAsia="Calibri"/>
          <w:color w:val="1F2933"/>
        </w:rPr>
        <w:t>Influencers browse available campaigns or receive an invitation. Before applying, they can see the region, eligibility, deliverables, deadlines, proof requirements and payment basis.</w:t>
      </w:r>
    </w:p>
    <w:p>
      <w:pPr>
        <w:keepLines/>
        <w:spacing w:after="160"/>
        <w:ind w:left="720"/>
      </w:pPr>
      <w:r>
        <w:rPr>
          <w:rFonts w:ascii="Calibri" w:hAnsi="Calibri" w:eastAsia="Calibri"/>
          <w:b/>
          <w:color w:val="1F4D78"/>
        </w:rPr>
        <w:t xml:space="preserve">Result: </w:t>
      </w:r>
      <w:r>
        <w:rPr>
          <w:rFonts w:ascii="Calibri" w:hAnsi="Calibri" w:eastAsia="Calibri"/>
          <w:color w:val="1F2933"/>
        </w:rPr>
        <w:t>An informed application or invitation response.</w:t>
      </w:r>
    </w:p>
    <w:p>
      <w:pPr>
        <w:keepNext/>
        <w:numPr>
          <w:ilvl w:val="0"/>
          <w:numId w:val="11"/>
        </w:numPr>
      </w:pPr>
      <w:r>
        <w:rPr>
          <w:rFonts w:ascii="Calibri" w:hAnsi="Calibri" w:eastAsia="Calibri"/>
          <w:b/>
          <w:color w:val="0B2545"/>
        </w:rPr>
        <w:t>Campaign-specific eligibility and verification</w:t>
      </w:r>
    </w:p>
    <w:p>
      <w:pPr>
        <w:keepLines/>
        <w:spacing w:after="100" w:line="264" w:lineRule="auto"/>
        <w:ind w:left="720" w:firstLine="0"/>
      </w:pPr>
      <w:r>
        <w:rPr>
          <w:rFonts w:ascii="Calibri" w:hAnsi="Calibri" w:eastAsia="Calibri"/>
          <w:color w:val="1F2933"/>
        </w:rPr>
        <w:t>The platform asks only for evidence required by that campaign. A regional campaign may request residence evidence, primary audience location, local language ability or previous regional work. A PAN-India campaign may skip regional evidence and use broader criteria such as category, reach, platform or language.</w:t>
      </w:r>
    </w:p>
    <w:p>
      <w:pPr>
        <w:keepLines/>
        <w:spacing w:after="160"/>
        <w:ind w:left="720"/>
      </w:pPr>
      <w:r>
        <w:rPr>
          <w:rFonts w:ascii="Calibri" w:hAnsi="Calibri" w:eastAsia="Calibri"/>
          <w:b/>
          <w:color w:val="1F4D78"/>
        </w:rPr>
        <w:t xml:space="preserve">Result: </w:t>
      </w:r>
      <w:r>
        <w:rPr>
          <w:rFonts w:ascii="Calibri" w:hAnsi="Calibri" w:eastAsia="Calibri"/>
          <w:color w:val="1F2933"/>
        </w:rPr>
        <w:t>An application marked eligible, ineligible or requiring officer review.</w:t>
      </w:r>
    </w:p>
    <w:p>
      <w:pPr>
        <w:keepNext/>
        <w:numPr>
          <w:ilvl w:val="0"/>
          <w:numId w:val="11"/>
        </w:numPr>
      </w:pPr>
      <w:r>
        <w:rPr>
          <w:rFonts w:ascii="Calibri" w:hAnsi="Calibri" w:eastAsia="Calibri"/>
          <w:b/>
          <w:color w:val="0B2545"/>
        </w:rPr>
        <w:t>Government review and selection</w:t>
      </w:r>
    </w:p>
    <w:p>
      <w:pPr>
        <w:keepLines/>
        <w:spacing w:after="100" w:line="264" w:lineRule="auto"/>
        <w:ind w:left="720" w:firstLine="0"/>
      </w:pPr>
      <w:r>
        <w:rPr>
          <w:rFonts w:ascii="Calibri" w:hAnsi="Calibri" w:eastAsia="Calibri"/>
          <w:color w:val="1F2933"/>
        </w:rPr>
        <w:t>Authorised officers review the application and supporting evidence. They may approve, reject with a reason, request more information, shortlist the influencer or place the applicant on a waiting list. Eligibility does not guarantee selection when campaign slots are limited.</w:t>
      </w:r>
    </w:p>
    <w:p>
      <w:pPr>
        <w:keepLines/>
        <w:spacing w:after="160"/>
        <w:ind w:left="720"/>
      </w:pPr>
      <w:r>
        <w:rPr>
          <w:rFonts w:ascii="Calibri" w:hAnsi="Calibri" w:eastAsia="Calibri"/>
          <w:b/>
          <w:color w:val="1F4D78"/>
        </w:rPr>
        <w:t xml:space="preserve">Result: </w:t>
      </w:r>
      <w:r>
        <w:rPr>
          <w:rFonts w:ascii="Calibri" w:hAnsi="Calibri" w:eastAsia="Calibri"/>
          <w:color w:val="1F2933"/>
        </w:rPr>
        <w:t>A recorded campaign participation decision.</w:t>
      </w:r>
    </w:p>
    <w:p>
      <w:pPr>
        <w:pStyle w:val="Heading2"/>
      </w:pPr>
      <w:r>
        <w:t>Stage C - Task assignment and delivery</w:t>
      </w:r>
    </w:p>
    <w:p>
      <w:pPr>
        <w:keepNext/>
        <w:numPr>
          <w:ilvl w:val="0"/>
          <w:numId w:val="11"/>
        </w:numPr>
      </w:pPr>
      <w:r>
        <w:rPr>
          <w:rFonts w:ascii="Calibri" w:hAnsi="Calibri" w:eastAsia="Calibri"/>
          <w:b/>
          <w:color w:val="0B2545"/>
        </w:rPr>
        <w:t>Task assignment</w:t>
      </w:r>
    </w:p>
    <w:p>
      <w:pPr>
        <w:keepLines/>
        <w:spacing w:after="100" w:line="264" w:lineRule="auto"/>
        <w:ind w:left="720" w:firstLine="0"/>
      </w:pPr>
      <w:r>
        <w:rPr>
          <w:rFonts w:ascii="Calibri" w:hAnsi="Calibri" w:eastAsia="Calibri"/>
          <w:color w:val="1F2933"/>
        </w:rPr>
        <w:t>An approved influencer receives one or more task briefs. Each brief specifies the platform, content format, mandatory messages, language, audience, deadlines, prohibited claims, proof fields, evaluation criteria and payment rule.</w:t>
      </w:r>
    </w:p>
    <w:p>
      <w:pPr>
        <w:keepLines/>
        <w:spacing w:after="160"/>
        <w:ind w:left="720"/>
      </w:pPr>
      <w:r>
        <w:rPr>
          <w:rFonts w:ascii="Calibri" w:hAnsi="Calibri" w:eastAsia="Calibri"/>
          <w:b/>
          <w:color w:val="1F4D78"/>
        </w:rPr>
        <w:t xml:space="preserve">Result: </w:t>
      </w:r>
      <w:r>
        <w:rPr>
          <w:rFonts w:ascii="Calibri" w:hAnsi="Calibri" w:eastAsia="Calibri"/>
          <w:color w:val="1F2933"/>
        </w:rPr>
        <w:t>A clear, accepted assignment linked to the campaign and influencer.</w:t>
      </w:r>
    </w:p>
    <w:p>
      <w:pPr>
        <w:keepNext/>
        <w:numPr>
          <w:ilvl w:val="0"/>
          <w:numId w:val="11"/>
        </w:numPr>
      </w:pPr>
      <w:r>
        <w:rPr>
          <w:rFonts w:ascii="Calibri" w:hAnsi="Calibri" w:eastAsia="Calibri"/>
          <w:b/>
          <w:color w:val="0B2545"/>
        </w:rPr>
        <w:t>Optional pre-publication approval</w:t>
      </w:r>
    </w:p>
    <w:p>
      <w:pPr>
        <w:keepLines/>
        <w:spacing w:after="100" w:line="264" w:lineRule="auto"/>
        <w:ind w:left="720" w:firstLine="0"/>
      </w:pPr>
      <w:r>
        <w:rPr>
          <w:rFonts w:ascii="Calibri" w:hAnsi="Calibri" w:eastAsia="Calibri"/>
          <w:color w:val="1F2933"/>
        </w:rPr>
        <w:t>When a campaign is sensitive, the influencer submits a draft before publishing. The communication officer approves it or requests changes. For lower-risk tasks, the campaign may permit direct publication followed by proof submission.</w:t>
      </w:r>
    </w:p>
    <w:p>
      <w:pPr>
        <w:keepLines/>
        <w:spacing w:after="160"/>
        <w:ind w:left="720"/>
      </w:pPr>
      <w:r>
        <w:rPr>
          <w:rFonts w:ascii="Calibri" w:hAnsi="Calibri" w:eastAsia="Calibri"/>
          <w:b/>
          <w:color w:val="1F4D78"/>
        </w:rPr>
        <w:t xml:space="preserve">Result: </w:t>
      </w:r>
      <w:r>
        <w:rPr>
          <w:rFonts w:ascii="Calibri" w:hAnsi="Calibri" w:eastAsia="Calibri"/>
          <w:color w:val="1F2933"/>
        </w:rPr>
        <w:t>An approved draft or permission to proceed under the direct-publication route.</w:t>
      </w:r>
    </w:p>
    <w:p>
      <w:pPr>
        <w:keepNext/>
        <w:numPr>
          <w:ilvl w:val="0"/>
          <w:numId w:val="11"/>
        </w:numPr>
      </w:pPr>
      <w:r>
        <w:rPr>
          <w:rFonts w:ascii="Calibri" w:hAnsi="Calibri" w:eastAsia="Calibri"/>
          <w:b/>
          <w:color w:val="0B2545"/>
        </w:rPr>
        <w:t>Work execution and campaign chat</w:t>
      </w:r>
    </w:p>
    <w:p>
      <w:pPr>
        <w:keepLines/>
        <w:spacing w:after="100" w:line="264" w:lineRule="auto"/>
        <w:ind w:left="720" w:firstLine="0"/>
      </w:pPr>
      <w:r>
        <w:rPr>
          <w:rFonts w:ascii="Calibri" w:hAnsi="Calibri" w:eastAsia="Calibri"/>
          <w:color w:val="1F2933"/>
        </w:rPr>
        <w:t>The influencer completes the assigned activity and uses task-linked chat to ask questions, share files or request clarification. Officers can issue reminders and respond without moving the conversation to an unrecorded channel.</w:t>
      </w:r>
    </w:p>
    <w:p>
      <w:pPr>
        <w:keepLines/>
        <w:spacing w:after="160"/>
        <w:ind w:left="720"/>
      </w:pPr>
      <w:r>
        <w:rPr>
          <w:rFonts w:ascii="Calibri" w:hAnsi="Calibri" w:eastAsia="Calibri"/>
          <w:b/>
          <w:color w:val="1F4D78"/>
        </w:rPr>
        <w:t xml:space="preserve">Result: </w:t>
      </w:r>
      <w:r>
        <w:rPr>
          <w:rFonts w:ascii="Calibri" w:hAnsi="Calibri" w:eastAsia="Calibri"/>
          <w:color w:val="1F2933"/>
        </w:rPr>
        <w:t>Completed campaign activity with a traceable communication history.</w:t>
      </w:r>
    </w:p>
    <w:p>
      <w:pPr>
        <w:pStyle w:val="Heading2"/>
      </w:pPr>
      <w:r>
        <w:t>Stage D - Proof of work and evaluation</w:t>
      </w:r>
    </w:p>
    <w:p>
      <w:pPr>
        <w:keepNext/>
        <w:numPr>
          <w:ilvl w:val="0"/>
          <w:numId w:val="11"/>
        </w:numPr>
      </w:pPr>
      <w:r>
        <w:rPr>
          <w:rFonts w:ascii="Calibri" w:hAnsi="Calibri" w:eastAsia="Calibri"/>
          <w:b/>
          <w:color w:val="0B2545"/>
        </w:rPr>
        <w:t>Proof-of-work submission</w:t>
      </w:r>
    </w:p>
    <w:p>
      <w:pPr>
        <w:keepLines/>
        <w:spacing w:after="100" w:line="264" w:lineRule="auto"/>
        <w:ind w:left="720" w:firstLine="0"/>
      </w:pPr>
      <w:r>
        <w:rPr>
          <w:rFonts w:ascii="Calibri" w:hAnsi="Calibri" w:eastAsia="Calibri"/>
          <w:color w:val="1F2933"/>
        </w:rPr>
        <w:t>The submission form changes according to the task. It may request a public URL, screenshot, original media, analytics evidence, event photograph, location evidence, attendance confirmation or completion note. Every submission is timestamped and linked to the specific assignment.</w:t>
      </w:r>
    </w:p>
    <w:p>
      <w:pPr>
        <w:keepLines/>
        <w:spacing w:after="160"/>
        <w:ind w:left="720"/>
      </w:pPr>
      <w:r>
        <w:rPr>
          <w:rFonts w:ascii="Calibri" w:hAnsi="Calibri" w:eastAsia="Calibri"/>
          <w:b/>
          <w:color w:val="1F4D78"/>
        </w:rPr>
        <w:t xml:space="preserve">Result: </w:t>
      </w:r>
      <w:r>
        <w:rPr>
          <w:rFonts w:ascii="Calibri" w:hAnsi="Calibri" w:eastAsia="Calibri"/>
          <w:color w:val="1F2933"/>
        </w:rPr>
        <w:t>A complete evidence package ready for evaluation.</w:t>
      </w:r>
    </w:p>
    <w:p>
      <w:pPr>
        <w:keepNext/>
        <w:numPr>
          <w:ilvl w:val="0"/>
          <w:numId w:val="11"/>
        </w:numPr>
      </w:pPr>
      <w:r>
        <w:rPr>
          <w:rFonts w:ascii="Calibri" w:hAnsi="Calibri" w:eastAsia="Calibri"/>
          <w:b/>
          <w:color w:val="0B2545"/>
        </w:rPr>
        <w:t>Submission evaluation</w:t>
      </w:r>
    </w:p>
    <w:p>
      <w:pPr>
        <w:keepLines/>
        <w:spacing w:after="100" w:line="264" w:lineRule="auto"/>
        <w:ind w:left="720" w:firstLine="0"/>
      </w:pPr>
      <w:r>
        <w:rPr>
          <w:rFonts w:ascii="Calibri" w:hAnsi="Calibri" w:eastAsia="Calibri"/>
          <w:color w:val="1F2933"/>
        </w:rPr>
        <w:t>The evaluator checks whether the work followed the brief, used accurate and appropriate messaging, met the deadline and included valid proof. Performance information such as reach and engagement can be recorded separately from basic task compliance.</w:t>
      </w:r>
    </w:p>
    <w:p>
      <w:pPr>
        <w:keepLines/>
        <w:spacing w:after="160"/>
        <w:ind w:left="720"/>
      </w:pPr>
      <w:r>
        <w:rPr>
          <w:rFonts w:ascii="Calibri" w:hAnsi="Calibri" w:eastAsia="Calibri"/>
          <w:b/>
          <w:color w:val="1F4D78"/>
        </w:rPr>
        <w:t xml:space="preserve">Result: </w:t>
      </w:r>
      <w:r>
        <w:rPr>
          <w:rFonts w:ascii="Calibri" w:hAnsi="Calibri" w:eastAsia="Calibri"/>
          <w:color w:val="1F2933"/>
        </w:rPr>
        <w:t>Accepted, correction requested or rejected, with a recorded reason.</w:t>
      </w:r>
    </w:p>
    <w:p>
      <w:pPr>
        <w:keepNext/>
        <w:numPr>
          <w:ilvl w:val="0"/>
          <w:numId w:val="11"/>
        </w:numPr>
      </w:pPr>
      <w:r>
        <w:rPr>
          <w:rFonts w:ascii="Calibri" w:hAnsi="Calibri" w:eastAsia="Calibri"/>
          <w:b/>
          <w:color w:val="0B2545"/>
        </w:rPr>
        <w:t>Correction and resubmission</w:t>
      </w:r>
    </w:p>
    <w:p>
      <w:pPr>
        <w:keepLines/>
        <w:spacing w:after="100" w:line="264" w:lineRule="auto"/>
        <w:ind w:left="720" w:firstLine="0"/>
      </w:pPr>
      <w:r>
        <w:rPr>
          <w:rFonts w:ascii="Calibri" w:hAnsi="Calibri" w:eastAsia="Calibri"/>
          <w:color w:val="1F2933"/>
        </w:rPr>
        <w:t>If a correctable issue is found, the evaluator sends a specific correction request with a deadline. The influencer uploads a revised submission, while the earlier version and decision remain available in the history.</w:t>
      </w:r>
    </w:p>
    <w:p>
      <w:pPr>
        <w:keepLines/>
        <w:spacing w:after="160"/>
        <w:ind w:left="720"/>
      </w:pPr>
      <w:r>
        <w:rPr>
          <w:rFonts w:ascii="Calibri" w:hAnsi="Calibri" w:eastAsia="Calibri"/>
          <w:b/>
          <w:color w:val="1F4D78"/>
        </w:rPr>
        <w:t xml:space="preserve">Result: </w:t>
      </w:r>
      <w:r>
        <w:rPr>
          <w:rFonts w:ascii="Calibri" w:hAnsi="Calibri" w:eastAsia="Calibri"/>
          <w:color w:val="1F2933"/>
        </w:rPr>
        <w:t>A final submission version and a traceable resolution.</w:t>
      </w:r>
    </w:p>
    <w:p>
      <w:pPr>
        <w:pStyle w:val="Heading2"/>
      </w:pPr>
      <w:r>
        <w:t>Stage E - Acceptance, payment and reporting</w:t>
      </w:r>
    </w:p>
    <w:p>
      <w:pPr>
        <w:keepNext/>
        <w:numPr>
          <w:ilvl w:val="0"/>
          <w:numId w:val="11"/>
        </w:numPr>
      </w:pPr>
      <w:r>
        <w:rPr>
          <w:rFonts w:ascii="Calibri" w:hAnsi="Calibri" w:eastAsia="Calibri"/>
          <w:b/>
          <w:color w:val="0B2545"/>
        </w:rPr>
        <w:t>Final acceptance and payment eligibility</w:t>
      </w:r>
    </w:p>
    <w:p>
      <w:pPr>
        <w:keepLines/>
        <w:spacing w:after="100" w:line="264" w:lineRule="auto"/>
        <w:ind w:left="720" w:firstLine="0"/>
      </w:pPr>
      <w:r>
        <w:rPr>
          <w:rFonts w:ascii="Calibri" w:hAnsi="Calibri" w:eastAsia="Calibri"/>
          <w:color w:val="1F2933"/>
        </w:rPr>
        <w:t>When the task is accepted, the system creates an approved-for-payment record containing the influencer, campaign, task, accepted proof, payable amount, approving officer and approval date.</w:t>
      </w:r>
    </w:p>
    <w:p>
      <w:pPr>
        <w:keepLines/>
        <w:spacing w:after="160"/>
        <w:ind w:left="720"/>
      </w:pPr>
      <w:r>
        <w:rPr>
          <w:rFonts w:ascii="Calibri" w:hAnsi="Calibri" w:eastAsia="Calibri"/>
          <w:b/>
          <w:color w:val="1F4D78"/>
        </w:rPr>
        <w:t xml:space="preserve">Result: </w:t>
      </w:r>
      <w:r>
        <w:rPr>
          <w:rFonts w:ascii="Calibri" w:hAnsi="Calibri" w:eastAsia="Calibri"/>
          <w:color w:val="1F2933"/>
        </w:rPr>
        <w:t>An auditable payment instruction ready for the selected payment process.</w:t>
      </w:r>
    </w:p>
    <w:p>
      <w:pPr>
        <w:keepNext/>
        <w:numPr>
          <w:ilvl w:val="0"/>
          <w:numId w:val="11"/>
        </w:numPr>
      </w:pPr>
      <w:r>
        <w:rPr>
          <w:rFonts w:ascii="Calibri" w:hAnsi="Calibri" w:eastAsia="Calibri"/>
          <w:b/>
          <w:color w:val="0B2545"/>
        </w:rPr>
        <w:t>Payment processing and status</w:t>
      </w:r>
    </w:p>
    <w:p>
      <w:pPr>
        <w:keepLines/>
        <w:spacing w:after="100" w:line="264" w:lineRule="auto"/>
        <w:ind w:left="720" w:firstLine="0"/>
      </w:pPr>
      <w:r>
        <w:rPr>
          <w:rFonts w:ascii="Calibri" w:hAnsi="Calibri" w:eastAsia="Calibri"/>
          <w:color w:val="1F2933"/>
        </w:rPr>
        <w:t>The government may pay through the dashboard or a separate approved tool. The platform records the approved amount, payment status, transaction reference, date and any hold or failure reason. The payment method remains configurable.</w:t>
      </w:r>
    </w:p>
    <w:p>
      <w:pPr>
        <w:keepLines/>
        <w:spacing w:after="160"/>
        <w:ind w:left="720"/>
      </w:pPr>
      <w:r>
        <w:rPr>
          <w:rFonts w:ascii="Calibri" w:hAnsi="Calibri" w:eastAsia="Calibri"/>
          <w:b/>
          <w:color w:val="1F4D78"/>
        </w:rPr>
        <w:t xml:space="preserve">Result: </w:t>
      </w:r>
      <w:r>
        <w:rPr>
          <w:rFonts w:ascii="Calibri" w:hAnsi="Calibri" w:eastAsia="Calibri"/>
          <w:color w:val="1F2933"/>
        </w:rPr>
        <w:t>A payment record shown as approved, processing, paid, failed or on hold.</w:t>
      </w:r>
    </w:p>
    <w:p>
      <w:pPr>
        <w:keepNext/>
        <w:numPr>
          <w:ilvl w:val="0"/>
          <w:numId w:val="11"/>
        </w:numPr>
      </w:pPr>
      <w:r>
        <w:rPr>
          <w:rFonts w:ascii="Calibri" w:hAnsi="Calibri" w:eastAsia="Calibri"/>
          <w:b/>
          <w:color w:val="0B2545"/>
        </w:rPr>
        <w:t>Campaign monitoring and closure</w:t>
      </w:r>
    </w:p>
    <w:p>
      <w:pPr>
        <w:keepLines/>
        <w:spacing w:after="100" w:line="264" w:lineRule="auto"/>
        <w:ind w:left="720" w:firstLine="0"/>
      </w:pPr>
      <w:r>
        <w:rPr>
          <w:rFonts w:ascii="Calibri" w:hAnsi="Calibri" w:eastAsia="Calibri"/>
          <w:color w:val="1F2933"/>
        </w:rPr>
        <w:t>The dashboard summarises applications, selected influencers, assigned and completed tasks, pending evaluations, regional participation, campaign reach, accepted amounts and payment status. At closure, the final records remain available according to the government's retention policy.</w:t>
      </w:r>
    </w:p>
    <w:p>
      <w:pPr>
        <w:keepLines/>
        <w:spacing w:after="160"/>
        <w:ind w:left="720"/>
      </w:pPr>
      <w:r>
        <w:rPr>
          <w:rFonts w:ascii="Calibri" w:hAnsi="Calibri" w:eastAsia="Calibri"/>
          <w:b/>
          <w:color w:val="1F4D78"/>
        </w:rPr>
        <w:t xml:space="preserve">Result: </w:t>
      </w:r>
      <w:r>
        <w:rPr>
          <w:rFonts w:ascii="Calibri" w:hAnsi="Calibri" w:eastAsia="Calibri"/>
          <w:color w:val="1F2933"/>
        </w:rPr>
        <w:t>A campaign summary and reusable influencer performance history.</w:t>
      </w:r>
    </w:p>
    <w:p>
      <w:pPr>
        <w:pStyle w:val="Heading2"/>
      </w:pPr>
      <w:r>
        <w:t>3.1 Main status journeys</w:t>
      </w:r>
    </w:p>
    <w:tbl>
      <w:tblPr>
        <w:tblW w:type="dxa" w:w="9360"/>
        <w:tblLayout w:type="fixed"/>
        <w:tblLook w:firstColumn="1" w:firstRow="1" w:lastColumn="0" w:lastRow="0" w:noHBand="0" w:noVBand="1" w:val="04A0"/>
        <w:tblInd w:w="120" w:type="dxa"/>
        <w:tblBorders>
          <w:top w:val="single" w:sz="6" w:space="0" w:color="C7CED6"/>
          <w:left w:val="single" w:sz="6" w:space="0" w:color="C7CED6"/>
          <w:bottom w:val="single" w:sz="6" w:space="0" w:color="C7CED6"/>
          <w:right w:val="single" w:sz="6" w:space="0" w:color="C7CED6"/>
          <w:insideH w:val="single" w:sz="6" w:space="0" w:color="C7CED6"/>
          <w:insideV w:val="single" w:sz="6" w:space="0" w:color="C7CED6"/>
        </w:tblBorders>
      </w:tblPr>
      <w:tblGrid>
        <w:gridCol w:w="2050"/>
        <w:gridCol w:w="7310"/>
      </w:tblGrid>
      <w:tr>
        <w:trPr>
          <w:tblHeader w:val="true"/>
        </w:trPr>
        <w:tc>
          <w:tcPr>
            <w:tcW w:type="dxa" w:w="2050"/>
            <w:tcMar>
              <w:top w:w="80" w:type="dxa"/>
              <w:start w:w="120" w:type="dxa"/>
              <w:bottom w:w="80" w:type="dxa"/>
              <w:end w:w="120" w:type="dxa"/>
            </w:tcMar>
            <w:vAlign w:val="center"/>
            <w:shd w:fill="F2F4F7" w:val="clear"/>
          </w:tcPr>
          <w:p>
            <w:pPr>
              <w:jc w:val="center"/>
            </w:pPr>
            <w:r>
              <w:rPr>
                <w:rFonts w:ascii="Calibri" w:hAnsi="Calibri" w:eastAsia="Calibri"/>
                <w:b/>
                <w:color w:val="0B2545"/>
              </w:rPr>
              <w:t>Journey</w:t>
            </w:r>
          </w:p>
        </w:tc>
        <w:tc>
          <w:tcPr>
            <w:tcW w:type="dxa" w:w="7310"/>
            <w:tcMar>
              <w:top w:w="80" w:type="dxa"/>
              <w:start w:w="120" w:type="dxa"/>
              <w:bottom w:w="80" w:type="dxa"/>
              <w:end w:w="120" w:type="dxa"/>
            </w:tcMar>
            <w:vAlign w:val="center"/>
            <w:shd w:fill="F2F4F7" w:val="clear"/>
          </w:tcPr>
          <w:p>
            <w:pPr>
              <w:jc w:val="center"/>
            </w:pPr>
            <w:r>
              <w:rPr>
                <w:rFonts w:ascii="Calibri" w:hAnsi="Calibri" w:eastAsia="Calibri"/>
                <w:b/>
                <w:color w:val="0B2545"/>
              </w:rPr>
              <w:t>Representative statuses</w:t>
            </w:r>
          </w:p>
        </w:tc>
      </w:tr>
      <w:tr>
        <w:trPr>
          <w:cantSplit/>
        </w:trPr>
        <w:tc>
          <w:tcPr>
            <w:tcW w:type="dxa" w:w="2050"/>
          </w:tcPr>
          <w:p>
            <w:pPr>
              <w:spacing w:after="0"/>
            </w:pPr>
            <w:r>
              <w:rPr>
                <w:rFonts w:ascii="Calibri" w:hAnsi="Calibri" w:eastAsia="Calibri"/>
                <w:b/>
                <w:color w:val="1F2933"/>
                <w:sz w:val="20"/>
              </w:rPr>
              <w:t>Application</w:t>
            </w:r>
          </w:p>
        </w:tc>
        <w:tc>
          <w:tcPr>
            <w:tcW w:type="dxa" w:w="7310"/>
          </w:tcPr>
          <w:p>
            <w:pPr>
              <w:spacing w:after="0"/>
            </w:pPr>
            <w:r>
              <w:rPr>
                <w:rFonts w:ascii="Calibri" w:hAnsi="Calibri" w:eastAsia="Calibri"/>
                <w:b w:val="0"/>
                <w:color w:val="1F2933"/>
                <w:sz w:val="20"/>
              </w:rPr>
              <w:t>Available &gt; Applied &gt; Verification &gt; Approved / Waitlisted / Rejected</w:t>
            </w:r>
          </w:p>
        </w:tc>
      </w:tr>
      <w:tr>
        <w:trPr>
          <w:cantSplit/>
        </w:trPr>
        <w:tc>
          <w:tcPr>
            <w:tcW w:type="dxa" w:w="2050"/>
          </w:tcPr>
          <w:p>
            <w:pPr>
              <w:spacing w:after="0"/>
            </w:pPr>
            <w:r>
              <w:rPr>
                <w:rFonts w:ascii="Calibri" w:hAnsi="Calibri" w:eastAsia="Calibri"/>
                <w:b/>
                <w:color w:val="1F2933"/>
                <w:sz w:val="20"/>
              </w:rPr>
              <w:t>Task</w:t>
            </w:r>
          </w:p>
        </w:tc>
        <w:tc>
          <w:tcPr>
            <w:tcW w:type="dxa" w:w="7310"/>
          </w:tcPr>
          <w:p>
            <w:pPr>
              <w:spacing w:after="0"/>
            </w:pPr>
            <w:r>
              <w:rPr>
                <w:rFonts w:ascii="Calibri" w:hAnsi="Calibri" w:eastAsia="Calibri"/>
                <w:b w:val="0"/>
                <w:color w:val="1F2933"/>
                <w:sz w:val="20"/>
              </w:rPr>
              <w:t>Assigned &gt; Draft review if required &gt; In progress &gt; Proof submitted &gt; Correction requested / Accepted / Rejected</w:t>
            </w:r>
          </w:p>
        </w:tc>
      </w:tr>
      <w:tr>
        <w:trPr>
          <w:cantSplit/>
        </w:trPr>
        <w:tc>
          <w:tcPr>
            <w:tcW w:type="dxa" w:w="2050"/>
          </w:tcPr>
          <w:p>
            <w:pPr>
              <w:spacing w:after="0"/>
            </w:pPr>
            <w:r>
              <w:rPr>
                <w:rFonts w:ascii="Calibri" w:hAnsi="Calibri" w:eastAsia="Calibri"/>
                <w:b/>
                <w:color w:val="1F2933"/>
                <w:sz w:val="20"/>
              </w:rPr>
              <w:t>Payment</w:t>
            </w:r>
          </w:p>
        </w:tc>
        <w:tc>
          <w:tcPr>
            <w:tcW w:type="dxa" w:w="7310"/>
          </w:tcPr>
          <w:p>
            <w:pPr>
              <w:spacing w:after="0"/>
            </w:pPr>
            <w:r>
              <w:rPr>
                <w:rFonts w:ascii="Calibri" w:hAnsi="Calibri" w:eastAsia="Calibri"/>
                <w:b w:val="0"/>
                <w:color w:val="1F2933"/>
                <w:sz w:val="20"/>
              </w:rPr>
              <w:t>Approved for payment &gt; Processing &gt; Paid / Failed / On hold</w:t>
            </w:r>
          </w:p>
        </w:tc>
      </w:tr>
    </w:tbl>
    <w:p>
      <w:r>
        <w:br w:type="page"/>
      </w:r>
    </w:p>
    <w:p>
      <w:pPr>
        <w:pStyle w:val="Heading1"/>
      </w:pPr>
      <w:r>
        <w:t>4. Example Task Formats</w:t>
      </w:r>
    </w:p>
    <w:p>
      <w:pPr>
        <w:keepLines/>
      </w:pPr>
      <w:r>
        <w:t>A campaign may contain several tasks, and each task defines its own proof-of-work form. The examples below show the level of clarity required in a task brief; the final wording, duration and payment rule remain campaign decisions.</w:t>
      </w:r>
    </w:p>
    <w:p>
      <w:pPr>
        <w:pStyle w:val="Heading2"/>
      </w:pPr>
      <w:r>
        <w:t>4.1 Standard task brief</w:t>
      </w:r>
    </w:p>
    <w:p>
      <w:pPr>
        <w:numPr>
          <w:ilvl w:val="0"/>
          <w:numId w:val="10"/>
        </w:numPr>
      </w:pPr>
      <w:r>
        <w:rPr>
          <w:rFonts w:ascii="Calibri" w:hAnsi="Calibri" w:eastAsia="Calibri"/>
          <w:color w:val="1F2933"/>
        </w:rPr>
        <w:t>Task title and campaign objective</w:t>
      </w:r>
    </w:p>
    <w:p>
      <w:pPr>
        <w:numPr>
          <w:ilvl w:val="0"/>
          <w:numId w:val="10"/>
        </w:numPr>
      </w:pPr>
      <w:r>
        <w:rPr>
          <w:rFonts w:ascii="Calibri" w:hAnsi="Calibri" w:eastAsia="Calibri"/>
          <w:color w:val="1F2933"/>
        </w:rPr>
        <w:t>Required platform, format, language and target audience</w:t>
      </w:r>
    </w:p>
    <w:p>
      <w:pPr>
        <w:numPr>
          <w:ilvl w:val="0"/>
          <w:numId w:val="10"/>
        </w:numPr>
      </w:pPr>
      <w:r>
        <w:rPr>
          <w:rFonts w:ascii="Calibri" w:hAnsi="Calibri" w:eastAsia="Calibri"/>
          <w:color w:val="1F2933"/>
        </w:rPr>
        <w:t>Mandatory messages, approved references and prohibited claims</w:t>
      </w:r>
    </w:p>
    <w:p>
      <w:pPr>
        <w:numPr>
          <w:ilvl w:val="0"/>
          <w:numId w:val="10"/>
        </w:numPr>
      </w:pPr>
      <w:r>
        <w:rPr>
          <w:rFonts w:ascii="Calibri" w:hAnsi="Calibri" w:eastAsia="Calibri"/>
          <w:color w:val="1F2933"/>
        </w:rPr>
        <w:t>Draft-approval requirement, publication window and final deadline</w:t>
      </w:r>
    </w:p>
    <w:p>
      <w:pPr>
        <w:numPr>
          <w:ilvl w:val="0"/>
          <w:numId w:val="10"/>
        </w:numPr>
      </w:pPr>
      <w:r>
        <w:rPr>
          <w:rFonts w:ascii="Calibri" w:hAnsi="Calibri" w:eastAsia="Calibri"/>
          <w:color w:val="1F2933"/>
        </w:rPr>
        <w:t>Exact proof fields and the time at which analytics should be captured</w:t>
      </w:r>
    </w:p>
    <w:p>
      <w:pPr>
        <w:numPr>
          <w:ilvl w:val="0"/>
          <w:numId w:val="10"/>
        </w:numPr>
      </w:pPr>
      <w:r>
        <w:rPr>
          <w:rFonts w:ascii="Calibri" w:hAnsi="Calibri" w:eastAsia="Calibri"/>
          <w:color w:val="1F2933"/>
        </w:rPr>
        <w:t>Evaluation criteria, correction limit and payment basis</w:t>
      </w:r>
    </w:p>
    <w:p>
      <w:pPr>
        <w:numPr>
          <w:ilvl w:val="0"/>
          <w:numId w:val="10"/>
        </w:numPr>
      </w:pPr>
      <w:r>
        <w:rPr>
          <w:rFonts w:ascii="Calibri" w:hAnsi="Calibri" w:eastAsia="Calibri"/>
          <w:color w:val="1F2933"/>
        </w:rPr>
        <w:t>Required government-sponsored-content or paid-partnership disclosure</w:t>
      </w:r>
    </w:p>
    <w:p>
      <w:pPr>
        <w:spacing w:before="90" w:after="90" w:line="264" w:lineRule="auto"/>
        <w:shd w:fill="F4F6F9" w:val="clear"/>
        <w:ind w:left="140" w:right="140"/>
      </w:pPr>
      <w:r>
        <w:rPr>
          <w:rFonts w:ascii="Calibri" w:hAnsi="Calibri" w:eastAsia="Calibri"/>
          <w:b/>
          <w:color w:val="1F4D78"/>
        </w:rPr>
        <w:t xml:space="preserve">Proof configuration: </w:t>
      </w:r>
      <w:r>
        <w:rPr>
          <w:rFonts w:ascii="Calibri" w:hAnsi="Calibri" w:eastAsia="Calibri"/>
          <w:color w:val="1F2933"/>
        </w:rPr>
        <w:t>The campaign manager chooses the proof fields while creating the task. Influencers see those fields before accepting the assignment, and a submission cannot be marked complete until all mandatory proof is provided.</w:t>
      </w:r>
    </w:p>
    <w:p>
      <w:pPr>
        <w:pStyle w:val="Heading2"/>
      </w:pPr>
      <w:r>
        <w:t>4.2 Instagram or short-video reel</w:t>
      </w:r>
    </w:p>
    <w:p>
      <w:pPr>
        <w:keepNext/>
        <w:keepLines/>
        <w:spacing w:after="80"/>
      </w:pPr>
      <w:r>
        <w:rPr>
          <w:rFonts w:ascii="Calibri" w:hAnsi="Calibri" w:eastAsia="Calibri"/>
          <w:b/>
          <w:color w:val="1F4D78"/>
        </w:rPr>
        <w:t xml:space="preserve">Deliverable: </w:t>
      </w:r>
      <w:r>
        <w:rPr>
          <w:rFonts w:ascii="Calibri" w:hAnsi="Calibri" w:eastAsia="Calibri"/>
          <w:color w:val="1F2933"/>
        </w:rPr>
        <w:t>Create and publish one short video using the approved campaign message, required language, campaign tags and disclosure. The task may specify a duration range and whether a draft must be approved first.</w:t>
      </w:r>
    </w:p>
    <w:p>
      <w:pPr>
        <w:keepNext/>
        <w:keepLines/>
        <w:spacing w:after="80"/>
      </w:pPr>
      <w:r>
        <w:rPr>
          <w:rFonts w:ascii="Calibri" w:hAnsi="Calibri" w:eastAsia="Calibri"/>
          <w:b/>
          <w:color w:val="1F4D78"/>
        </w:rPr>
        <w:t xml:space="preserve">Possible proof: </w:t>
      </w:r>
      <w:r>
        <w:rPr>
          <w:rFonts w:ascii="Calibri" w:hAnsi="Calibri" w:eastAsia="Calibri"/>
          <w:color w:val="1F2933"/>
        </w:rPr>
        <w:t>Public post URL, publication screenshot, original or final video file, and analytics screenshot captured after the campaign-defined reporting period.</w:t>
      </w:r>
    </w:p>
    <w:p>
      <w:pPr>
        <w:keepNext/>
        <w:keepLines/>
        <w:spacing w:after="80"/>
      </w:pPr>
      <w:r>
        <w:rPr>
          <w:rFonts w:ascii="Calibri" w:hAnsi="Calibri" w:eastAsia="Calibri"/>
          <w:b/>
          <w:color w:val="1F4D78"/>
        </w:rPr>
        <w:t xml:space="preserve">Evaluation: </w:t>
      </w:r>
      <w:r>
        <w:rPr>
          <w:rFonts w:ascii="Calibri" w:hAnsi="Calibri" w:eastAsia="Calibri"/>
          <w:color w:val="1F2933"/>
        </w:rPr>
        <w:t>Published on time; account ownership confirmed; mandatory message and disclosure present; prohibited claims absent; link accessible; proof legible.</w:t>
      </w:r>
    </w:p>
    <w:p>
      <w:pPr>
        <w:keepNext w:val="0"/>
        <w:keepLines/>
        <w:spacing w:after="80"/>
      </w:pPr>
      <w:r>
        <w:rPr>
          <w:rFonts w:ascii="Calibri" w:hAnsi="Calibri" w:eastAsia="Calibri"/>
          <w:b/>
          <w:color w:val="1F4D78"/>
        </w:rPr>
        <w:t xml:space="preserve">Payment basis: </w:t>
      </w:r>
      <w:r>
        <w:rPr>
          <w:rFonts w:ascii="Calibri" w:hAnsi="Calibri" w:eastAsia="Calibri"/>
          <w:color w:val="1F2933"/>
        </w:rPr>
        <w:t>Normally a fixed amount after acceptance, unless the campaign explicitly adds a performance component.</w:t>
      </w:r>
    </w:p>
    <w:p>
      <w:pPr>
        <w:pStyle w:val="Heading2"/>
      </w:pPr>
      <w:r>
        <w:t>4.3 Regional event attendance and coverage</w:t>
      </w:r>
    </w:p>
    <w:p>
      <w:pPr>
        <w:keepNext/>
        <w:keepLines/>
        <w:spacing w:after="80"/>
      </w:pPr>
      <w:r>
        <w:rPr>
          <w:rFonts w:ascii="Calibri" w:hAnsi="Calibri" w:eastAsia="Calibri"/>
          <w:b/>
          <w:color w:val="1F4D78"/>
        </w:rPr>
        <w:t xml:space="preserve">Deliverable: </w:t>
      </w:r>
      <w:r>
        <w:rPr>
          <w:rFonts w:ascii="Calibri" w:hAnsi="Calibri" w:eastAsia="Calibri"/>
          <w:color w:val="1F2933"/>
        </w:rPr>
        <w:t>Attend a specified government event and publish the required coverage, such as one live update and one recap post. The campaign may restrict eligibility to influencers who live in, serve or have a verified audience in the relevant region.</w:t>
      </w:r>
    </w:p>
    <w:p>
      <w:pPr>
        <w:keepNext/>
        <w:keepLines/>
        <w:spacing w:after="80"/>
      </w:pPr>
      <w:r>
        <w:rPr>
          <w:rFonts w:ascii="Calibri" w:hAnsi="Calibri" w:eastAsia="Calibri"/>
          <w:b/>
          <w:color w:val="1F4D78"/>
        </w:rPr>
        <w:t xml:space="preserve">Possible proof: </w:t>
      </w:r>
      <w:r>
        <w:rPr>
          <w:rFonts w:ascii="Calibri" w:hAnsi="Calibri" w:eastAsia="Calibri"/>
          <w:color w:val="1F2933"/>
        </w:rPr>
        <w:t>Officer or attendance confirmation, event photograph, published-content URL, timestamp, and location evidence only when the campaign has declared it necessary.</w:t>
      </w:r>
    </w:p>
    <w:p>
      <w:pPr>
        <w:keepNext/>
        <w:keepLines/>
        <w:spacing w:after="80"/>
      </w:pPr>
      <w:r>
        <w:rPr>
          <w:rFonts w:ascii="Calibri" w:hAnsi="Calibri" w:eastAsia="Calibri"/>
          <w:b/>
          <w:color w:val="1F4D78"/>
        </w:rPr>
        <w:t xml:space="preserve">Evaluation: </w:t>
      </w:r>
      <w:r>
        <w:rPr>
          <w:rFonts w:ascii="Calibri" w:hAnsi="Calibri" w:eastAsia="Calibri"/>
          <w:color w:val="1F2933"/>
        </w:rPr>
        <w:t>Attendance verified; correct event represented; required coverage published; regional eligibility satisfied; government message accurately conveyed.</w:t>
      </w:r>
    </w:p>
    <w:p>
      <w:pPr>
        <w:keepNext w:val="0"/>
        <w:keepLines/>
        <w:spacing w:after="80"/>
      </w:pPr>
      <w:r>
        <w:rPr>
          <w:rFonts w:ascii="Calibri" w:hAnsi="Calibri" w:eastAsia="Calibri"/>
          <w:b/>
          <w:color w:val="1F4D78"/>
        </w:rPr>
        <w:t xml:space="preserve">Payment basis: </w:t>
      </w:r>
      <w:r>
        <w:rPr>
          <w:rFonts w:ascii="Calibri" w:hAnsi="Calibri" w:eastAsia="Calibri"/>
          <w:color w:val="1F2933"/>
        </w:rPr>
        <w:t>May combine an attendance component and an accepted-content component, both defined before assignment.</w:t>
      </w:r>
    </w:p>
    <w:p>
      <w:pPr>
        <w:pStyle w:val="Heading2"/>
      </w:pPr>
      <w:r>
        <w:t>4.4 YouTube or long-form explainer</w:t>
      </w:r>
    </w:p>
    <w:p>
      <w:pPr>
        <w:keepNext/>
        <w:keepLines/>
        <w:spacing w:after="80"/>
      </w:pPr>
      <w:r>
        <w:rPr>
          <w:rFonts w:ascii="Calibri" w:hAnsi="Calibri" w:eastAsia="Calibri"/>
          <w:b/>
          <w:color w:val="1F4D78"/>
        </w:rPr>
        <w:t xml:space="preserve">Deliverable: </w:t>
      </w:r>
      <w:r>
        <w:rPr>
          <w:rFonts w:ascii="Calibri" w:hAnsi="Calibri" w:eastAsia="Calibri"/>
          <w:color w:val="1F2933"/>
        </w:rPr>
        <w:t>Produce a longer video explaining a scheme, public service or campaign. Because the format carries more factual detail, draft script or video approval may be mandatory before publication.</w:t>
      </w:r>
    </w:p>
    <w:p>
      <w:pPr>
        <w:keepNext/>
        <w:keepLines/>
        <w:spacing w:after="80"/>
      </w:pPr>
      <w:r>
        <w:rPr>
          <w:rFonts w:ascii="Calibri" w:hAnsi="Calibri" w:eastAsia="Calibri"/>
          <w:b/>
          <w:color w:val="1F4D78"/>
        </w:rPr>
        <w:t xml:space="preserve">Possible proof: </w:t>
      </w:r>
      <w:r>
        <w:rPr>
          <w:rFonts w:ascii="Calibri" w:hAnsi="Calibri" w:eastAsia="Calibri"/>
          <w:color w:val="1F2933"/>
        </w:rPr>
        <w:t>Approved draft reference, public video URL, final uploaded file if required, thumbnail screenshot and analytics after the reporting period.</w:t>
      </w:r>
    </w:p>
    <w:p>
      <w:pPr>
        <w:keepNext/>
        <w:keepLines/>
        <w:spacing w:after="80"/>
      </w:pPr>
      <w:r>
        <w:rPr>
          <w:rFonts w:ascii="Calibri" w:hAnsi="Calibri" w:eastAsia="Calibri"/>
          <w:b/>
          <w:color w:val="1F4D78"/>
        </w:rPr>
        <w:t xml:space="preserve">Evaluation: </w:t>
      </w:r>
      <w:r>
        <w:rPr>
          <w:rFonts w:ascii="Calibri" w:hAnsi="Calibri" w:eastAsia="Calibri"/>
          <w:color w:val="1F2933"/>
        </w:rPr>
        <w:t>Factual accuracy; use of approved terminology; required disclosures; clarity; acceptable audio and video quality; publication and proof deadlines met.</w:t>
      </w:r>
    </w:p>
    <w:p>
      <w:pPr>
        <w:keepNext w:val="0"/>
        <w:keepLines/>
        <w:spacing w:after="80"/>
      </w:pPr>
      <w:r>
        <w:rPr>
          <w:rFonts w:ascii="Calibri" w:hAnsi="Calibri" w:eastAsia="Calibri"/>
          <w:b/>
          <w:color w:val="1F4D78"/>
        </w:rPr>
        <w:t xml:space="preserve">Payment basis: </w:t>
      </w:r>
      <w:r>
        <w:rPr>
          <w:rFonts w:ascii="Calibri" w:hAnsi="Calibri" w:eastAsia="Calibri"/>
          <w:color w:val="1F2933"/>
        </w:rPr>
        <w:t>A fixed deliverable amount or defined milestones for approved draft and approved publication.</w:t>
      </w:r>
    </w:p>
    <w:p>
      <w:pPr>
        <w:pStyle w:val="Heading2"/>
      </w:pPr>
      <w:r>
        <w:t>4.5 Beneficiary interview or field story</w:t>
      </w:r>
    </w:p>
    <w:p>
      <w:pPr>
        <w:keepNext/>
        <w:keepLines/>
        <w:spacing w:after="80"/>
      </w:pPr>
      <w:r>
        <w:rPr>
          <w:rFonts w:ascii="Calibri" w:hAnsi="Calibri" w:eastAsia="Calibri"/>
          <w:b/>
          <w:color w:val="1F4D78"/>
        </w:rPr>
        <w:t xml:space="preserve">Deliverable: </w:t>
      </w:r>
      <w:r>
        <w:rPr>
          <w:rFonts w:ascii="Calibri" w:hAnsi="Calibri" w:eastAsia="Calibri"/>
          <w:color w:val="1F2933"/>
        </w:rPr>
        <w:t>Record and publish an interview or field story based on a campaign brief. The task must state the consent process, approved questions, privacy restrictions and whether the subject's identity may be shown.</w:t>
      </w:r>
    </w:p>
    <w:p>
      <w:pPr>
        <w:keepNext/>
        <w:keepLines/>
        <w:spacing w:after="80"/>
      </w:pPr>
      <w:r>
        <w:rPr>
          <w:rFonts w:ascii="Calibri" w:hAnsi="Calibri" w:eastAsia="Calibri"/>
          <w:b/>
          <w:color w:val="1F4D78"/>
        </w:rPr>
        <w:t xml:space="preserve">Possible proof: </w:t>
      </w:r>
      <w:r>
        <w:rPr>
          <w:rFonts w:ascii="Calibri" w:hAnsi="Calibri" w:eastAsia="Calibri"/>
          <w:color w:val="1F2933"/>
        </w:rPr>
        <w:t>Consent confirmation, final content file, public URL when publication is required, supporting photographs and analytics where applicable.</w:t>
      </w:r>
    </w:p>
    <w:p>
      <w:pPr>
        <w:keepNext/>
        <w:keepLines/>
        <w:spacing w:after="80"/>
      </w:pPr>
      <w:r>
        <w:rPr>
          <w:rFonts w:ascii="Calibri" w:hAnsi="Calibri" w:eastAsia="Calibri"/>
          <w:b/>
          <w:color w:val="1F4D78"/>
        </w:rPr>
        <w:t xml:space="preserve">Evaluation: </w:t>
      </w:r>
      <w:r>
        <w:rPr>
          <w:rFonts w:ascii="Calibri" w:hAnsi="Calibri" w:eastAsia="Calibri"/>
          <w:color w:val="1F2933"/>
        </w:rPr>
        <w:t>Consent documented; facts and quotations handled responsibly; privacy conditions followed; required campaign message included; content approved and published as instructed.</w:t>
      </w:r>
    </w:p>
    <w:p>
      <w:pPr>
        <w:keepNext w:val="0"/>
        <w:keepLines/>
        <w:spacing w:after="80"/>
      </w:pPr>
      <w:r>
        <w:rPr>
          <w:rFonts w:ascii="Calibri" w:hAnsi="Calibri" w:eastAsia="Calibri"/>
          <w:b/>
          <w:color w:val="1F4D78"/>
        </w:rPr>
        <w:t xml:space="preserve">Payment basis: </w:t>
      </w:r>
      <w:r>
        <w:rPr>
          <w:rFonts w:ascii="Calibri" w:hAnsi="Calibri" w:eastAsia="Calibri"/>
          <w:color w:val="1F2933"/>
        </w:rPr>
        <w:t>Payment after consent, content and publication requirements have all been accepted.</w:t>
      </w:r>
    </w:p>
    <w:p>
      <w:pPr>
        <w:spacing w:before="90" w:after="90" w:line="264" w:lineRule="auto"/>
        <w:shd w:fill="F4F6F9" w:val="clear"/>
        <w:ind w:left="140" w:right="140"/>
      </w:pPr>
      <w:r>
        <w:rPr>
          <w:rFonts w:ascii="Calibri" w:hAnsi="Calibri" w:eastAsia="Calibri"/>
          <w:b/>
          <w:color w:val="1F4D78"/>
        </w:rPr>
        <w:t xml:space="preserve">Current scope boundary: </w:t>
      </w:r>
      <w:r>
        <w:rPr>
          <w:rFonts w:ascii="Calibri" w:hAnsi="Calibri" w:eastAsia="Calibri"/>
          <w:color w:val="1F2933"/>
        </w:rPr>
        <w:t>This version of the concept note ends with representative task formats. Detailed evaluation scorecards, dashboard report layouts, payment integration options, governance policies and implementation phases can be added after the operating model is approved.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9636E"/>
        <w:sz w:val="18"/>
      </w:rPr>
      <w:t xml:space="preserve">Concept Note  |  </w:t>
    </w:r>
    <w:r>
      <w:rPr>
        <w:rFonts w:ascii="Calibri" w:hAnsi="Calibri" w:eastAsia="Calibri"/>
        <w:color w:val="59636E"/>
        <w:sz w:val="18"/>
      </w:rPr>
      <w:fldChar w:fldCharType="begin"/>
      <w:instrText xml:space="preserve"> PAGE </w:instrText>
      <w:fldChar w:fldCharType="separate"/>
      <w:t>1</w:t>
      <w:fldChar w:fldCharType="end"/>
    </w:r>
    <w:r>
      <w:rPr>
        <w:rFonts w:ascii="Calibri" w:hAnsi="Calibri" w:eastAsia="Calibri"/>
        <w:color w:val="59636E"/>
        <w:sz w:val="18"/>
      </w:rPr>
      <w:t xml:space="preserve"> of </w:t>
    </w:r>
    <w:r>
      <w:rPr>
        <w:rFonts w:ascii="Calibri" w:hAnsi="Calibri" w:eastAsia="Calibri"/>
        <w:color w:val="59636E"/>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9636E"/>
        <w:sz w:val="17"/>
      </w:rPr>
      <w:t>Government Influencer Campaign Management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before="0" w:after="160" w:line="280" w:lineRule="auto"/>
      </w:pPr>
      <w:rPr>
        <w:rFonts w:ascii="Calibri" w:hAnsi="Calibri" w:eastAsia="Calibri"/>
      </w:rPr>
    </w:lvl>
  </w:abstractNum>
  <w:abstractNum w:abstractNumId="10">
    <w:multiLevelType w:val="singleLevel"/>
    <w:lvl w:ilvl="0">
      <w:start w:val="1"/>
      <w:numFmt w:val="decimal"/>
      <w:lvlText w:val="%1."/>
      <w:lvlJc w:val="left"/>
      <w:pPr>
        <w:tabs>
          <w:tab w:val="num" w:pos="720"/>
        </w:tabs>
        <w:ind w:left="720" w:hanging="360"/>
        <w:spacing w:before="0" w:after="160" w:line="280" w:lineRule="auto"/>
      </w:pPr>
      <w:rPr>
        <w:rFonts w:ascii="Calibri" w:hAnsi="Calibri" w:eastAsia="Calibri"/>
      </w:r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Influencer Campaign Management Platform</dc:title>
  <dc:subject>Product concept, operational flow, hosting resources and example task formats</dc:subject>
  <dc:creator>Project Team</dc:creator>
  <cp:keywords>government, influencer, campaign, proof of work, evaluation, payment tracking</cp:keywords>
  <dc:description>Working concept note</dc:description>
  <cp:lastModifiedBy/>
  <cp:revision>1</cp:revision>
  <dcterms:created xsi:type="dcterms:W3CDTF">2026-08-06T00:00:00Z</dcterms:created>
  <dcterms:modified xsi:type="dcterms:W3CDTF">2013-12-23T23:15:00Z</dcterms:modified>
  <cp:category/>
</cp:coreProperties>
</file>