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Segoe UI" w:hAnsi="Segoe UI"/>
          <w:b/>
          <w:caps/>
          <w:color w:val="14532D"/>
          <w:sz w:val="16"/>
        </w:rPr>
        <w:t>PROPOSAL FOR THE DIRECTORATE GENERAL OF INFORMATION AND PUBLIC RELATIONS</w:t>
      </w:r>
    </w:p>
    <w:p>
      <w:pPr>
        <w:spacing w:after="60" w:before="0"/>
      </w:pPr>
      <w:r>
        <w:rPr>
          <w:rFonts w:ascii="Segoe UI" w:hAnsi="Segoe UI"/>
          <w:b/>
          <w:color w:val="1A1A1A"/>
          <w:sz w:val="56"/>
        </w:rPr>
        <w:t>The AI NewsRoom</w:t>
      </w:r>
    </w:p>
    <w:p>
      <w:pPr>
        <w:spacing w:after="260"/>
      </w:pPr>
      <w:r>
        <w:rPr>
          <w:rFonts w:ascii="Segoe UI" w:hAnsi="Segoe UI"/>
          <w:b w:val="0"/>
          <w:color w:val="5C5C5C"/>
          <w:sz w:val="24"/>
        </w:rPr>
        <w:t>A sovereign, Marathi-first content platform with the widest multilingual reach offered to the Government of Maharashtra</w:t>
      </w:r>
    </w:p>
    <w:p>
      <w:pPr>
        <w:spacing w:after="220"/>
        <w:pBdr>
          <w:bottom w:val="single" w:sz="12" w:space="1" w:color="14532D"/>
        </w:pBdr>
      </w:pP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448"/>
        <w:gridCol w:w="7012"/>
      </w:tblGrid>
      <w:tr>
        <w:trPr>
          <w:cantSplit w:val="true"/>
        </w:trPr>
        <w:tc>
          <w:tcPr>
            <w:tcW w:w="2448" w:type="dxa"/>
          </w:tcPr>
          <w:p>
            <w:pPr>
              <w:spacing w:before="30" w:after="30" w:line="254" w:lineRule="auto"/>
            </w:pPr>
            <w:r>
              <w:rPr>
                <w:rFonts w:ascii="Segoe UI" w:hAnsi="Segoe UI"/>
                <w:color w:val="1A1A1A"/>
                <w:sz w:val="20"/>
              </w:rPr>
              <w:t>Prepared for</w:t>
            </w:r>
          </w:p>
        </w:tc>
        <w:tc>
          <w:tcPr>
            <w:tcW w:w="7012" w:type="dxa"/>
          </w:tcPr>
          <w:p>
            <w:pPr>
              <w:spacing w:before="30" w:after="30" w:line="254" w:lineRule="auto"/>
            </w:pPr>
            <w:r>
              <w:rPr>
                <w:rFonts w:ascii="Segoe UI" w:hAnsi="Segoe UI"/>
                <w:color w:val="1A1A1A"/>
                <w:sz w:val="20"/>
              </w:rPr>
              <w:t>Directorate General of Information and Public Relations, Government of Maharashtra</w:t>
            </w:r>
          </w:p>
        </w:tc>
      </w:tr>
      <w:tr>
        <w:trPr>
          <w:cantSplit w:val="true"/>
        </w:trPr>
        <w:tc>
          <w:tcPr>
            <w:tcW w:w="2448" w:type="dxa"/>
          </w:tcPr>
          <w:p>
            <w:pPr>
              <w:spacing w:before="30" w:after="30" w:line="254" w:lineRule="auto"/>
            </w:pPr>
            <w:r>
              <w:rPr>
                <w:rFonts w:ascii="Segoe UI" w:hAnsi="Segoe UI"/>
                <w:color w:val="1A1A1A"/>
                <w:sz w:val="20"/>
              </w:rPr>
              <w:t>Prepared by</w:t>
            </w:r>
          </w:p>
        </w:tc>
        <w:tc>
          <w:tcPr>
            <w:tcW w:w="7012" w:type="dxa"/>
          </w:tcPr>
          <w:p>
            <w:pPr>
              <w:spacing w:before="30" w:after="30" w:line="254" w:lineRule="auto"/>
            </w:pPr>
            <w:r>
              <w:rPr>
                <w:rFonts w:ascii="Segoe UI" w:hAnsi="Segoe UI"/>
                <w:color w:val="1A1A1A"/>
                <w:sz w:val="20"/>
              </w:rPr>
              <w:t>Company Name</w:t>
            </w:r>
          </w:p>
        </w:tc>
      </w:tr>
      <w:tr>
        <w:trPr>
          <w:cantSplit w:val="true"/>
        </w:trPr>
        <w:tc>
          <w:tcPr>
            <w:tcW w:w="2448" w:type="dxa"/>
          </w:tcPr>
          <w:p>
            <w:pPr>
              <w:spacing w:before="30" w:after="30" w:line="254" w:lineRule="auto"/>
            </w:pPr>
            <w:r>
              <w:rPr>
                <w:rFonts w:ascii="Segoe UI" w:hAnsi="Segoe UI"/>
                <w:color w:val="1A1A1A"/>
                <w:sz w:val="20"/>
              </w:rPr>
              <w:t>Proposal for</w:t>
            </w:r>
          </w:p>
        </w:tc>
        <w:tc>
          <w:tcPr>
            <w:tcW w:w="7012" w:type="dxa"/>
          </w:tcPr>
          <w:p>
            <w:pPr>
              <w:spacing w:before="30" w:after="30" w:line="254" w:lineRule="auto"/>
            </w:pPr>
            <w:r>
              <w:rPr>
                <w:rFonts w:ascii="Segoe UI" w:hAnsi="Segoe UI"/>
                <w:color w:val="1A1A1A"/>
                <w:sz w:val="20"/>
              </w:rPr>
              <w:t>Design, build, deployment and one-year operation of an AI NewsRoom</w:t>
            </w:r>
          </w:p>
        </w:tc>
      </w:tr>
      <w:tr>
        <w:trPr>
          <w:cantSplit w:val="true"/>
        </w:trPr>
        <w:tc>
          <w:tcPr>
            <w:tcW w:w="2448" w:type="dxa"/>
          </w:tcPr>
          <w:p>
            <w:pPr>
              <w:spacing w:before="30" w:after="30" w:line="254" w:lineRule="auto"/>
            </w:pPr>
            <w:r>
              <w:rPr>
                <w:rFonts w:ascii="Segoe UI" w:hAnsi="Segoe UI"/>
                <w:color w:val="1A1A1A"/>
                <w:sz w:val="20"/>
              </w:rPr>
              <w:t>Investment</w:t>
            </w:r>
          </w:p>
        </w:tc>
        <w:tc>
          <w:tcPr>
            <w:tcW w:w="7012" w:type="dxa"/>
          </w:tcPr>
          <w:p>
            <w:pPr>
              <w:spacing w:before="30" w:after="30" w:line="254" w:lineRule="auto"/>
            </w:pPr>
            <w:r>
              <w:rPr>
                <w:rFonts w:ascii="Segoe UI" w:hAnsi="Segoe UI"/>
                <w:color w:val="1A1A1A"/>
                <w:sz w:val="20"/>
              </w:rPr>
              <w:t>₹7.00 crore (Rupees Seven Crore only)</w:t>
            </w:r>
          </w:p>
        </w:tc>
      </w:tr>
      <w:tr>
        <w:trPr>
          <w:cantSplit w:val="true"/>
        </w:trPr>
        <w:tc>
          <w:tcPr>
            <w:tcW w:w="2448" w:type="dxa"/>
          </w:tcPr>
          <w:p>
            <w:pPr>
              <w:spacing w:before="30" w:after="30" w:line="254" w:lineRule="auto"/>
            </w:pPr>
            <w:r>
              <w:rPr>
                <w:rFonts w:ascii="Segoe UI" w:hAnsi="Segoe UI"/>
                <w:color w:val="1A1A1A"/>
                <w:sz w:val="20"/>
              </w:rPr>
              <w:t>Term</w:t>
            </w:r>
          </w:p>
        </w:tc>
        <w:tc>
          <w:tcPr>
            <w:tcW w:w="7012" w:type="dxa"/>
          </w:tcPr>
          <w:p>
            <w:pPr>
              <w:spacing w:before="30" w:after="30" w:line="254" w:lineRule="auto"/>
            </w:pPr>
            <w:r>
              <w:rPr>
                <w:rFonts w:ascii="Segoe UI" w:hAnsi="Segoe UI"/>
                <w:color w:val="1A1A1A"/>
                <w:sz w:val="20"/>
              </w:rPr>
              <w:t>12 months from the date of work order</w:t>
            </w:r>
          </w:p>
        </w:tc>
      </w:tr>
      <w:tr>
        <w:trPr>
          <w:cantSplit w:val="true"/>
        </w:trPr>
        <w:tc>
          <w:tcPr>
            <w:tcW w:w="2448" w:type="dxa"/>
          </w:tcPr>
          <w:p>
            <w:pPr>
              <w:spacing w:before="30" w:after="30" w:line="254" w:lineRule="auto"/>
            </w:pPr>
            <w:r>
              <w:rPr>
                <w:rFonts w:ascii="Segoe UI" w:hAnsi="Segoe UI"/>
                <w:color w:val="1A1A1A"/>
                <w:sz w:val="20"/>
              </w:rPr>
              <w:t>Structure</w:t>
            </w:r>
          </w:p>
        </w:tc>
        <w:tc>
          <w:tcPr>
            <w:tcW w:w="7012" w:type="dxa"/>
          </w:tcPr>
          <w:p>
            <w:pPr>
              <w:spacing w:before="30" w:after="30" w:line="254" w:lineRule="auto"/>
            </w:pPr>
            <w:r>
              <w:rPr>
                <w:rFonts w:ascii="Segoe UI" w:hAnsi="Segoe UI"/>
                <w:color w:val="1A1A1A"/>
                <w:sz w:val="20"/>
              </w:rPr>
              <w:t>Five solution pillars delivered across four waves, with run-and-operate services</w:t>
            </w:r>
          </w:p>
        </w:tc>
      </w:tr>
      <w:tr>
        <w:trPr>
          <w:cantSplit w:val="true"/>
        </w:trPr>
        <w:tc>
          <w:tcPr>
            <w:tcW w:w="2448" w:type="dxa"/>
          </w:tcPr>
          <w:p>
            <w:pPr>
              <w:spacing w:before="30" w:after="30" w:line="254" w:lineRule="auto"/>
            </w:pPr>
            <w:r>
              <w:rPr>
                <w:rFonts w:ascii="Segoe UI" w:hAnsi="Segoe UI"/>
                <w:color w:val="1A1A1A"/>
                <w:sz w:val="20"/>
              </w:rPr>
              <w:t>Languages</w:t>
            </w:r>
          </w:p>
        </w:tc>
        <w:tc>
          <w:tcPr>
            <w:tcW w:w="7012" w:type="dxa"/>
          </w:tcPr>
          <w:p>
            <w:pPr>
              <w:spacing w:before="30" w:after="30" w:line="254" w:lineRule="auto"/>
            </w:pPr>
            <w:r>
              <w:rPr>
                <w:rFonts w:ascii="Segoe UI" w:hAnsi="Segoe UI"/>
                <w:color w:val="1A1A1A"/>
                <w:sz w:val="20"/>
              </w:rPr>
              <w:t>Marathi, Hindi, English and six further Indian languages</w:t>
            </w:r>
          </w:p>
        </w:tc>
      </w:tr>
      <w:tr>
        <w:trPr>
          <w:cantSplit w:val="true"/>
        </w:trPr>
        <w:tc>
          <w:tcPr>
            <w:tcW w:w="2448" w:type="dxa"/>
          </w:tcPr>
          <w:p>
            <w:pPr>
              <w:spacing w:before="30" w:after="30" w:line="254" w:lineRule="auto"/>
            </w:pPr>
            <w:r>
              <w:rPr>
                <w:rFonts w:ascii="Segoe UI" w:hAnsi="Segoe UI"/>
                <w:color w:val="1A1A1A"/>
                <w:sz w:val="20"/>
              </w:rPr>
              <w:t>Validity</w:t>
            </w:r>
          </w:p>
        </w:tc>
        <w:tc>
          <w:tcPr>
            <w:tcW w:w="7012" w:type="dxa"/>
          </w:tcPr>
          <w:p>
            <w:pPr>
              <w:spacing w:before="30" w:after="30" w:line="254" w:lineRule="auto"/>
            </w:pPr>
            <w:r>
              <w:rPr>
                <w:rFonts w:ascii="Segoe UI" w:hAnsi="Segoe UI"/>
                <w:color w:val="1A1A1A"/>
                <w:sz w:val="20"/>
              </w:rPr>
              <w:t>90 days from the date of submission</w:t>
            </w:r>
          </w:p>
        </w:tc>
      </w:tr>
    </w:tbl>
    <w:p>
      <w:pPr>
        <w:spacing w:after="80"/>
      </w:pPr>
    </w:p>
    <w:p>
      <w:pPr>
        <w:spacing w:before="180"/>
      </w:pPr>
      <w:r>
        <w:rPr>
          <w:rFonts w:ascii="Segoe UI" w:hAnsi="Segoe UI"/>
          <w:b w:val="0"/>
          <w:color w:val="5C5C5C"/>
          <w:sz w:val="20"/>
        </w:rPr>
        <w:t>This proposal is organised around five solution pillars. Each states what the department gets, what it costs and when it arrives. Part 8 sets out what this proposal deliberately does not cover, and the annexure gives a capability-by-capability position so the offer can be compared line by line.</w:t>
      </w:r>
    </w:p>
    <w:p>
      <w:pPr>
        <w:spacing w:after="0"/>
      </w:pPr>
      <w:r>
        <w:br w:type="page"/>
      </w:r>
    </w:p>
    <w:p>
      <w:pPr>
        <w:pStyle w:val="Heading1"/>
        <w:pBdr>
          <w:bottom w:val="single" w:sz="8" w:space="4" w:color="14532D"/>
        </w:pBdr>
      </w:pPr>
      <w:r>
        <w:t>Part 1  ·  Executive brief</w:t>
      </w:r>
    </w:p>
    <w:p>
      <w:r>
        <w:rPr>
          <w:rFonts w:ascii="Segoe UI" w:hAnsi="Segoe UI"/>
          <w:b w:val="0"/>
          <w:color w:val="1A1A1A"/>
          <w:sz w:val="21"/>
        </w:rPr>
        <w:t>The Directorate General of Information and Public Relations produces the Government of Maharashtra's public communication. Its raw material — meeting recordings, Government Resolutions, press notes, scheme documents, field photographs and the Mahasamvad archive — is abundant. Its constraint is the manual effort of converting that material, repeatedly and under time pressure, into each of the formats and languages the department publishes in.</w:t>
      </w:r>
    </w:p>
    <w:p>
      <w:r>
        <w:rPr>
          <w:rFonts w:ascii="Segoe UI" w:hAnsi="Segoe UI"/>
          <w:b w:val="0"/>
          <w:color w:val="1A1A1A"/>
          <w:sz w:val="21"/>
        </w:rPr>
        <w:t>Company Name proposes an AI NewsRoom hosted entirely on infrastructure the department controls. Source material is submitted once, confirmed by an officer, and then reused for every downstream format — article, translation, poster, motion creative, explainer film and social post — without being re-entered, re-transcribed or re-briefed.</w:t>
      </w:r>
    </w:p>
    <w:p>
      <w:pPr>
        <w:spacing w:after="80"/>
      </w:pPr>
      <w:r>
        <w:rPr>
          <w:rFonts w:ascii="Segoe UI" w:hAnsi="Segoe UI"/>
          <w:b w:val="0"/>
          <w:color w:val="1A1A1A"/>
          <w:sz w:val="21"/>
        </w:rPr>
        <w:t>Two things set this offer apart. The first is language reach: the department's Marathi output travels into Hindi, English and six further Indian languages, so a Maharashtra scheme can be communicated to a national audience from the same approved source. The second is that approved output can be published directly to the department's authorised social accounts from within the platform, with an explicit confirmation step, closing the last manual gap between approval and publication.</w:t>
      </w:r>
    </w:p>
    <w:p>
      <w:pPr>
        <w:spacing w:before="0" w:after="40" w:line="269" w:lineRule="auto"/>
        <w:ind w:left="144"/>
      </w:pPr>
      <w:r>
        <w:rPr>
          <w:rFonts w:ascii="Segoe UI" w:hAnsi="Segoe UI"/>
          <w:b/>
          <w:color w:val="14532D"/>
          <w:sz w:val="19"/>
        </w:rPr>
        <w:t xml:space="preserve">Investment  </w:t>
      </w:r>
      <w:r>
        <w:rPr>
          <w:rFonts w:ascii="Segoe UI" w:hAnsi="Segoe UI"/>
          <w:color w:val="5C5C5C"/>
          <w:sz w:val="19"/>
        </w:rPr>
        <w:t>₹7.00 crore for twelve months, covering design, build, deployment, metered AI services, three on-site specialists, support and training. Hardware is provided by the department and is not included.</w:t>
      </w:r>
    </w:p>
    <w:p>
      <w:pPr>
        <w:pStyle w:val="Heading1"/>
        <w:pBdr>
          <w:bottom w:val="single" w:sz="8" w:space="4" w:color="14532D"/>
        </w:pBdr>
      </w:pPr>
      <w:r>
        <w:t>Part 2  ·  What the department is solving for</w:t>
      </w:r>
    </w:p>
    <w:p>
      <w:pPr>
        <w:pStyle w:val="ListBullet"/>
        <w:ind w:left="374" w:hanging="230"/>
      </w:pPr>
      <w:r>
        <w:rPr>
          <w:rFonts w:ascii="Segoe UI" w:hAnsi="Segoe UI"/>
          <w:color w:val="1A1A1A"/>
          <w:sz w:val="21"/>
        </w:rPr>
        <w:t>The same source is converted by hand into an article, then a social post, then a poster, then a video — four times the effort for one announcement.</w:t>
      </w:r>
    </w:p>
    <w:p>
      <w:pPr>
        <w:pStyle w:val="ListBullet"/>
        <w:ind w:left="374" w:hanging="230"/>
      </w:pPr>
      <w:r>
        <w:rPr>
          <w:rFonts w:ascii="Segoe UI" w:hAnsi="Segoe UI"/>
          <w:color w:val="1A1A1A"/>
          <w:sz w:val="21"/>
        </w:rPr>
        <w:t>Names, designations, scheme titles and figures drift as material passes between people and applications.</w:t>
      </w:r>
    </w:p>
    <w:p>
      <w:pPr>
        <w:pStyle w:val="ListBullet"/>
        <w:ind w:left="374" w:hanging="230"/>
      </w:pPr>
      <w:r>
        <w:rPr>
          <w:rFonts w:ascii="Segoe UI" w:hAnsi="Segoe UI"/>
          <w:color w:val="1A1A1A"/>
          <w:sz w:val="21"/>
        </w:rPr>
        <w:t>Marathi that is grammatically correct is not always Marathi in Mahasamvad's established public voice.</w:t>
      </w:r>
    </w:p>
    <w:p>
      <w:pPr>
        <w:pStyle w:val="ListBullet"/>
        <w:ind w:left="374" w:hanging="230"/>
      </w:pPr>
      <w:r>
        <w:rPr>
          <w:rFonts w:ascii="Segoe UI" w:hAnsi="Segoe UI"/>
          <w:color w:val="1A1A1A"/>
          <w:sz w:val="21"/>
        </w:rPr>
        <w:t>Unpublished official material risks exposure when officers reach for public AI tools under deadline.</w:t>
      </w:r>
    </w:p>
    <w:p>
      <w:pPr>
        <w:pStyle w:val="ListBullet"/>
        <w:ind w:left="374" w:hanging="230"/>
      </w:pPr>
      <w:r>
        <w:rPr>
          <w:rFonts w:ascii="Segoe UI" w:hAnsi="Segoe UI"/>
          <w:color w:val="1A1A1A"/>
          <w:sz w:val="21"/>
        </w:rPr>
        <w:t>Two decades of published departmental work cannot be searched, compared or reused in practice.</w:t>
      </w:r>
    </w:p>
    <w:p>
      <w:pPr>
        <w:pStyle w:val="Heading1"/>
        <w:pBdr>
          <w:bottom w:val="single" w:sz="8" w:space="4" w:color="14532D"/>
        </w:pBdr>
      </w:pPr>
      <w:r>
        <w:t>Part 3  ·  Solution architecture</w:t>
      </w:r>
    </w:p>
    <w:p>
      <w:r>
        <w:rPr>
          <w:rFonts w:ascii="Segoe UI" w:hAnsi="Segoe UI"/>
          <w:b w:val="0"/>
          <w:color w:val="1A1A1A"/>
          <w:sz w:val="21"/>
        </w:rPr>
        <w:t>The platform is a browser-based Marathi workspace running against a private AI environment on departmental infrastructure. It works on desktop, tablet and phone without a separate application to install and without departmental material leaving the government's control.</w:t>
      </w:r>
    </w:p>
    <w:p>
      <w:pPr>
        <w:spacing w:after="80"/>
      </w:pPr>
      <w:r>
        <w:rPr>
          <w:rFonts w:ascii="Segoe UI" w:hAnsi="Segoe UI"/>
          <w:b w:val="0"/>
          <w:color w:val="1A1A1A"/>
          <w:sz w:val="21"/>
        </w:rPr>
        <w:t>Language, speech, vision and document models are served from that environment. Approved departmental material is indexed into a private knowledge base, and a retrieval layer supplies the relevant approved sources to the model for each task, with citations. Official documents remain the factual authority; the model contributes language and structure only, and departmental information is never used to train a publicly available model.</w:t>
      </w:r>
    </w:p>
    <w:p>
      <w:pPr>
        <w:spacing w:before="0" w:after="40" w:line="269" w:lineRule="auto"/>
        <w:ind w:left="144"/>
      </w:pPr>
      <w:r>
        <w:rPr>
          <w:rFonts w:ascii="Segoe UI" w:hAnsi="Segoe UI"/>
          <w:b/>
          <w:color w:val="14532D"/>
          <w:sz w:val="19"/>
        </w:rPr>
        <w:t xml:space="preserve">Infrastructure  </w:t>
      </w:r>
      <w:r>
        <w:rPr>
          <w:rFonts w:ascii="Segoe UI" w:hAnsi="Segoe UI"/>
          <w:color w:val="5C5C5C"/>
          <w:sz w:val="19"/>
        </w:rPr>
        <w:t>GPU compute, storage, networking, power protection and cooling are provided by the department through the Electronics, Information Technology and Artificial Intelligence Department. Company Name sizes, deploys, integrates, benchmarks and operates the software stack on it.</w:t>
      </w:r>
    </w:p>
    <w:p>
      <w:pPr>
        <w:pStyle w:val="Heading1"/>
        <w:pBdr>
          <w:bottom w:val="single" w:sz="8" w:space="4" w:color="14532D"/>
        </w:pBdr>
      </w:pPr>
      <w:r>
        <w:t>Part 4  ·  The five solution pillars</w:t>
      </w:r>
    </w:p>
    <w:p>
      <w:r>
        <w:rPr>
          <w:rFonts w:ascii="Segoe UI" w:hAnsi="Segoe UI"/>
          <w:b w:val="0"/>
          <w:color w:val="1A1A1A"/>
          <w:sz w:val="21"/>
        </w:rPr>
        <w:t>Shared foundations — identity, storage, processing, retrieval and audit — are built once in Pillars 1 and 2 and are not charged again in any later pillar.</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476"/>
        <w:gridCol w:w="4593"/>
        <w:gridCol w:w="921"/>
        <w:gridCol w:w="1468"/>
      </w:tblGrid>
      <w:tr>
        <w:trPr>
          <w:cantSplit w:val="true"/>
          <w:tblHeader w:val="true"/>
        </w:trPr>
        <w:tc>
          <w:tcPr>
            <w:shd w:val="clear" w:fill="14532D"/>
            <w:tcW w:w="2476" w:type="dxa"/>
          </w:tcPr>
          <w:p>
            <w:pPr>
              <w:spacing w:before="30" w:after="30" w:line="254" w:lineRule="auto"/>
            </w:pPr>
            <w:r>
              <w:rPr>
                <w:rFonts w:ascii="Segoe UI" w:hAnsi="Segoe UI"/>
                <w:b/>
                <w:color w:val="FFFFFF"/>
                <w:sz w:val="17"/>
              </w:rPr>
              <w:t>Pillar</w:t>
            </w:r>
          </w:p>
        </w:tc>
        <w:tc>
          <w:tcPr>
            <w:shd w:val="clear" w:fill="14532D"/>
            <w:tcW w:w="4593" w:type="dxa"/>
          </w:tcPr>
          <w:p>
            <w:pPr>
              <w:spacing w:before="30" w:after="30" w:line="254" w:lineRule="auto"/>
            </w:pPr>
            <w:r>
              <w:rPr>
                <w:rFonts w:ascii="Segoe UI" w:hAnsi="Segoe UI"/>
                <w:b/>
                <w:color w:val="FFFFFF"/>
                <w:sz w:val="17"/>
              </w:rPr>
              <w:t>What it delivers</w:t>
            </w:r>
          </w:p>
        </w:tc>
        <w:tc>
          <w:tcPr>
            <w:shd w:val="clear" w:fill="14532D"/>
            <w:tcW w:w="921" w:type="dxa"/>
          </w:tcPr>
          <w:p>
            <w:pPr>
              <w:spacing w:before="30" w:after="30" w:line="254" w:lineRule="auto"/>
            </w:pPr>
            <w:r>
              <w:rPr>
                <w:rFonts w:ascii="Segoe UI" w:hAnsi="Segoe UI"/>
                <w:b/>
                <w:color w:val="FFFFFF"/>
                <w:sz w:val="17"/>
              </w:rPr>
              <w:t>Build</w:t>
            </w:r>
          </w:p>
        </w:tc>
        <w:tc>
          <w:tcPr>
            <w:shd w:val="clear" w:fill="14532D"/>
            <w:tcW w:w="1468" w:type="dxa"/>
          </w:tcPr>
          <w:p>
            <w:pPr>
              <w:spacing w:before="30" w:after="30" w:line="254" w:lineRule="auto"/>
              <w:jc w:val="right"/>
            </w:pPr>
            <w:r>
              <w:rPr>
                <w:rFonts w:ascii="Segoe UI" w:hAnsi="Segoe UI"/>
                <w:b/>
                <w:color w:val="FFFFFF"/>
                <w:sz w:val="17"/>
              </w:rPr>
              <w:t>Investment</w:t>
            </w:r>
          </w:p>
        </w:tc>
      </w:tr>
      <w:tr>
        <w:trPr>
          <w:cantSplit w:val="true"/>
        </w:trPr>
        <w:tc>
          <w:tcPr>
            <w:tcW w:w="2476" w:type="dxa"/>
          </w:tcPr>
          <w:p>
            <w:pPr>
              <w:spacing w:before="30" w:after="30" w:line="254" w:lineRule="auto"/>
            </w:pPr>
            <w:r>
              <w:rPr>
                <w:rFonts w:ascii="Segoe UI" w:hAnsi="Segoe UI"/>
                <w:color w:val="1A1A1A"/>
                <w:sz w:val="17"/>
              </w:rPr>
              <w:t>1.  Sovereign AI Core and Access Governance</w:t>
            </w:r>
          </w:p>
        </w:tc>
        <w:tc>
          <w:tcPr>
            <w:tcW w:w="4593" w:type="dxa"/>
          </w:tcPr>
          <w:p>
            <w:pPr>
              <w:spacing w:before="30" w:after="30" w:line="254" w:lineRule="auto"/>
            </w:pPr>
            <w:r>
              <w:rPr>
                <w:rFonts w:ascii="Segoe UI" w:hAnsi="Segoe UI"/>
                <w:color w:val="1A1A1A"/>
                <w:sz w:val="17"/>
              </w:rPr>
              <w:t>Private model hosting, permissions, encryption, audit and lineage, background processing, responsive Marathi workspace, backup and recovery</w:t>
            </w:r>
          </w:p>
        </w:tc>
        <w:tc>
          <w:tcPr>
            <w:tcW w:w="921" w:type="dxa"/>
          </w:tcPr>
          <w:p>
            <w:pPr>
              <w:spacing w:before="30" w:after="30" w:line="254" w:lineRule="auto"/>
            </w:pPr>
            <w:r>
              <w:rPr>
                <w:rFonts w:ascii="Segoe UI" w:hAnsi="Segoe UI"/>
                <w:color w:val="1A1A1A"/>
                <w:sz w:val="17"/>
              </w:rPr>
              <w:t>10 weeks</w:t>
            </w:r>
          </w:p>
        </w:tc>
        <w:tc>
          <w:tcPr>
            <w:tcW w:w="1468" w:type="dxa"/>
          </w:tcPr>
          <w:p>
            <w:pPr>
              <w:spacing w:before="30" w:after="30" w:line="254" w:lineRule="auto"/>
              <w:jc w:val="right"/>
            </w:pPr>
            <w:r>
              <w:rPr>
                <w:rFonts w:ascii="Segoe UI" w:hAnsi="Segoe UI"/>
                <w:color w:val="1A1A1A"/>
                <w:sz w:val="17"/>
              </w:rPr>
              <w:t>₹90 lakh</w:t>
            </w:r>
          </w:p>
        </w:tc>
      </w:tr>
      <w:tr>
        <w:trPr>
          <w:cantSplit w:val="true"/>
        </w:trPr>
        <w:tc>
          <w:tcPr>
            <w:tcW w:w="2476" w:type="dxa"/>
          </w:tcPr>
          <w:p>
            <w:pPr>
              <w:spacing w:before="30" w:after="30" w:line="254" w:lineRule="auto"/>
            </w:pPr>
            <w:r>
              <w:rPr>
                <w:rFonts w:ascii="Segoe UI" w:hAnsi="Segoe UI"/>
                <w:color w:val="1A1A1A"/>
                <w:sz w:val="17"/>
              </w:rPr>
              <w:t>2.  Source Ingestion and Institutional Memory</w:t>
            </w:r>
          </w:p>
        </w:tc>
        <w:tc>
          <w:tcPr>
            <w:tcW w:w="4593" w:type="dxa"/>
          </w:tcPr>
          <w:p>
            <w:pPr>
              <w:spacing w:before="30" w:after="30" w:line="254" w:lineRule="auto"/>
            </w:pPr>
            <w:r>
              <w:rPr>
                <w:rFonts w:ascii="Segoe UI" w:hAnsi="Segoe UI"/>
                <w:color w:val="1A1A1A"/>
                <w:sz w:val="17"/>
              </w:rPr>
              <w:t>Multi-format intake, Marathi document reading, transcription, officer verification, indexed departmental archive with grounded retrieval</w:t>
            </w:r>
          </w:p>
        </w:tc>
        <w:tc>
          <w:tcPr>
            <w:tcW w:w="921" w:type="dxa"/>
          </w:tcPr>
          <w:p>
            <w:pPr>
              <w:spacing w:before="30" w:after="30" w:line="254" w:lineRule="auto"/>
            </w:pPr>
            <w:r>
              <w:rPr>
                <w:rFonts w:ascii="Segoe UI" w:hAnsi="Segoe UI"/>
                <w:color w:val="1A1A1A"/>
                <w:sz w:val="17"/>
              </w:rPr>
              <w:t>10 weeks</w:t>
            </w:r>
          </w:p>
        </w:tc>
        <w:tc>
          <w:tcPr>
            <w:tcW w:w="1468" w:type="dxa"/>
          </w:tcPr>
          <w:p>
            <w:pPr>
              <w:spacing w:before="30" w:after="30" w:line="254" w:lineRule="auto"/>
              <w:jc w:val="right"/>
            </w:pPr>
            <w:r>
              <w:rPr>
                <w:rFonts w:ascii="Segoe UI" w:hAnsi="Segoe UI"/>
                <w:color w:val="1A1A1A"/>
                <w:sz w:val="17"/>
              </w:rPr>
              <w:t>₹85 lakh</w:t>
            </w:r>
          </w:p>
        </w:tc>
      </w:tr>
      <w:tr>
        <w:trPr>
          <w:cantSplit w:val="true"/>
        </w:trPr>
        <w:tc>
          <w:tcPr>
            <w:tcW w:w="2476" w:type="dxa"/>
          </w:tcPr>
          <w:p>
            <w:pPr>
              <w:spacing w:before="30" w:after="30" w:line="254" w:lineRule="auto"/>
            </w:pPr>
            <w:r>
              <w:rPr>
                <w:rFonts w:ascii="Segoe UI" w:hAnsi="Segoe UI"/>
                <w:color w:val="1A1A1A"/>
                <w:sz w:val="17"/>
              </w:rPr>
              <w:t>3.  Marathi Editorial and Multilingual Desk</w:t>
            </w:r>
          </w:p>
        </w:tc>
        <w:tc>
          <w:tcPr>
            <w:tcW w:w="4593" w:type="dxa"/>
          </w:tcPr>
          <w:p>
            <w:pPr>
              <w:spacing w:before="30" w:after="30" w:line="254" w:lineRule="auto"/>
            </w:pPr>
            <w:r>
              <w:rPr>
                <w:rFonts w:ascii="Segoe UI" w:hAnsi="Segoe UI"/>
                <w:color w:val="1A1A1A"/>
                <w:sz w:val="17"/>
              </w:rPr>
              <w:t>Article and news production in departmental style, name and designation control, verified glossary, nine-language translation, proofreading, source verification</w:t>
            </w:r>
          </w:p>
        </w:tc>
        <w:tc>
          <w:tcPr>
            <w:tcW w:w="921" w:type="dxa"/>
          </w:tcPr>
          <w:p>
            <w:pPr>
              <w:spacing w:before="30" w:after="30" w:line="254" w:lineRule="auto"/>
            </w:pPr>
            <w:r>
              <w:rPr>
                <w:rFonts w:ascii="Segoe UI" w:hAnsi="Segoe UI"/>
                <w:color w:val="1A1A1A"/>
                <w:sz w:val="17"/>
              </w:rPr>
              <w:t>14 weeks</w:t>
            </w:r>
          </w:p>
        </w:tc>
        <w:tc>
          <w:tcPr>
            <w:tcW w:w="1468" w:type="dxa"/>
          </w:tcPr>
          <w:p>
            <w:pPr>
              <w:spacing w:before="30" w:after="30" w:line="254" w:lineRule="auto"/>
              <w:jc w:val="right"/>
            </w:pPr>
            <w:r>
              <w:rPr>
                <w:rFonts w:ascii="Segoe UI" w:hAnsi="Segoe UI"/>
                <w:color w:val="1A1A1A"/>
                <w:sz w:val="17"/>
              </w:rPr>
              <w:t>₹1.15 crore</w:t>
            </w:r>
          </w:p>
        </w:tc>
      </w:tr>
      <w:tr>
        <w:trPr>
          <w:cantSplit w:val="true"/>
        </w:trPr>
        <w:tc>
          <w:tcPr>
            <w:tcW w:w="2476" w:type="dxa"/>
          </w:tcPr>
          <w:p>
            <w:pPr>
              <w:spacing w:before="30" w:after="30" w:line="254" w:lineRule="auto"/>
            </w:pPr>
            <w:r>
              <w:rPr>
                <w:rFonts w:ascii="Segoe UI" w:hAnsi="Segoe UI"/>
                <w:color w:val="1A1A1A"/>
                <w:sz w:val="17"/>
              </w:rPr>
              <w:t>4.  Visual and Motion Communication</w:t>
            </w:r>
          </w:p>
        </w:tc>
        <w:tc>
          <w:tcPr>
            <w:tcW w:w="4593" w:type="dxa"/>
          </w:tcPr>
          <w:p>
            <w:pPr>
              <w:spacing w:before="30" w:after="30" w:line="254" w:lineRule="auto"/>
            </w:pPr>
            <w:r>
              <w:rPr>
                <w:rFonts w:ascii="Segoe UI" w:hAnsi="Segoe UI"/>
                <w:color w:val="1A1A1A"/>
                <w:sz w:val="17"/>
              </w:rPr>
              <w:t>Posters, creatives and thumbnails, motion posters animated from approved artwork, scripted explainer films, design-tool handoff, direct social publishing</w:t>
            </w:r>
          </w:p>
        </w:tc>
        <w:tc>
          <w:tcPr>
            <w:tcW w:w="921" w:type="dxa"/>
          </w:tcPr>
          <w:p>
            <w:pPr>
              <w:spacing w:before="30" w:after="30" w:line="254" w:lineRule="auto"/>
            </w:pPr>
            <w:r>
              <w:rPr>
                <w:rFonts w:ascii="Segoe UI" w:hAnsi="Segoe UI"/>
                <w:color w:val="1A1A1A"/>
                <w:sz w:val="17"/>
              </w:rPr>
              <w:t>14 weeks</w:t>
            </w:r>
          </w:p>
        </w:tc>
        <w:tc>
          <w:tcPr>
            <w:tcW w:w="1468" w:type="dxa"/>
          </w:tcPr>
          <w:p>
            <w:pPr>
              <w:spacing w:before="30" w:after="30" w:line="254" w:lineRule="auto"/>
              <w:jc w:val="right"/>
            </w:pPr>
            <w:r>
              <w:rPr>
                <w:rFonts w:ascii="Segoe UI" w:hAnsi="Segoe UI"/>
                <w:color w:val="1A1A1A"/>
                <w:sz w:val="17"/>
              </w:rPr>
              <w:t>₹1.05 crore</w:t>
            </w:r>
          </w:p>
        </w:tc>
      </w:tr>
      <w:tr>
        <w:trPr>
          <w:cantSplit w:val="true"/>
        </w:trPr>
        <w:tc>
          <w:tcPr>
            <w:tcW w:w="2476" w:type="dxa"/>
          </w:tcPr>
          <w:p>
            <w:pPr>
              <w:spacing w:before="30" w:after="30" w:line="254" w:lineRule="auto"/>
            </w:pPr>
            <w:r>
              <w:rPr>
                <w:rFonts w:ascii="Segoe UI" w:hAnsi="Segoe UI"/>
                <w:color w:val="1A1A1A"/>
                <w:sz w:val="17"/>
              </w:rPr>
              <w:t>5.  Press Monitoring and Departmental Insight</w:t>
            </w:r>
          </w:p>
        </w:tc>
        <w:tc>
          <w:tcPr>
            <w:tcW w:w="4593" w:type="dxa"/>
          </w:tcPr>
          <w:p>
            <w:pPr>
              <w:spacing w:before="30" w:after="30" w:line="254" w:lineRule="auto"/>
            </w:pPr>
            <w:r>
              <w:rPr>
                <w:rFonts w:ascii="Segoe UI" w:hAnsi="Segoe UI"/>
                <w:color w:val="1A1A1A"/>
                <w:sz w:val="17"/>
              </w:rPr>
              <w:t>Newspaper and e-paper monitoring, clipping, classification, daily digest, searchable archive, keyword alerts, departmental usage reporting</w:t>
            </w:r>
          </w:p>
        </w:tc>
        <w:tc>
          <w:tcPr>
            <w:tcW w:w="921" w:type="dxa"/>
          </w:tcPr>
          <w:p>
            <w:pPr>
              <w:spacing w:before="30" w:after="30" w:line="254" w:lineRule="auto"/>
            </w:pPr>
            <w:r>
              <w:rPr>
                <w:rFonts w:ascii="Segoe UI" w:hAnsi="Segoe UI"/>
                <w:color w:val="1A1A1A"/>
                <w:sz w:val="17"/>
              </w:rPr>
              <w:t>10 weeks</w:t>
            </w:r>
          </w:p>
        </w:tc>
        <w:tc>
          <w:tcPr>
            <w:tcW w:w="1468" w:type="dxa"/>
          </w:tcPr>
          <w:p>
            <w:pPr>
              <w:spacing w:before="30" w:after="30" w:line="254" w:lineRule="auto"/>
              <w:jc w:val="right"/>
            </w:pPr>
            <w:r>
              <w:rPr>
                <w:rFonts w:ascii="Segoe UI" w:hAnsi="Segoe UI"/>
                <w:color w:val="1A1A1A"/>
                <w:sz w:val="17"/>
              </w:rPr>
              <w:t>₹70 lakh</w:t>
            </w:r>
          </w:p>
        </w:tc>
      </w:tr>
      <w:tr>
        <w:trPr>
          <w:cantSplit w:val="true"/>
        </w:trPr>
        <w:tc>
          <w:tcPr>
            <w:shd w:val="clear" w:fill="EEF4EF"/>
            <w:tcW w:w="2476" w:type="dxa"/>
          </w:tcPr>
          <w:p>
            <w:pPr>
              <w:spacing w:before="30" w:after="30" w:line="254" w:lineRule="auto"/>
            </w:pPr>
            <w:r>
              <w:rPr>
                <w:rFonts w:ascii="Segoe UI" w:hAnsi="Segoe UI"/>
                <w:b/>
                <w:color w:val="1A1A1A"/>
                <w:sz w:val="17"/>
              </w:rPr>
              <w:t>Subtotal — solution pillars</w:t>
            </w:r>
          </w:p>
        </w:tc>
        <w:tc>
          <w:tcPr>
            <w:shd w:val="clear" w:fill="EEF4EF"/>
            <w:tcW w:w="4593" w:type="dxa"/>
          </w:tcPr>
          <w:p>
            <w:pPr>
              <w:spacing w:before="30" w:after="30" w:line="254" w:lineRule="auto"/>
            </w:pPr>
            <w:r>
              <w:rPr>
                <w:rFonts w:ascii="Segoe UI" w:hAnsi="Segoe UI"/>
                <w:b/>
                <w:color w:val="1A1A1A"/>
                <w:sz w:val="17"/>
              </w:rPr>
            </w:r>
          </w:p>
        </w:tc>
        <w:tc>
          <w:tcPr>
            <w:shd w:val="clear" w:fill="EEF4EF"/>
            <w:tcW w:w="921" w:type="dxa"/>
          </w:tcPr>
          <w:p>
            <w:pPr>
              <w:spacing w:before="30" w:after="30" w:line="254" w:lineRule="auto"/>
            </w:pPr>
            <w:r>
              <w:rPr>
                <w:rFonts w:ascii="Segoe UI" w:hAnsi="Segoe UI"/>
                <w:b/>
                <w:color w:val="1A1A1A"/>
                <w:sz w:val="17"/>
              </w:rPr>
            </w:r>
          </w:p>
        </w:tc>
        <w:tc>
          <w:tcPr>
            <w:shd w:val="clear" w:fill="EEF4EF"/>
            <w:tcW w:w="1468" w:type="dxa"/>
          </w:tcPr>
          <w:p>
            <w:pPr>
              <w:spacing w:before="30" w:after="30" w:line="254" w:lineRule="auto"/>
              <w:jc w:val="right"/>
            </w:pPr>
            <w:r>
              <w:rPr>
                <w:rFonts w:ascii="Segoe UI" w:hAnsi="Segoe UI"/>
                <w:b/>
                <w:color w:val="1A1A1A"/>
                <w:sz w:val="17"/>
              </w:rPr>
              <w:t>₹4.65 crore</w:t>
            </w:r>
          </w:p>
        </w:tc>
      </w:tr>
    </w:tbl>
    <w:p>
      <w:pPr>
        <w:spacing w:after="80"/>
      </w:pPr>
    </w:p>
    <w:p>
      <w:pPr>
        <w:pStyle w:val="Heading2"/>
      </w:pPr>
      <w:r>
        <w:t>Pillar 1  ·  Sovereign AI Core and Access Governance</w:t>
      </w:r>
    </w:p>
    <w:p>
      <w:r>
        <w:rPr>
          <w:rFonts w:ascii="Segoe UI" w:hAnsi="Segoe UI"/>
          <w:b w:val="0"/>
          <w:color w:val="1A1A1A"/>
          <w:sz w:val="21"/>
        </w:rPr>
        <w:t>The department's own AI environment, with the access model, encryption and audit record that make official and unpublished material safe to process. Delivered as a Marathi-first browser workspace that works on desktop, tablet and phone with nothing to install.</w:t>
      </w:r>
    </w:p>
    <w:p>
      <w:pPr>
        <w:spacing w:before="0" w:after="40" w:line="269" w:lineRule="auto"/>
        <w:ind w:left="144"/>
      </w:pPr>
      <w:r>
        <w:rPr>
          <w:rFonts w:ascii="Segoe UI" w:hAnsi="Segoe UI"/>
          <w:b/>
          <w:color w:val="14532D"/>
          <w:sz w:val="19"/>
        </w:rPr>
        <w:t xml:space="preserve">Capabilities  </w:t>
      </w:r>
      <w:r>
        <w:rPr>
          <w:rFonts w:ascii="Segoe UI" w:hAnsi="Segoe UI"/>
          <w:color w:val="5C5C5C"/>
          <w:sz w:val="19"/>
        </w:rPr>
        <w:t>Private model hosting and routing; role and office-based permissions; encrypted storage with retention rules; full audit and source lineage; background processing with recovery; responsive Marathi workspace; backup and restoration.</w:t>
      </w:r>
    </w:p>
    <w:p>
      <w:pPr>
        <w:spacing w:before="60" w:after="200"/>
        <w:pBdr>
          <w:left w:val="single" w:sz="18" w:space="6" w:color="14532D"/>
        </w:pBdr>
        <w:ind w:left="144"/>
      </w:pPr>
      <w:r>
        <w:rPr>
          <w:rFonts w:ascii="Segoe UI" w:hAnsi="Segoe UI"/>
          <w:b/>
          <w:color w:val="14532D"/>
          <w:sz w:val="18"/>
        </w:rPr>
        <w:t xml:space="preserve">Build  </w:t>
      </w:r>
      <w:r>
        <w:rPr>
          <w:rFonts w:ascii="Segoe UI" w:hAnsi="Segoe UI"/>
          <w:color w:val="1A1A1A"/>
          <w:sz w:val="18"/>
        </w:rPr>
        <w:t>10 weeks</w:t>
      </w:r>
      <w:r>
        <w:rPr>
          <w:sz w:val="18"/>
        </w:rPr>
        <w:t xml:space="preserve">     </w:t>
      </w:r>
      <w:r>
        <w:rPr>
          <w:rFonts w:ascii="Segoe UI" w:hAnsi="Segoe UI"/>
          <w:b/>
          <w:color w:val="14532D"/>
          <w:sz w:val="18"/>
        </w:rPr>
        <w:t xml:space="preserve">Live from  </w:t>
      </w:r>
      <w:r>
        <w:rPr>
          <w:rFonts w:ascii="Segoe UI" w:hAnsi="Segoe UI"/>
          <w:color w:val="1A1A1A"/>
          <w:sz w:val="18"/>
        </w:rPr>
        <w:t>Wave 1</w:t>
      </w:r>
      <w:r>
        <w:rPr>
          <w:sz w:val="18"/>
        </w:rPr>
        <w:t xml:space="preserve">     </w:t>
      </w:r>
      <w:r>
        <w:rPr>
          <w:rFonts w:ascii="Segoe UI" w:hAnsi="Segoe UI"/>
          <w:b/>
          <w:color w:val="14532D"/>
          <w:sz w:val="18"/>
        </w:rPr>
        <w:t xml:space="preserve">Investment  </w:t>
      </w:r>
      <w:r>
        <w:rPr>
          <w:rFonts w:ascii="Segoe UI" w:hAnsi="Segoe UI"/>
          <w:color w:val="1A1A1A"/>
          <w:sz w:val="18"/>
        </w:rPr>
        <w:t>₹90 lakh</w:t>
      </w:r>
    </w:p>
    <w:p>
      <w:pPr>
        <w:pStyle w:val="Heading2"/>
      </w:pPr>
      <w:r>
        <w:t>Pillar 2  ·  Source Ingestion and Institutional Memory</w:t>
      </w:r>
    </w:p>
    <w:p>
      <w:r>
        <w:rPr>
          <w:rFonts w:ascii="Segoe UI" w:hAnsi="Segoe UI"/>
          <w:b w:val="0"/>
          <w:color w:val="1A1A1A"/>
          <w:sz w:val="21"/>
        </w:rPr>
        <w:t>Everything the department already produces becomes usable material. Notes, orders, scanned files, photographs, recordings and approved video links are read, checked by the officer, and added to a searchable departmental memory that grounds every later output.</w:t>
      </w:r>
    </w:p>
    <w:p>
      <w:pPr>
        <w:spacing w:before="0" w:after="40" w:line="269" w:lineRule="auto"/>
        <w:ind w:left="144"/>
      </w:pPr>
      <w:r>
        <w:rPr>
          <w:rFonts w:ascii="Segoe UI" w:hAnsi="Segoe UI"/>
          <w:b/>
          <w:color w:val="14532D"/>
          <w:sz w:val="19"/>
        </w:rPr>
        <w:t xml:space="preserve">Capabilities  </w:t>
      </w:r>
      <w:r>
        <w:rPr>
          <w:rFonts w:ascii="Segoe UI" w:hAnsi="Segoe UI"/>
          <w:color w:val="5C5C5C"/>
          <w:sz w:val="19"/>
        </w:rPr>
        <w:t>Multi-format intake; Marathi document reading and digitisation; meeting and press-conference transcription; officer verification and correction; indexed archive of approved Mahasamvad material; grounded retrieval with citations.</w:t>
      </w:r>
    </w:p>
    <w:p>
      <w:pPr>
        <w:spacing w:before="60" w:after="200"/>
        <w:pBdr>
          <w:left w:val="single" w:sz="18" w:space="6" w:color="14532D"/>
        </w:pBdr>
        <w:ind w:left="144"/>
      </w:pPr>
      <w:r>
        <w:rPr>
          <w:rFonts w:ascii="Segoe UI" w:hAnsi="Segoe UI"/>
          <w:b/>
          <w:color w:val="14532D"/>
          <w:sz w:val="18"/>
        </w:rPr>
        <w:t xml:space="preserve">Build  </w:t>
      </w:r>
      <w:r>
        <w:rPr>
          <w:rFonts w:ascii="Segoe UI" w:hAnsi="Segoe UI"/>
          <w:color w:val="1A1A1A"/>
          <w:sz w:val="18"/>
        </w:rPr>
        <w:t>10 weeks</w:t>
      </w:r>
      <w:r>
        <w:rPr>
          <w:sz w:val="18"/>
        </w:rPr>
        <w:t xml:space="preserve">     </w:t>
      </w:r>
      <w:r>
        <w:rPr>
          <w:rFonts w:ascii="Segoe UI" w:hAnsi="Segoe UI"/>
          <w:b/>
          <w:color w:val="14532D"/>
          <w:sz w:val="18"/>
        </w:rPr>
        <w:t xml:space="preserve">Live from  </w:t>
      </w:r>
      <w:r>
        <w:rPr>
          <w:rFonts w:ascii="Segoe UI" w:hAnsi="Segoe UI"/>
          <w:color w:val="1A1A1A"/>
          <w:sz w:val="18"/>
        </w:rPr>
        <w:t>Wave 1</w:t>
      </w:r>
      <w:r>
        <w:rPr>
          <w:sz w:val="18"/>
        </w:rPr>
        <w:t xml:space="preserve">     </w:t>
      </w:r>
      <w:r>
        <w:rPr>
          <w:rFonts w:ascii="Segoe UI" w:hAnsi="Segoe UI"/>
          <w:b/>
          <w:color w:val="14532D"/>
          <w:sz w:val="18"/>
        </w:rPr>
        <w:t xml:space="preserve">Investment  </w:t>
      </w:r>
      <w:r>
        <w:rPr>
          <w:rFonts w:ascii="Segoe UI" w:hAnsi="Segoe UI"/>
          <w:color w:val="1A1A1A"/>
          <w:sz w:val="18"/>
        </w:rPr>
        <w:t>₹85 lakh</w:t>
      </w:r>
    </w:p>
    <w:p>
      <w:pPr>
        <w:pStyle w:val="Heading2"/>
      </w:pPr>
      <w:r>
        <w:t>Pillar 3  ·  Marathi Editorial and Multilingual Desk</w:t>
      </w:r>
    </w:p>
    <w:p>
      <w:r>
        <w:rPr>
          <w:rFonts w:ascii="Segoe UI" w:hAnsi="Segoe UI"/>
          <w:b w:val="0"/>
          <w:color w:val="1A1A1A"/>
          <w:sz w:val="21"/>
        </w:rPr>
        <w:t>The department's writing capability, and its widest reach. Approved material becomes publication-ready Marathi copy in Mahasamvad's own register, and then travels into eight further languages for national circulation from the same approved source.</w:t>
      </w:r>
    </w:p>
    <w:p>
      <w:pPr>
        <w:spacing w:before="0" w:after="40" w:line="269" w:lineRule="auto"/>
        <w:ind w:left="144"/>
      </w:pPr>
      <w:r>
        <w:rPr>
          <w:rFonts w:ascii="Segoe UI" w:hAnsi="Segoe UI"/>
          <w:b/>
          <w:color w:val="14532D"/>
          <w:sz w:val="19"/>
        </w:rPr>
        <w:t xml:space="preserve">Capabilities  </w:t>
      </w:r>
      <w:r>
        <w:rPr>
          <w:rFonts w:ascii="Segoe UI" w:hAnsi="Segoe UI"/>
          <w:color w:val="5C5C5C"/>
          <w:sz w:val="19"/>
        </w:rPr>
        <w:t>Meeting- and document-to-article production; departmental style matching; name, designation and terminology control; verified multilingual glossary; translation into Hindi, English and six further Indian languages; Marathi and English proofreading; source verification, revision history and export.</w:t>
      </w:r>
    </w:p>
    <w:p>
      <w:pPr>
        <w:spacing w:before="60" w:after="200"/>
        <w:pBdr>
          <w:left w:val="single" w:sz="18" w:space="6" w:color="14532D"/>
        </w:pBdr>
        <w:ind w:left="144"/>
      </w:pPr>
      <w:r>
        <w:rPr>
          <w:rFonts w:ascii="Segoe UI" w:hAnsi="Segoe UI"/>
          <w:b/>
          <w:color w:val="14532D"/>
          <w:sz w:val="18"/>
        </w:rPr>
        <w:t xml:space="preserve">Build  </w:t>
      </w:r>
      <w:r>
        <w:rPr>
          <w:rFonts w:ascii="Segoe UI" w:hAnsi="Segoe UI"/>
          <w:color w:val="1A1A1A"/>
          <w:sz w:val="18"/>
        </w:rPr>
        <w:t>14 weeks</w:t>
      </w:r>
      <w:r>
        <w:rPr>
          <w:sz w:val="18"/>
        </w:rPr>
        <w:t xml:space="preserve">     </w:t>
      </w:r>
      <w:r>
        <w:rPr>
          <w:rFonts w:ascii="Segoe UI" w:hAnsi="Segoe UI"/>
          <w:b/>
          <w:color w:val="14532D"/>
          <w:sz w:val="18"/>
        </w:rPr>
        <w:t xml:space="preserve">Live from  </w:t>
      </w:r>
      <w:r>
        <w:rPr>
          <w:rFonts w:ascii="Segoe UI" w:hAnsi="Segoe UI"/>
          <w:color w:val="1A1A1A"/>
          <w:sz w:val="18"/>
        </w:rPr>
        <w:t>Wave 1 core · Wave 2 multilingual</w:t>
      </w:r>
      <w:r>
        <w:rPr>
          <w:sz w:val="18"/>
        </w:rPr>
        <w:t xml:space="preserve">     </w:t>
      </w:r>
      <w:r>
        <w:rPr>
          <w:rFonts w:ascii="Segoe UI" w:hAnsi="Segoe UI"/>
          <w:b/>
          <w:color w:val="14532D"/>
          <w:sz w:val="18"/>
        </w:rPr>
        <w:t xml:space="preserve">Investment  </w:t>
      </w:r>
      <w:r>
        <w:rPr>
          <w:rFonts w:ascii="Segoe UI" w:hAnsi="Segoe UI"/>
          <w:color w:val="1A1A1A"/>
          <w:sz w:val="18"/>
        </w:rPr>
        <w:t>₹1.15 crore</w:t>
      </w:r>
    </w:p>
    <w:p>
      <w:pPr>
        <w:pStyle w:val="Heading2"/>
      </w:pPr>
      <w:r>
        <w:t>Pillar 4  ·  Visual and Motion Communication</w:t>
      </w:r>
    </w:p>
    <w:p>
      <w:r>
        <w:rPr>
          <w:rFonts w:ascii="Segoe UI" w:hAnsi="Segoe UI"/>
          <w:b w:val="0"/>
          <w:color w:val="1A1A1A"/>
          <w:sz w:val="21"/>
        </w:rPr>
        <w:t>Every visual the department publishes, still and moving. Posters and creatives are produced under official identity, approved posters are animated into short motion pieces for social channels, and scripted explainer films are produced end to end — with approved output publishable directly to the department's authorised accounts.</w:t>
      </w:r>
    </w:p>
    <w:p>
      <w:pPr>
        <w:spacing w:before="0" w:after="40" w:line="269" w:lineRule="auto"/>
        <w:ind w:left="144"/>
      </w:pPr>
      <w:r>
        <w:rPr>
          <w:rFonts w:ascii="Segoe UI" w:hAnsi="Segoe UI"/>
          <w:b/>
          <w:color w:val="14532D"/>
          <w:sz w:val="19"/>
        </w:rPr>
        <w:t xml:space="preserve">Capabilities  </w:t>
      </w:r>
      <w:r>
        <w:rPr>
          <w:rFonts w:ascii="Segoe UI" w:hAnsi="Segoe UI"/>
          <w:color w:val="5C5C5C"/>
          <w:sz w:val="19"/>
        </w:rPr>
        <w:t>Posters, creatives, banners and thumbnails; motion posters animated from approved artwork; scripted explainer films with narration and subtitles; template and identity library; caption drafting; editable design-tool handoff; confirmed direct publishing to authorised social accounts.</w:t>
      </w:r>
    </w:p>
    <w:p>
      <w:pPr>
        <w:spacing w:before="60" w:after="200"/>
        <w:pBdr>
          <w:left w:val="single" w:sz="18" w:space="6" w:color="14532D"/>
        </w:pBdr>
        <w:ind w:left="144"/>
      </w:pPr>
      <w:r>
        <w:rPr>
          <w:rFonts w:ascii="Segoe UI" w:hAnsi="Segoe UI"/>
          <w:b/>
          <w:color w:val="14532D"/>
          <w:sz w:val="18"/>
        </w:rPr>
        <w:t xml:space="preserve">Build  </w:t>
      </w:r>
      <w:r>
        <w:rPr>
          <w:rFonts w:ascii="Segoe UI" w:hAnsi="Segoe UI"/>
          <w:color w:val="1A1A1A"/>
          <w:sz w:val="18"/>
        </w:rPr>
        <w:t>14 weeks</w:t>
      </w:r>
      <w:r>
        <w:rPr>
          <w:sz w:val="18"/>
        </w:rPr>
        <w:t xml:space="preserve">     </w:t>
      </w:r>
      <w:r>
        <w:rPr>
          <w:rFonts w:ascii="Segoe UI" w:hAnsi="Segoe UI"/>
          <w:b/>
          <w:color w:val="14532D"/>
          <w:sz w:val="18"/>
        </w:rPr>
        <w:t xml:space="preserve">Live from  </w:t>
      </w:r>
      <w:r>
        <w:rPr>
          <w:rFonts w:ascii="Segoe UI" w:hAnsi="Segoe UI"/>
          <w:color w:val="1A1A1A"/>
          <w:sz w:val="18"/>
        </w:rPr>
        <w:t>Wave 2</w:t>
      </w:r>
      <w:r>
        <w:rPr>
          <w:sz w:val="18"/>
        </w:rPr>
        <w:t xml:space="preserve">     </w:t>
      </w:r>
      <w:r>
        <w:rPr>
          <w:rFonts w:ascii="Segoe UI" w:hAnsi="Segoe UI"/>
          <w:b/>
          <w:color w:val="14532D"/>
          <w:sz w:val="18"/>
        </w:rPr>
        <w:t xml:space="preserve">Investment  </w:t>
      </w:r>
      <w:r>
        <w:rPr>
          <w:rFonts w:ascii="Segoe UI" w:hAnsi="Segoe UI"/>
          <w:color w:val="1A1A1A"/>
          <w:sz w:val="18"/>
        </w:rPr>
        <w:t>₹1.05 crore</w:t>
      </w:r>
    </w:p>
    <w:p>
      <w:pPr>
        <w:pStyle w:val="Heading2"/>
      </w:pPr>
      <w:r>
        <w:t>Pillar 5  ·  Press Monitoring and Departmental Insight</w:t>
      </w:r>
    </w:p>
    <w:p>
      <w:r>
        <w:rPr>
          <w:rFonts w:ascii="Segoe UI" w:hAnsi="Segoe UI"/>
          <w:b w:val="0"/>
          <w:color w:val="1A1A1A"/>
          <w:sz w:val="21"/>
        </w:rPr>
        <w:t>A daily reading of what the press is carrying, and a periodic reading of what the department itself produced. Coverage is captured, classified and archived; departmental usage is reported so management can see where communication effort is going.</w:t>
      </w:r>
    </w:p>
    <w:p>
      <w:pPr>
        <w:spacing w:before="0" w:after="40" w:line="269" w:lineRule="auto"/>
        <w:ind w:left="144"/>
      </w:pPr>
      <w:r>
        <w:rPr>
          <w:rFonts w:ascii="Segoe UI" w:hAnsi="Segoe UI"/>
          <w:b/>
          <w:color w:val="14532D"/>
          <w:sz w:val="19"/>
        </w:rPr>
        <w:t xml:space="preserve">Capabilities  </w:t>
      </w:r>
      <w:r>
        <w:rPr>
          <w:rFonts w:ascii="Segoe UI" w:hAnsi="Segoe UI"/>
          <w:color w:val="5C5C5C"/>
          <w:sz w:val="19"/>
        </w:rPr>
        <w:t>Newspaper and e-paper ingestion in Marathi, Hindi and English; clipping, classification and daily digest; searchable coverage archive with source references; keyword and entity alerts; departmental output and usage reporting.</w:t>
      </w:r>
    </w:p>
    <w:p>
      <w:pPr>
        <w:spacing w:before="60" w:after="200"/>
        <w:pBdr>
          <w:left w:val="single" w:sz="18" w:space="6" w:color="14532D"/>
        </w:pBdr>
        <w:ind w:left="144"/>
      </w:pPr>
      <w:r>
        <w:rPr>
          <w:rFonts w:ascii="Segoe UI" w:hAnsi="Segoe UI"/>
          <w:b/>
          <w:color w:val="14532D"/>
          <w:sz w:val="18"/>
        </w:rPr>
        <w:t xml:space="preserve">Build  </w:t>
      </w:r>
      <w:r>
        <w:rPr>
          <w:rFonts w:ascii="Segoe UI" w:hAnsi="Segoe UI"/>
          <w:color w:val="1A1A1A"/>
          <w:sz w:val="18"/>
        </w:rPr>
        <w:t>10 weeks</w:t>
      </w:r>
      <w:r>
        <w:rPr>
          <w:sz w:val="18"/>
        </w:rPr>
        <w:t xml:space="preserve">     </w:t>
      </w:r>
      <w:r>
        <w:rPr>
          <w:rFonts w:ascii="Segoe UI" w:hAnsi="Segoe UI"/>
          <w:b/>
          <w:color w:val="14532D"/>
          <w:sz w:val="18"/>
        </w:rPr>
        <w:t xml:space="preserve">Live from  </w:t>
      </w:r>
      <w:r>
        <w:rPr>
          <w:rFonts w:ascii="Segoe UI" w:hAnsi="Segoe UI"/>
          <w:color w:val="1A1A1A"/>
          <w:sz w:val="18"/>
        </w:rPr>
        <w:t>Wave 3</w:t>
      </w:r>
      <w:r>
        <w:rPr>
          <w:sz w:val="18"/>
        </w:rPr>
        <w:t xml:space="preserve">     </w:t>
      </w:r>
      <w:r>
        <w:rPr>
          <w:rFonts w:ascii="Segoe UI" w:hAnsi="Segoe UI"/>
          <w:b/>
          <w:color w:val="14532D"/>
          <w:sz w:val="18"/>
        </w:rPr>
        <w:t xml:space="preserve">Investment  </w:t>
      </w:r>
      <w:r>
        <w:rPr>
          <w:rFonts w:ascii="Segoe UI" w:hAnsi="Segoe UI"/>
          <w:color w:val="1A1A1A"/>
          <w:sz w:val="18"/>
        </w:rPr>
        <w:t>₹70 lakh</w:t>
      </w:r>
    </w:p>
    <w:p>
      <w:pPr>
        <w:pStyle w:val="Heading1"/>
        <w:pBdr>
          <w:bottom w:val="single" w:sz="8" w:space="4" w:color="14532D"/>
        </w:pBdr>
      </w:pPr>
      <w:r>
        <w:t>Part 5  ·  Run and operate</w:t>
      </w:r>
    </w:p>
    <w:p>
      <w:r>
        <w:rPr>
          <w:rFonts w:ascii="Segoe UI" w:hAnsi="Segoe UI"/>
          <w:b w:val="0"/>
          <w:color w:val="1A1A1A"/>
          <w:sz w:val="21"/>
        </w:rPr>
        <w:t>The platform is operated for the full twelve months alongside departmental staff, with three specialists stationed at headquarters and an engineering team behind them.</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376"/>
        <w:gridCol w:w="5616"/>
        <w:gridCol w:w="1468"/>
      </w:tblGrid>
      <w:tr>
        <w:trPr>
          <w:cantSplit w:val="true"/>
          <w:tblHeader w:val="true"/>
        </w:trPr>
        <w:tc>
          <w:tcPr>
            <w:shd w:val="clear" w:fill="14532D"/>
            <w:tcW w:w="2376" w:type="dxa"/>
          </w:tcPr>
          <w:p>
            <w:pPr>
              <w:spacing w:before="30" w:after="30" w:line="254" w:lineRule="auto"/>
            </w:pPr>
            <w:r>
              <w:rPr>
                <w:rFonts w:ascii="Segoe UI" w:hAnsi="Segoe UI"/>
                <w:b/>
                <w:color w:val="FFFFFF"/>
                <w:sz w:val="17"/>
              </w:rPr>
              <w:t>Service</w:t>
            </w:r>
          </w:p>
        </w:tc>
        <w:tc>
          <w:tcPr>
            <w:shd w:val="clear" w:fill="14532D"/>
            <w:tcW w:w="5616" w:type="dxa"/>
          </w:tcPr>
          <w:p>
            <w:pPr>
              <w:spacing w:before="30" w:after="30" w:line="254" w:lineRule="auto"/>
            </w:pPr>
            <w:r>
              <w:rPr>
                <w:rFonts w:ascii="Segoe UI" w:hAnsi="Segoe UI"/>
                <w:b/>
                <w:color w:val="FFFFFF"/>
                <w:sz w:val="17"/>
              </w:rPr>
              <w:t>Coverage</w:t>
            </w:r>
          </w:p>
        </w:tc>
        <w:tc>
          <w:tcPr>
            <w:shd w:val="clear" w:fill="14532D"/>
            <w:tcW w:w="1468" w:type="dxa"/>
          </w:tcPr>
          <w:p>
            <w:pPr>
              <w:spacing w:before="30" w:after="30" w:line="254" w:lineRule="auto"/>
              <w:jc w:val="right"/>
            </w:pPr>
            <w:r>
              <w:rPr>
                <w:rFonts w:ascii="Segoe UI" w:hAnsi="Segoe UI"/>
                <w:b/>
                <w:color w:val="FFFFFF"/>
                <w:sz w:val="17"/>
              </w:rPr>
              <w:t>Investment</w:t>
            </w:r>
          </w:p>
        </w:tc>
      </w:tr>
      <w:tr>
        <w:trPr>
          <w:cantSplit w:val="true"/>
        </w:trPr>
        <w:tc>
          <w:tcPr>
            <w:tcW w:w="2376" w:type="dxa"/>
          </w:tcPr>
          <w:p>
            <w:pPr>
              <w:spacing w:before="30" w:after="30" w:line="254" w:lineRule="auto"/>
            </w:pPr>
            <w:r>
              <w:rPr>
                <w:rFonts w:ascii="Segoe UI" w:hAnsi="Segoe UI"/>
                <w:color w:val="1A1A1A"/>
                <w:sz w:val="17"/>
              </w:rPr>
              <w:t>Metered AI services and processing</w:t>
            </w:r>
          </w:p>
        </w:tc>
        <w:tc>
          <w:tcPr>
            <w:tcW w:w="5616" w:type="dxa"/>
          </w:tcPr>
          <w:p>
            <w:pPr>
              <w:spacing w:before="30" w:after="30" w:line="254" w:lineRule="auto"/>
            </w:pPr>
            <w:r>
              <w:rPr>
                <w:rFonts w:ascii="Segoe UI" w:hAnsi="Segoe UI"/>
                <w:color w:val="1A1A1A"/>
                <w:sz w:val="17"/>
              </w:rPr>
              <w:t>Twelve-month provision for the language, speech, vision, translation, image and video processing the platform consumes, metered and reported</w:t>
            </w:r>
          </w:p>
        </w:tc>
        <w:tc>
          <w:tcPr>
            <w:tcW w:w="1468" w:type="dxa"/>
          </w:tcPr>
          <w:p>
            <w:pPr>
              <w:spacing w:before="30" w:after="30" w:line="254" w:lineRule="auto"/>
              <w:jc w:val="right"/>
            </w:pPr>
            <w:r>
              <w:rPr>
                <w:rFonts w:ascii="Segoe UI" w:hAnsi="Segoe UI"/>
                <w:color w:val="1A1A1A"/>
                <w:sz w:val="17"/>
              </w:rPr>
              <w:t>₹65 lakh</w:t>
            </w:r>
          </w:p>
        </w:tc>
      </w:tr>
      <w:tr>
        <w:trPr>
          <w:cantSplit w:val="true"/>
        </w:trPr>
        <w:tc>
          <w:tcPr>
            <w:tcW w:w="2376" w:type="dxa"/>
          </w:tcPr>
          <w:p>
            <w:pPr>
              <w:spacing w:before="30" w:after="30" w:line="254" w:lineRule="auto"/>
            </w:pPr>
            <w:r>
              <w:rPr>
                <w:rFonts w:ascii="Segoe UI" w:hAnsi="Segoe UI"/>
                <w:color w:val="1A1A1A"/>
                <w:sz w:val="17"/>
              </w:rPr>
              <w:t>Implementation, integration and go-live</w:t>
            </w:r>
          </w:p>
        </w:tc>
        <w:tc>
          <w:tcPr>
            <w:tcW w:w="5616" w:type="dxa"/>
          </w:tcPr>
          <w:p>
            <w:pPr>
              <w:spacing w:before="30" w:after="30" w:line="254" w:lineRule="auto"/>
            </w:pPr>
            <w:r>
              <w:rPr>
                <w:rFonts w:ascii="Segoe UI" w:hAnsi="Segoe UI"/>
                <w:color w:val="1A1A1A"/>
                <w:sz w:val="17"/>
              </w:rPr>
              <w:t>Environment sizing, installation, configuration, integration with departmental systems, security and performance validation, acceptance and go-live</w:t>
            </w:r>
          </w:p>
        </w:tc>
        <w:tc>
          <w:tcPr>
            <w:tcW w:w="1468" w:type="dxa"/>
          </w:tcPr>
          <w:p>
            <w:pPr>
              <w:spacing w:before="30" w:after="30" w:line="254" w:lineRule="auto"/>
              <w:jc w:val="right"/>
            </w:pPr>
            <w:r>
              <w:rPr>
                <w:rFonts w:ascii="Segoe UI" w:hAnsi="Segoe UI"/>
                <w:color w:val="1A1A1A"/>
                <w:sz w:val="17"/>
              </w:rPr>
              <w:t>₹25 lakh</w:t>
            </w:r>
          </w:p>
        </w:tc>
      </w:tr>
      <w:tr>
        <w:trPr>
          <w:cantSplit w:val="true"/>
        </w:trPr>
        <w:tc>
          <w:tcPr>
            <w:tcW w:w="2376" w:type="dxa"/>
          </w:tcPr>
          <w:p>
            <w:pPr>
              <w:spacing w:before="30" w:after="30" w:line="254" w:lineRule="auto"/>
            </w:pPr>
            <w:r>
              <w:rPr>
                <w:rFonts w:ascii="Segoe UI" w:hAnsi="Segoe UI"/>
                <w:color w:val="1A1A1A"/>
                <w:sz w:val="17"/>
              </w:rPr>
              <w:t>Platform engineering and MLOps retainer</w:t>
            </w:r>
          </w:p>
        </w:tc>
        <w:tc>
          <w:tcPr>
            <w:tcW w:w="5616" w:type="dxa"/>
          </w:tcPr>
          <w:p>
            <w:pPr>
              <w:spacing w:before="30" w:after="30" w:line="254" w:lineRule="auto"/>
            </w:pPr>
            <w:r>
              <w:rPr>
                <w:rFonts w:ascii="Segoe UI" w:hAnsi="Segoe UI"/>
                <w:color w:val="1A1A1A"/>
                <w:sz w:val="17"/>
              </w:rPr>
              <w:t>Continuing engineering, production monitoring, model and prompt governance, evaluation, incident response and controlled releases</w:t>
            </w:r>
          </w:p>
        </w:tc>
        <w:tc>
          <w:tcPr>
            <w:tcW w:w="1468" w:type="dxa"/>
          </w:tcPr>
          <w:p>
            <w:pPr>
              <w:spacing w:before="30" w:after="30" w:line="254" w:lineRule="auto"/>
              <w:jc w:val="right"/>
            </w:pPr>
            <w:r>
              <w:rPr>
                <w:rFonts w:ascii="Segoe UI" w:hAnsi="Segoe UI"/>
                <w:color w:val="1A1A1A"/>
                <w:sz w:val="17"/>
              </w:rPr>
              <w:t>₹40 lakh</w:t>
            </w:r>
          </w:p>
        </w:tc>
      </w:tr>
      <w:tr>
        <w:trPr>
          <w:cantSplit w:val="true"/>
        </w:trPr>
        <w:tc>
          <w:tcPr>
            <w:tcW w:w="2376" w:type="dxa"/>
          </w:tcPr>
          <w:p>
            <w:pPr>
              <w:spacing w:before="30" w:after="30" w:line="254" w:lineRule="auto"/>
            </w:pPr>
            <w:r>
              <w:rPr>
                <w:rFonts w:ascii="Segoe UI" w:hAnsi="Segoe UI"/>
                <w:color w:val="1A1A1A"/>
                <w:sz w:val="17"/>
              </w:rPr>
              <w:t>Three on-site specialists with equipment</w:t>
            </w:r>
          </w:p>
        </w:tc>
        <w:tc>
          <w:tcPr>
            <w:tcW w:w="5616" w:type="dxa"/>
          </w:tcPr>
          <w:p>
            <w:pPr>
              <w:spacing w:before="30" w:after="30" w:line="254" w:lineRule="auto"/>
            </w:pPr>
            <w:r>
              <w:rPr>
                <w:rFonts w:ascii="Segoe UI" w:hAnsi="Segoe UI"/>
                <w:color w:val="1A1A1A"/>
                <w:sz w:val="17"/>
              </w:rPr>
              <w:t>Three full-time specialists at DGIPR headquarters for the contracted period, with equipment, operating workflows and preparing review-ready output</w:t>
            </w:r>
          </w:p>
        </w:tc>
        <w:tc>
          <w:tcPr>
            <w:tcW w:w="1468" w:type="dxa"/>
          </w:tcPr>
          <w:p>
            <w:pPr>
              <w:spacing w:before="30" w:after="30" w:line="254" w:lineRule="auto"/>
              <w:jc w:val="right"/>
            </w:pPr>
            <w:r>
              <w:rPr>
                <w:rFonts w:ascii="Segoe UI" w:hAnsi="Segoe UI"/>
                <w:color w:val="1A1A1A"/>
                <w:sz w:val="17"/>
              </w:rPr>
              <w:t>₹34 lakh</w:t>
            </w:r>
          </w:p>
        </w:tc>
      </w:tr>
      <w:tr>
        <w:trPr>
          <w:cantSplit w:val="true"/>
        </w:trPr>
        <w:tc>
          <w:tcPr>
            <w:tcW w:w="2376" w:type="dxa"/>
          </w:tcPr>
          <w:p>
            <w:pPr>
              <w:spacing w:before="30" w:after="30" w:line="254" w:lineRule="auto"/>
            </w:pPr>
            <w:r>
              <w:rPr>
                <w:rFonts w:ascii="Segoe UI" w:hAnsi="Segoe UI"/>
                <w:color w:val="1A1A1A"/>
                <w:sz w:val="17"/>
              </w:rPr>
              <w:t>Support, maintenance and enhancements</w:t>
            </w:r>
          </w:p>
        </w:tc>
        <w:tc>
          <w:tcPr>
            <w:tcW w:w="5616" w:type="dxa"/>
          </w:tcPr>
          <w:p>
            <w:pPr>
              <w:spacing w:before="30" w:after="30" w:line="254" w:lineRule="auto"/>
            </w:pPr>
            <w:r>
              <w:rPr>
                <w:rFonts w:ascii="Segoe UI" w:hAnsi="Segoe UI"/>
                <w:color w:val="1A1A1A"/>
                <w:sz w:val="17"/>
              </w:rPr>
              <w:t>Corrective and preventive maintenance, defect resolution, security and compatibility updates, and approved enhancements under change control</w:t>
            </w:r>
          </w:p>
        </w:tc>
        <w:tc>
          <w:tcPr>
            <w:tcW w:w="1468" w:type="dxa"/>
          </w:tcPr>
          <w:p>
            <w:pPr>
              <w:spacing w:before="30" w:after="30" w:line="254" w:lineRule="auto"/>
              <w:jc w:val="right"/>
            </w:pPr>
            <w:r>
              <w:rPr>
                <w:rFonts w:ascii="Segoe UI" w:hAnsi="Segoe UI"/>
                <w:color w:val="1A1A1A"/>
                <w:sz w:val="17"/>
              </w:rPr>
              <w:t>₹36 lakh</w:t>
            </w:r>
          </w:p>
        </w:tc>
      </w:tr>
      <w:tr>
        <w:trPr>
          <w:cantSplit w:val="true"/>
        </w:trPr>
        <w:tc>
          <w:tcPr>
            <w:tcW w:w="2376" w:type="dxa"/>
          </w:tcPr>
          <w:p>
            <w:pPr>
              <w:spacing w:before="30" w:after="30" w:line="254" w:lineRule="auto"/>
            </w:pPr>
            <w:r>
              <w:rPr>
                <w:rFonts w:ascii="Segoe UI" w:hAnsi="Segoe UI"/>
                <w:color w:val="1A1A1A"/>
                <w:sz w:val="17"/>
              </w:rPr>
              <w:t>Governance, training and knowledge transfer</w:t>
            </w:r>
          </w:p>
        </w:tc>
        <w:tc>
          <w:tcPr>
            <w:tcW w:w="5616" w:type="dxa"/>
          </w:tcPr>
          <w:p>
            <w:pPr>
              <w:spacing w:before="30" w:after="30" w:line="254" w:lineRule="auto"/>
            </w:pPr>
            <w:r>
              <w:rPr>
                <w:rFonts w:ascii="Segoe UI" w:hAnsi="Segoe UI"/>
                <w:color w:val="1A1A1A"/>
                <w:sz w:val="17"/>
              </w:rPr>
              <w:t>Programme governance, reporting, role-based and administrator training, district orientation, documentation and handover</w:t>
            </w:r>
          </w:p>
        </w:tc>
        <w:tc>
          <w:tcPr>
            <w:tcW w:w="1468" w:type="dxa"/>
          </w:tcPr>
          <w:p>
            <w:pPr>
              <w:spacing w:before="30" w:after="30" w:line="254" w:lineRule="auto"/>
              <w:jc w:val="right"/>
            </w:pPr>
            <w:r>
              <w:rPr>
                <w:rFonts w:ascii="Segoe UI" w:hAnsi="Segoe UI"/>
                <w:color w:val="1A1A1A"/>
                <w:sz w:val="17"/>
              </w:rPr>
              <w:t>₹18 lakh</w:t>
            </w:r>
          </w:p>
        </w:tc>
      </w:tr>
      <w:tr>
        <w:trPr>
          <w:cantSplit w:val="true"/>
        </w:trPr>
        <w:tc>
          <w:tcPr>
            <w:tcW w:w="2376" w:type="dxa"/>
          </w:tcPr>
          <w:p>
            <w:pPr>
              <w:spacing w:before="30" w:after="30" w:line="254" w:lineRule="auto"/>
            </w:pPr>
            <w:r>
              <w:rPr>
                <w:rFonts w:ascii="Segoe UI" w:hAnsi="Segoe UI"/>
                <w:color w:val="1A1A1A"/>
                <w:sz w:val="17"/>
              </w:rPr>
              <w:t>Change and contingency reserve</w:t>
            </w:r>
          </w:p>
        </w:tc>
        <w:tc>
          <w:tcPr>
            <w:tcW w:w="5616" w:type="dxa"/>
          </w:tcPr>
          <w:p>
            <w:pPr>
              <w:spacing w:before="30" w:after="30" w:line="254" w:lineRule="auto"/>
            </w:pPr>
            <w:r>
              <w:rPr>
                <w:rFonts w:ascii="Segoe UI" w:hAnsi="Segoe UI"/>
                <w:color w:val="1A1A1A"/>
                <w:sz w:val="17"/>
              </w:rPr>
              <w:t>Provision for usage variation, approved scope changes and unforeseen delivery requirements</w:t>
            </w:r>
          </w:p>
        </w:tc>
        <w:tc>
          <w:tcPr>
            <w:tcW w:w="1468" w:type="dxa"/>
          </w:tcPr>
          <w:p>
            <w:pPr>
              <w:spacing w:before="30" w:after="30" w:line="254" w:lineRule="auto"/>
              <w:jc w:val="right"/>
            </w:pPr>
            <w:r>
              <w:rPr>
                <w:rFonts w:ascii="Segoe UI" w:hAnsi="Segoe UI"/>
                <w:color w:val="1A1A1A"/>
                <w:sz w:val="17"/>
              </w:rPr>
              <w:t>₹17 lakh</w:t>
            </w:r>
          </w:p>
        </w:tc>
      </w:tr>
      <w:tr>
        <w:trPr>
          <w:cantSplit w:val="true"/>
        </w:trPr>
        <w:tc>
          <w:tcPr>
            <w:shd w:val="clear" w:fill="EEF4EF"/>
            <w:tcW w:w="2376" w:type="dxa"/>
          </w:tcPr>
          <w:p>
            <w:pPr>
              <w:spacing w:before="30" w:after="30" w:line="254" w:lineRule="auto"/>
            </w:pPr>
            <w:r>
              <w:rPr>
                <w:rFonts w:ascii="Segoe UI" w:hAnsi="Segoe UI"/>
                <w:b/>
                <w:color w:val="1A1A1A"/>
                <w:sz w:val="17"/>
              </w:rPr>
              <w:t>Subtotal — run and operate</w:t>
            </w:r>
          </w:p>
        </w:tc>
        <w:tc>
          <w:tcPr>
            <w:shd w:val="clear" w:fill="EEF4EF"/>
            <w:tcW w:w="5616" w:type="dxa"/>
          </w:tcPr>
          <w:p>
            <w:pPr>
              <w:spacing w:before="30" w:after="30" w:line="254" w:lineRule="auto"/>
            </w:pPr>
            <w:r>
              <w:rPr>
                <w:rFonts w:ascii="Segoe UI" w:hAnsi="Segoe UI"/>
                <w:b/>
                <w:color w:val="1A1A1A"/>
                <w:sz w:val="17"/>
              </w:rPr>
            </w:r>
          </w:p>
        </w:tc>
        <w:tc>
          <w:tcPr>
            <w:shd w:val="clear" w:fill="EEF4EF"/>
            <w:tcW w:w="1468" w:type="dxa"/>
          </w:tcPr>
          <w:p>
            <w:pPr>
              <w:spacing w:before="30" w:after="30" w:line="254" w:lineRule="auto"/>
              <w:jc w:val="right"/>
            </w:pPr>
            <w:r>
              <w:rPr>
                <w:rFonts w:ascii="Segoe UI" w:hAnsi="Segoe UI"/>
                <w:b/>
                <w:color w:val="1A1A1A"/>
                <w:sz w:val="17"/>
              </w:rPr>
              <w:t>₹2.35 crore</w:t>
            </w:r>
          </w:p>
        </w:tc>
      </w:tr>
    </w:tbl>
    <w:p>
      <w:pPr>
        <w:spacing w:after="80"/>
      </w:pPr>
    </w:p>
    <w:p>
      <w:pPr>
        <w:pStyle w:val="Heading1"/>
        <w:pBdr>
          <w:bottom w:val="single" w:sz="8" w:space="4" w:color="14532D"/>
        </w:pBdr>
      </w:pPr>
      <w:r>
        <w:t>Part 6  ·  Delivery waves</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015"/>
        <w:gridCol w:w="1224"/>
        <w:gridCol w:w="2476"/>
        <w:gridCol w:w="3744"/>
      </w:tblGrid>
      <w:tr>
        <w:trPr>
          <w:cantSplit w:val="true"/>
          <w:tblHeader w:val="true"/>
        </w:trPr>
        <w:tc>
          <w:tcPr>
            <w:shd w:val="clear" w:fill="14532D"/>
            <w:tcW w:w="2015" w:type="dxa"/>
          </w:tcPr>
          <w:p>
            <w:pPr>
              <w:spacing w:before="30" w:after="30" w:line="254" w:lineRule="auto"/>
            </w:pPr>
            <w:r>
              <w:rPr>
                <w:rFonts w:ascii="Segoe UI" w:hAnsi="Segoe UI"/>
                <w:b/>
                <w:color w:val="FFFFFF"/>
                <w:sz w:val="17"/>
              </w:rPr>
              <w:t>Wave</w:t>
            </w:r>
          </w:p>
        </w:tc>
        <w:tc>
          <w:tcPr>
            <w:shd w:val="clear" w:fill="14532D"/>
            <w:tcW w:w="1224" w:type="dxa"/>
          </w:tcPr>
          <w:p>
            <w:pPr>
              <w:spacing w:before="30" w:after="30" w:line="254" w:lineRule="auto"/>
            </w:pPr>
            <w:r>
              <w:rPr>
                <w:rFonts w:ascii="Segoe UI" w:hAnsi="Segoe UI"/>
                <w:b/>
                <w:color w:val="FFFFFF"/>
                <w:sz w:val="17"/>
              </w:rPr>
              <w:t>Period</w:t>
            </w:r>
          </w:p>
        </w:tc>
        <w:tc>
          <w:tcPr>
            <w:shd w:val="clear" w:fill="14532D"/>
            <w:tcW w:w="2476" w:type="dxa"/>
          </w:tcPr>
          <w:p>
            <w:pPr>
              <w:spacing w:before="30" w:after="30" w:line="254" w:lineRule="auto"/>
            </w:pPr>
            <w:r>
              <w:rPr>
                <w:rFonts w:ascii="Segoe UI" w:hAnsi="Segoe UI"/>
                <w:b/>
                <w:color w:val="FFFFFF"/>
                <w:sz w:val="17"/>
              </w:rPr>
              <w:t>Delivered</w:t>
            </w:r>
          </w:p>
        </w:tc>
        <w:tc>
          <w:tcPr>
            <w:shd w:val="clear" w:fill="14532D"/>
            <w:tcW w:w="3744" w:type="dxa"/>
          </w:tcPr>
          <w:p>
            <w:pPr>
              <w:spacing w:before="30" w:after="30" w:line="254" w:lineRule="auto"/>
            </w:pPr>
            <w:r>
              <w:rPr>
                <w:rFonts w:ascii="Segoe UI" w:hAnsi="Segoe UI"/>
                <w:b/>
                <w:color w:val="FFFFFF"/>
                <w:sz w:val="17"/>
              </w:rPr>
              <w:t>Department position</w:t>
            </w:r>
          </w:p>
        </w:tc>
      </w:tr>
      <w:tr>
        <w:trPr>
          <w:cantSplit w:val="true"/>
        </w:trPr>
        <w:tc>
          <w:tcPr>
            <w:tcW w:w="2015" w:type="dxa"/>
          </w:tcPr>
          <w:p>
            <w:pPr>
              <w:spacing w:before="30" w:after="30" w:line="254" w:lineRule="auto"/>
            </w:pPr>
            <w:r>
              <w:rPr>
                <w:rFonts w:ascii="Segoe UI" w:hAnsi="Segoe UI"/>
                <w:color w:val="1A1A1A"/>
                <w:sz w:val="17"/>
              </w:rPr>
              <w:t>Wave 1 — Foundation</w:t>
            </w:r>
          </w:p>
        </w:tc>
        <w:tc>
          <w:tcPr>
            <w:tcW w:w="1224" w:type="dxa"/>
          </w:tcPr>
          <w:p>
            <w:pPr>
              <w:spacing w:before="30" w:after="30" w:line="254" w:lineRule="auto"/>
            </w:pPr>
            <w:r>
              <w:rPr>
                <w:rFonts w:ascii="Segoe UI" w:hAnsi="Segoe UI"/>
                <w:color w:val="1A1A1A"/>
                <w:sz w:val="17"/>
              </w:rPr>
              <w:t>Months 1–3</w:t>
            </w:r>
          </w:p>
        </w:tc>
        <w:tc>
          <w:tcPr>
            <w:tcW w:w="2476" w:type="dxa"/>
          </w:tcPr>
          <w:p>
            <w:pPr>
              <w:spacing w:before="30" w:after="30" w:line="254" w:lineRule="auto"/>
            </w:pPr>
            <w:r>
              <w:rPr>
                <w:rFonts w:ascii="Segoe UI" w:hAnsi="Segoe UI"/>
                <w:color w:val="1A1A1A"/>
                <w:sz w:val="17"/>
              </w:rPr>
              <w:t>Pillars 1 and 2; Pillar 3 editorial core</w:t>
            </w:r>
          </w:p>
        </w:tc>
        <w:tc>
          <w:tcPr>
            <w:tcW w:w="3744" w:type="dxa"/>
          </w:tcPr>
          <w:p>
            <w:pPr>
              <w:spacing w:before="30" w:after="30" w:line="254" w:lineRule="auto"/>
            </w:pPr>
            <w:r>
              <w:rPr>
                <w:rFonts w:ascii="Segoe UI" w:hAnsi="Segoe UI"/>
                <w:color w:val="1A1A1A"/>
                <w:sz w:val="17"/>
              </w:rPr>
              <w:t>Workspace live; sources accepted and searchable; Marathi article production in use</w:t>
            </w:r>
          </w:p>
        </w:tc>
      </w:tr>
      <w:tr>
        <w:trPr>
          <w:cantSplit w:val="true"/>
        </w:trPr>
        <w:tc>
          <w:tcPr>
            <w:tcW w:w="2015" w:type="dxa"/>
          </w:tcPr>
          <w:p>
            <w:pPr>
              <w:spacing w:before="30" w:after="30" w:line="254" w:lineRule="auto"/>
            </w:pPr>
            <w:r>
              <w:rPr>
                <w:rFonts w:ascii="Segoe UI" w:hAnsi="Segoe UI"/>
                <w:color w:val="1A1A1A"/>
                <w:sz w:val="17"/>
              </w:rPr>
              <w:t>Wave 2 — Reach and visuals</w:t>
            </w:r>
          </w:p>
        </w:tc>
        <w:tc>
          <w:tcPr>
            <w:tcW w:w="1224" w:type="dxa"/>
          </w:tcPr>
          <w:p>
            <w:pPr>
              <w:spacing w:before="30" w:after="30" w:line="254" w:lineRule="auto"/>
            </w:pPr>
            <w:r>
              <w:rPr>
                <w:rFonts w:ascii="Segoe UI" w:hAnsi="Segoe UI"/>
                <w:color w:val="1A1A1A"/>
                <w:sz w:val="17"/>
              </w:rPr>
              <w:t>Months 4–7</w:t>
            </w:r>
          </w:p>
        </w:tc>
        <w:tc>
          <w:tcPr>
            <w:tcW w:w="2476" w:type="dxa"/>
          </w:tcPr>
          <w:p>
            <w:pPr>
              <w:spacing w:before="30" w:after="30" w:line="254" w:lineRule="auto"/>
            </w:pPr>
            <w:r>
              <w:rPr>
                <w:rFonts w:ascii="Segoe UI" w:hAnsi="Segoe UI"/>
                <w:color w:val="1A1A1A"/>
                <w:sz w:val="17"/>
              </w:rPr>
              <w:t>Pillar 3 multilingual desk; Pillar 4</w:t>
            </w:r>
          </w:p>
        </w:tc>
        <w:tc>
          <w:tcPr>
            <w:tcW w:w="3744" w:type="dxa"/>
          </w:tcPr>
          <w:p>
            <w:pPr>
              <w:spacing w:before="30" w:after="30" w:line="254" w:lineRule="auto"/>
            </w:pPr>
            <w:r>
              <w:rPr>
                <w:rFonts w:ascii="Segoe UI" w:hAnsi="Segoe UI"/>
                <w:color w:val="1A1A1A"/>
                <w:sz w:val="17"/>
              </w:rPr>
              <w:t>Nine-language output; posters, motion creatives, explainer films and direct publishing</w:t>
            </w:r>
          </w:p>
        </w:tc>
      </w:tr>
      <w:tr>
        <w:trPr>
          <w:cantSplit w:val="true"/>
        </w:trPr>
        <w:tc>
          <w:tcPr>
            <w:tcW w:w="2015" w:type="dxa"/>
          </w:tcPr>
          <w:p>
            <w:pPr>
              <w:spacing w:before="30" w:after="30" w:line="254" w:lineRule="auto"/>
            </w:pPr>
            <w:r>
              <w:rPr>
                <w:rFonts w:ascii="Segoe UI" w:hAnsi="Segoe UI"/>
                <w:color w:val="1A1A1A"/>
                <w:sz w:val="17"/>
              </w:rPr>
              <w:t>Wave 3 — Monitoring</w:t>
            </w:r>
          </w:p>
        </w:tc>
        <w:tc>
          <w:tcPr>
            <w:tcW w:w="1224" w:type="dxa"/>
          </w:tcPr>
          <w:p>
            <w:pPr>
              <w:spacing w:before="30" w:after="30" w:line="254" w:lineRule="auto"/>
            </w:pPr>
            <w:r>
              <w:rPr>
                <w:rFonts w:ascii="Segoe UI" w:hAnsi="Segoe UI"/>
                <w:color w:val="1A1A1A"/>
                <w:sz w:val="17"/>
              </w:rPr>
              <w:t>Months 8–10</w:t>
            </w:r>
          </w:p>
        </w:tc>
        <w:tc>
          <w:tcPr>
            <w:tcW w:w="2476" w:type="dxa"/>
          </w:tcPr>
          <w:p>
            <w:pPr>
              <w:spacing w:before="30" w:after="30" w:line="254" w:lineRule="auto"/>
            </w:pPr>
            <w:r>
              <w:rPr>
                <w:rFonts w:ascii="Segoe UI" w:hAnsi="Segoe UI"/>
                <w:color w:val="1A1A1A"/>
                <w:sz w:val="17"/>
              </w:rPr>
              <w:t>Pillar 5</w:t>
            </w:r>
          </w:p>
        </w:tc>
        <w:tc>
          <w:tcPr>
            <w:tcW w:w="3744" w:type="dxa"/>
          </w:tcPr>
          <w:p>
            <w:pPr>
              <w:spacing w:before="30" w:after="30" w:line="254" w:lineRule="auto"/>
            </w:pPr>
            <w:r>
              <w:rPr>
                <w:rFonts w:ascii="Segoe UI" w:hAnsi="Segoe UI"/>
                <w:color w:val="1A1A1A"/>
                <w:sz w:val="17"/>
              </w:rPr>
              <w:t>Daily press monitoring, searchable coverage archive and departmental usage reporting</w:t>
            </w:r>
          </w:p>
        </w:tc>
      </w:tr>
      <w:tr>
        <w:trPr>
          <w:cantSplit w:val="true"/>
        </w:trPr>
        <w:tc>
          <w:tcPr>
            <w:tcW w:w="2015" w:type="dxa"/>
          </w:tcPr>
          <w:p>
            <w:pPr>
              <w:spacing w:before="30" w:after="30" w:line="254" w:lineRule="auto"/>
            </w:pPr>
            <w:r>
              <w:rPr>
                <w:rFonts w:ascii="Segoe UI" w:hAnsi="Segoe UI"/>
                <w:color w:val="1A1A1A"/>
                <w:sz w:val="17"/>
              </w:rPr>
              <w:t>Wave 4 — Consolidation</w:t>
            </w:r>
          </w:p>
        </w:tc>
        <w:tc>
          <w:tcPr>
            <w:tcW w:w="1224" w:type="dxa"/>
          </w:tcPr>
          <w:p>
            <w:pPr>
              <w:spacing w:before="30" w:after="30" w:line="254" w:lineRule="auto"/>
            </w:pPr>
            <w:r>
              <w:rPr>
                <w:rFonts w:ascii="Segoe UI" w:hAnsi="Segoe UI"/>
                <w:color w:val="1A1A1A"/>
                <w:sz w:val="17"/>
              </w:rPr>
              <w:t>Months 11–12</w:t>
            </w:r>
          </w:p>
        </w:tc>
        <w:tc>
          <w:tcPr>
            <w:tcW w:w="2476" w:type="dxa"/>
          </w:tcPr>
          <w:p>
            <w:pPr>
              <w:spacing w:before="30" w:after="30" w:line="254" w:lineRule="auto"/>
            </w:pPr>
            <w:r>
              <w:rPr>
                <w:rFonts w:ascii="Segoe UI" w:hAnsi="Segoe UI"/>
                <w:color w:val="1A1A1A"/>
                <w:sz w:val="17"/>
              </w:rPr>
              <w:t>Stabilisation, district rollout, handover</w:t>
            </w:r>
          </w:p>
        </w:tc>
        <w:tc>
          <w:tcPr>
            <w:tcW w:w="3744" w:type="dxa"/>
          </w:tcPr>
          <w:p>
            <w:pPr>
              <w:spacing w:before="30" w:after="30" w:line="254" w:lineRule="auto"/>
            </w:pPr>
            <w:r>
              <w:rPr>
                <w:rFonts w:ascii="Segoe UI" w:hAnsi="Segoe UI"/>
                <w:color w:val="1A1A1A"/>
                <w:sz w:val="17"/>
              </w:rPr>
              <w:t>Statewide use, documented operations and completed knowledge transfer</w:t>
            </w:r>
          </w:p>
        </w:tc>
      </w:tr>
    </w:tbl>
    <w:p>
      <w:pPr>
        <w:spacing w:after="80"/>
      </w:pPr>
    </w:p>
    <w:p>
      <w:pPr>
        <w:pStyle w:val="Heading1"/>
        <w:pBdr>
          <w:bottom w:val="single" w:sz="8" w:space="4" w:color="14532D"/>
        </w:pBdr>
      </w:pPr>
      <w:r>
        <w:t>Part 7  ·  Investment summary</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448"/>
        <w:gridCol w:w="5544"/>
        <w:gridCol w:w="1468"/>
      </w:tblGrid>
      <w:tr>
        <w:trPr>
          <w:cantSplit w:val="true"/>
          <w:tblHeader w:val="true"/>
        </w:trPr>
        <w:tc>
          <w:tcPr>
            <w:shd w:val="clear" w:fill="14532D"/>
            <w:tcW w:w="2448" w:type="dxa"/>
          </w:tcPr>
          <w:p>
            <w:pPr>
              <w:spacing w:before="30" w:after="30" w:line="254" w:lineRule="auto"/>
            </w:pPr>
            <w:r>
              <w:rPr>
                <w:rFonts w:ascii="Segoe UI" w:hAnsi="Segoe UI"/>
                <w:b/>
                <w:color w:val="FFFFFF"/>
                <w:sz w:val="19"/>
              </w:rPr>
              <w:t>Head</w:t>
            </w:r>
          </w:p>
        </w:tc>
        <w:tc>
          <w:tcPr>
            <w:shd w:val="clear" w:fill="14532D"/>
            <w:tcW w:w="5544" w:type="dxa"/>
          </w:tcPr>
          <w:p>
            <w:pPr>
              <w:spacing w:before="30" w:after="30" w:line="254" w:lineRule="auto"/>
            </w:pPr>
            <w:r>
              <w:rPr>
                <w:rFonts w:ascii="Segoe UI" w:hAnsi="Segoe UI"/>
                <w:b/>
                <w:color w:val="FFFFFF"/>
                <w:sz w:val="19"/>
              </w:rPr>
              <w:t>Coverage</w:t>
            </w:r>
          </w:p>
        </w:tc>
        <w:tc>
          <w:tcPr>
            <w:shd w:val="clear" w:fill="14532D"/>
            <w:tcW w:w="1468" w:type="dxa"/>
          </w:tcPr>
          <w:p>
            <w:pPr>
              <w:spacing w:before="30" w:after="30" w:line="254" w:lineRule="auto"/>
              <w:jc w:val="right"/>
            </w:pPr>
            <w:r>
              <w:rPr>
                <w:rFonts w:ascii="Segoe UI" w:hAnsi="Segoe UI"/>
                <w:b/>
                <w:color w:val="FFFFFF"/>
                <w:sz w:val="19"/>
              </w:rPr>
              <w:t>Investment</w:t>
            </w:r>
          </w:p>
        </w:tc>
      </w:tr>
      <w:tr>
        <w:trPr>
          <w:cantSplit w:val="true"/>
        </w:trPr>
        <w:tc>
          <w:tcPr>
            <w:tcW w:w="2448" w:type="dxa"/>
          </w:tcPr>
          <w:p>
            <w:pPr>
              <w:spacing w:before="30" w:after="30" w:line="254" w:lineRule="auto"/>
            </w:pPr>
            <w:r>
              <w:rPr>
                <w:rFonts w:ascii="Segoe UI" w:hAnsi="Segoe UI"/>
                <w:color w:val="1A1A1A"/>
                <w:sz w:val="19"/>
              </w:rPr>
              <w:t>Solution pillars</w:t>
            </w:r>
          </w:p>
        </w:tc>
        <w:tc>
          <w:tcPr>
            <w:tcW w:w="5544" w:type="dxa"/>
          </w:tcPr>
          <w:p>
            <w:pPr>
              <w:spacing w:before="30" w:after="30" w:line="254" w:lineRule="auto"/>
            </w:pPr>
            <w:r>
              <w:rPr>
                <w:rFonts w:ascii="Segoe UI" w:hAnsi="Segoe UI"/>
                <w:color w:val="1A1A1A"/>
                <w:sz w:val="19"/>
              </w:rPr>
              <w:t>Five pillars (Part 4)</w:t>
            </w:r>
          </w:p>
        </w:tc>
        <w:tc>
          <w:tcPr>
            <w:tcW w:w="1468" w:type="dxa"/>
          </w:tcPr>
          <w:p>
            <w:pPr>
              <w:spacing w:before="30" w:after="30" w:line="254" w:lineRule="auto"/>
              <w:jc w:val="right"/>
            </w:pPr>
            <w:r>
              <w:rPr>
                <w:rFonts w:ascii="Segoe UI" w:hAnsi="Segoe UI"/>
                <w:color w:val="1A1A1A"/>
                <w:sz w:val="19"/>
              </w:rPr>
              <w:t>₹4.65 crore</w:t>
            </w:r>
          </w:p>
        </w:tc>
      </w:tr>
      <w:tr>
        <w:trPr>
          <w:cantSplit w:val="true"/>
        </w:trPr>
        <w:tc>
          <w:tcPr>
            <w:tcW w:w="2448" w:type="dxa"/>
          </w:tcPr>
          <w:p>
            <w:pPr>
              <w:spacing w:before="30" w:after="30" w:line="254" w:lineRule="auto"/>
            </w:pPr>
            <w:r>
              <w:rPr>
                <w:rFonts w:ascii="Segoe UI" w:hAnsi="Segoe UI"/>
                <w:color w:val="1A1A1A"/>
                <w:sz w:val="19"/>
              </w:rPr>
              <w:t>Run and operate</w:t>
            </w:r>
          </w:p>
        </w:tc>
        <w:tc>
          <w:tcPr>
            <w:tcW w:w="5544" w:type="dxa"/>
          </w:tcPr>
          <w:p>
            <w:pPr>
              <w:spacing w:before="30" w:after="30" w:line="254" w:lineRule="auto"/>
            </w:pPr>
            <w:r>
              <w:rPr>
                <w:rFonts w:ascii="Segoe UI" w:hAnsi="Segoe UI"/>
                <w:color w:val="1A1A1A"/>
                <w:sz w:val="19"/>
              </w:rPr>
              <w:t>Twelve-month operation and support (Part 5)</w:t>
            </w:r>
          </w:p>
        </w:tc>
        <w:tc>
          <w:tcPr>
            <w:tcW w:w="1468" w:type="dxa"/>
          </w:tcPr>
          <w:p>
            <w:pPr>
              <w:spacing w:before="30" w:after="30" w:line="254" w:lineRule="auto"/>
              <w:jc w:val="right"/>
            </w:pPr>
            <w:r>
              <w:rPr>
                <w:rFonts w:ascii="Segoe UI" w:hAnsi="Segoe UI"/>
                <w:color w:val="1A1A1A"/>
                <w:sz w:val="19"/>
              </w:rPr>
              <w:t>₹2.35 crore</w:t>
            </w:r>
          </w:p>
        </w:tc>
      </w:tr>
      <w:tr>
        <w:trPr>
          <w:cantSplit w:val="true"/>
        </w:trPr>
        <w:tc>
          <w:tcPr>
            <w:shd w:val="clear" w:fill="EEF4EF"/>
            <w:tcW w:w="2448" w:type="dxa"/>
          </w:tcPr>
          <w:p>
            <w:pPr>
              <w:spacing w:before="30" w:after="30" w:line="254" w:lineRule="auto"/>
            </w:pPr>
            <w:r>
              <w:rPr>
                <w:rFonts w:ascii="Segoe UI" w:hAnsi="Segoe UI"/>
                <w:b/>
                <w:color w:val="1A1A1A"/>
                <w:sz w:val="19"/>
              </w:rPr>
              <w:t>Total investment</w:t>
            </w:r>
          </w:p>
        </w:tc>
        <w:tc>
          <w:tcPr>
            <w:shd w:val="clear" w:fill="EEF4EF"/>
            <w:tcW w:w="5544" w:type="dxa"/>
          </w:tcPr>
          <w:p>
            <w:pPr>
              <w:spacing w:before="30" w:after="30" w:line="254" w:lineRule="auto"/>
            </w:pPr>
            <w:r>
              <w:rPr>
                <w:rFonts w:ascii="Segoe UI" w:hAnsi="Segoe UI"/>
                <w:b/>
                <w:color w:val="1A1A1A"/>
                <w:sz w:val="19"/>
              </w:rPr>
              <w:t>Complete AI NewsRoom for twelve months</w:t>
            </w:r>
          </w:p>
        </w:tc>
        <w:tc>
          <w:tcPr>
            <w:shd w:val="clear" w:fill="EEF4EF"/>
            <w:tcW w:w="1468" w:type="dxa"/>
          </w:tcPr>
          <w:p>
            <w:pPr>
              <w:spacing w:before="30" w:after="30" w:line="254" w:lineRule="auto"/>
              <w:jc w:val="right"/>
            </w:pPr>
            <w:r>
              <w:rPr>
                <w:rFonts w:ascii="Segoe UI" w:hAnsi="Segoe UI"/>
                <w:b/>
                <w:color w:val="1A1A1A"/>
                <w:sz w:val="19"/>
              </w:rPr>
              <w:t>₹7.00 crore</w:t>
            </w:r>
          </w:p>
        </w:tc>
      </w:tr>
    </w:tbl>
    <w:p>
      <w:pPr>
        <w:spacing w:after="80"/>
      </w:pPr>
    </w:p>
    <w:p>
      <w:pPr>
        <w:pStyle w:val="Heading2"/>
      </w:pPr>
      <w:r>
        <w:t>Payment milestones</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2015"/>
        <w:gridCol w:w="5976"/>
        <w:gridCol w:w="1468"/>
      </w:tblGrid>
      <w:tr>
        <w:trPr>
          <w:cantSplit w:val="true"/>
          <w:tblHeader w:val="true"/>
        </w:trPr>
        <w:tc>
          <w:tcPr>
            <w:shd w:val="clear" w:fill="14532D"/>
            <w:tcW w:w="2015" w:type="dxa"/>
          </w:tcPr>
          <w:p>
            <w:pPr>
              <w:spacing w:before="30" w:after="30" w:line="254" w:lineRule="auto"/>
            </w:pPr>
            <w:r>
              <w:rPr>
                <w:rFonts w:ascii="Segoe UI" w:hAnsi="Segoe UI"/>
                <w:b/>
                <w:color w:val="FFFFFF"/>
                <w:sz w:val="19"/>
              </w:rPr>
              <w:t>Stage</w:t>
            </w:r>
          </w:p>
        </w:tc>
        <w:tc>
          <w:tcPr>
            <w:shd w:val="clear" w:fill="14532D"/>
            <w:tcW w:w="5976" w:type="dxa"/>
          </w:tcPr>
          <w:p>
            <w:pPr>
              <w:spacing w:before="30" w:after="30" w:line="254" w:lineRule="auto"/>
            </w:pPr>
            <w:r>
              <w:rPr>
                <w:rFonts w:ascii="Segoe UI" w:hAnsi="Segoe UI"/>
                <w:b/>
                <w:color w:val="FFFFFF"/>
                <w:sz w:val="19"/>
              </w:rPr>
              <w:t>Trigger</w:t>
            </w:r>
          </w:p>
        </w:tc>
        <w:tc>
          <w:tcPr>
            <w:shd w:val="clear" w:fill="14532D"/>
            <w:tcW w:w="1468" w:type="dxa"/>
          </w:tcPr>
          <w:p>
            <w:pPr>
              <w:spacing w:before="30" w:after="30" w:line="254" w:lineRule="auto"/>
              <w:jc w:val="right"/>
            </w:pPr>
            <w:r>
              <w:rPr>
                <w:rFonts w:ascii="Segoe UI" w:hAnsi="Segoe UI"/>
                <w:b/>
                <w:color w:val="FFFFFF"/>
                <w:sz w:val="19"/>
              </w:rPr>
              <w:t>Amount</w:t>
            </w:r>
          </w:p>
        </w:tc>
      </w:tr>
      <w:tr>
        <w:trPr>
          <w:cantSplit w:val="true"/>
        </w:trPr>
        <w:tc>
          <w:tcPr>
            <w:tcW w:w="2015" w:type="dxa"/>
          </w:tcPr>
          <w:p>
            <w:pPr>
              <w:spacing w:before="30" w:after="30" w:line="254" w:lineRule="auto"/>
            </w:pPr>
            <w:r>
              <w:rPr>
                <w:rFonts w:ascii="Segoe UI" w:hAnsi="Segoe UI"/>
                <w:color w:val="1A1A1A"/>
                <w:sz w:val="19"/>
              </w:rPr>
              <w:t>On work order</w:t>
            </w:r>
          </w:p>
        </w:tc>
        <w:tc>
          <w:tcPr>
            <w:tcW w:w="5976" w:type="dxa"/>
          </w:tcPr>
          <w:p>
            <w:pPr>
              <w:spacing w:before="30" w:after="30" w:line="254" w:lineRule="auto"/>
            </w:pPr>
            <w:r>
              <w:rPr>
                <w:rFonts w:ascii="Segoe UI" w:hAnsi="Segoe UI"/>
                <w:color w:val="1A1A1A"/>
                <w:sz w:val="19"/>
              </w:rPr>
              <w:t>Mobilisation and environment provisioning</w:t>
            </w:r>
          </w:p>
        </w:tc>
        <w:tc>
          <w:tcPr>
            <w:tcW w:w="1468" w:type="dxa"/>
          </w:tcPr>
          <w:p>
            <w:pPr>
              <w:spacing w:before="30" w:after="30" w:line="254" w:lineRule="auto"/>
              <w:jc w:val="right"/>
            </w:pPr>
            <w:r>
              <w:rPr>
                <w:rFonts w:ascii="Segoe UI" w:hAnsi="Segoe UI"/>
                <w:color w:val="1A1A1A"/>
                <w:sz w:val="19"/>
              </w:rPr>
              <w:t>₹70 lakh</w:t>
            </w:r>
          </w:p>
        </w:tc>
      </w:tr>
      <w:tr>
        <w:trPr>
          <w:cantSplit w:val="true"/>
        </w:trPr>
        <w:tc>
          <w:tcPr>
            <w:tcW w:w="2015" w:type="dxa"/>
          </w:tcPr>
          <w:p>
            <w:pPr>
              <w:spacing w:before="30" w:after="30" w:line="254" w:lineRule="auto"/>
            </w:pPr>
            <w:r>
              <w:rPr>
                <w:rFonts w:ascii="Segoe UI" w:hAnsi="Segoe UI"/>
                <w:color w:val="1A1A1A"/>
                <w:sz w:val="19"/>
              </w:rPr>
              <w:t>Wave 1 acceptance</w:t>
            </w:r>
          </w:p>
        </w:tc>
        <w:tc>
          <w:tcPr>
            <w:tcW w:w="5976" w:type="dxa"/>
          </w:tcPr>
          <w:p>
            <w:pPr>
              <w:spacing w:before="30" w:after="30" w:line="254" w:lineRule="auto"/>
            </w:pPr>
            <w:r>
              <w:rPr>
                <w:rFonts w:ascii="Segoe UI" w:hAnsi="Segoe UI"/>
                <w:color w:val="1A1A1A"/>
                <w:sz w:val="19"/>
              </w:rPr>
              <w:t>Pillars 1 and 2 and the editorial core accepted</w:t>
            </w:r>
          </w:p>
        </w:tc>
        <w:tc>
          <w:tcPr>
            <w:tcW w:w="1468" w:type="dxa"/>
          </w:tcPr>
          <w:p>
            <w:pPr>
              <w:spacing w:before="30" w:after="30" w:line="254" w:lineRule="auto"/>
              <w:jc w:val="right"/>
            </w:pPr>
            <w:r>
              <w:rPr>
                <w:rFonts w:ascii="Segoe UI" w:hAnsi="Segoe UI"/>
                <w:color w:val="1A1A1A"/>
                <w:sz w:val="19"/>
              </w:rPr>
              <w:t>₹1.85 crore</w:t>
            </w:r>
          </w:p>
        </w:tc>
      </w:tr>
      <w:tr>
        <w:trPr>
          <w:cantSplit w:val="true"/>
        </w:trPr>
        <w:tc>
          <w:tcPr>
            <w:tcW w:w="2015" w:type="dxa"/>
          </w:tcPr>
          <w:p>
            <w:pPr>
              <w:spacing w:before="30" w:after="30" w:line="254" w:lineRule="auto"/>
            </w:pPr>
            <w:r>
              <w:rPr>
                <w:rFonts w:ascii="Segoe UI" w:hAnsi="Segoe UI"/>
                <w:color w:val="1A1A1A"/>
                <w:sz w:val="19"/>
              </w:rPr>
              <w:t>Wave 2 acceptance</w:t>
            </w:r>
          </w:p>
        </w:tc>
        <w:tc>
          <w:tcPr>
            <w:tcW w:w="5976" w:type="dxa"/>
          </w:tcPr>
          <w:p>
            <w:pPr>
              <w:spacing w:before="30" w:after="30" w:line="254" w:lineRule="auto"/>
            </w:pPr>
            <w:r>
              <w:rPr>
                <w:rFonts w:ascii="Segoe UI" w:hAnsi="Segoe UI"/>
                <w:color w:val="1A1A1A"/>
                <w:sz w:val="19"/>
              </w:rPr>
              <w:t>Multilingual desk and visual and motion communication accepted</w:t>
            </w:r>
          </w:p>
        </w:tc>
        <w:tc>
          <w:tcPr>
            <w:tcW w:w="1468" w:type="dxa"/>
          </w:tcPr>
          <w:p>
            <w:pPr>
              <w:spacing w:before="30" w:after="30" w:line="254" w:lineRule="auto"/>
              <w:jc w:val="right"/>
            </w:pPr>
            <w:r>
              <w:rPr>
                <w:rFonts w:ascii="Segoe UI" w:hAnsi="Segoe UI"/>
                <w:color w:val="1A1A1A"/>
                <w:sz w:val="19"/>
              </w:rPr>
              <w:t>₹1.75 crore</w:t>
            </w:r>
          </w:p>
        </w:tc>
      </w:tr>
      <w:tr>
        <w:trPr>
          <w:cantSplit w:val="true"/>
        </w:trPr>
        <w:tc>
          <w:tcPr>
            <w:tcW w:w="2015" w:type="dxa"/>
          </w:tcPr>
          <w:p>
            <w:pPr>
              <w:spacing w:before="30" w:after="30" w:line="254" w:lineRule="auto"/>
            </w:pPr>
            <w:r>
              <w:rPr>
                <w:rFonts w:ascii="Segoe UI" w:hAnsi="Segoe UI"/>
                <w:color w:val="1A1A1A"/>
                <w:sz w:val="19"/>
              </w:rPr>
              <w:t>Wave 3 acceptance</w:t>
            </w:r>
          </w:p>
        </w:tc>
        <w:tc>
          <w:tcPr>
            <w:tcW w:w="5976" w:type="dxa"/>
          </w:tcPr>
          <w:p>
            <w:pPr>
              <w:spacing w:before="30" w:after="30" w:line="254" w:lineRule="auto"/>
            </w:pPr>
            <w:r>
              <w:rPr>
                <w:rFonts w:ascii="Segoe UI" w:hAnsi="Segoe UI"/>
                <w:color w:val="1A1A1A"/>
                <w:sz w:val="19"/>
              </w:rPr>
              <w:t>Press monitoring and reporting accepted</w:t>
            </w:r>
          </w:p>
        </w:tc>
        <w:tc>
          <w:tcPr>
            <w:tcW w:w="1468" w:type="dxa"/>
          </w:tcPr>
          <w:p>
            <w:pPr>
              <w:spacing w:before="30" w:after="30" w:line="254" w:lineRule="auto"/>
              <w:jc w:val="right"/>
            </w:pPr>
            <w:r>
              <w:rPr>
                <w:rFonts w:ascii="Segoe UI" w:hAnsi="Segoe UI"/>
                <w:color w:val="1A1A1A"/>
                <w:sz w:val="19"/>
              </w:rPr>
              <w:t>₹65 lakh</w:t>
            </w:r>
          </w:p>
        </w:tc>
      </w:tr>
      <w:tr>
        <w:trPr>
          <w:cantSplit w:val="true"/>
        </w:trPr>
        <w:tc>
          <w:tcPr>
            <w:tcW w:w="2015" w:type="dxa"/>
          </w:tcPr>
          <w:p>
            <w:pPr>
              <w:spacing w:before="30" w:after="30" w:line="254" w:lineRule="auto"/>
            </w:pPr>
            <w:r>
              <w:rPr>
                <w:rFonts w:ascii="Segoe UI" w:hAnsi="Segoe UI"/>
                <w:color w:val="1A1A1A"/>
                <w:sz w:val="19"/>
              </w:rPr>
              <w:t>Wave 4 acceptance</w:t>
            </w:r>
          </w:p>
        </w:tc>
        <w:tc>
          <w:tcPr>
            <w:tcW w:w="5976" w:type="dxa"/>
          </w:tcPr>
          <w:p>
            <w:pPr>
              <w:spacing w:before="30" w:after="30" w:line="254" w:lineRule="auto"/>
            </w:pPr>
            <w:r>
              <w:rPr>
                <w:rFonts w:ascii="Segoe UI" w:hAnsi="Segoe UI"/>
                <w:color w:val="1A1A1A"/>
                <w:sz w:val="19"/>
              </w:rPr>
              <w:t>Statewide rollout, documentation and handover completed</w:t>
            </w:r>
          </w:p>
        </w:tc>
        <w:tc>
          <w:tcPr>
            <w:tcW w:w="1468" w:type="dxa"/>
          </w:tcPr>
          <w:p>
            <w:pPr>
              <w:spacing w:before="30" w:after="30" w:line="254" w:lineRule="auto"/>
              <w:jc w:val="right"/>
            </w:pPr>
            <w:r>
              <w:rPr>
                <w:rFonts w:ascii="Segoe UI" w:hAnsi="Segoe UI"/>
                <w:color w:val="1A1A1A"/>
                <w:sz w:val="19"/>
              </w:rPr>
              <w:t>₹35 lakh</w:t>
            </w:r>
          </w:p>
        </w:tc>
      </w:tr>
      <w:tr>
        <w:trPr>
          <w:cantSplit w:val="true"/>
        </w:trPr>
        <w:tc>
          <w:tcPr>
            <w:tcW w:w="2015" w:type="dxa"/>
          </w:tcPr>
          <w:p>
            <w:pPr>
              <w:spacing w:before="30" w:after="30" w:line="254" w:lineRule="auto"/>
            </w:pPr>
            <w:r>
              <w:rPr>
                <w:rFonts w:ascii="Segoe UI" w:hAnsi="Segoe UI"/>
                <w:color w:val="1A1A1A"/>
                <w:sz w:val="19"/>
              </w:rPr>
              <w:t>Run and operate</w:t>
            </w:r>
          </w:p>
        </w:tc>
        <w:tc>
          <w:tcPr>
            <w:tcW w:w="5976" w:type="dxa"/>
          </w:tcPr>
          <w:p>
            <w:pPr>
              <w:spacing w:before="30" w:after="30" w:line="254" w:lineRule="auto"/>
            </w:pPr>
            <w:r>
              <w:rPr>
                <w:rFonts w:ascii="Segoe UI" w:hAnsi="Segoe UI"/>
                <w:color w:val="1A1A1A"/>
                <w:sz w:val="19"/>
              </w:rPr>
              <w:t>Monthly, against the monthly service and consumption report</w:t>
            </w:r>
          </w:p>
        </w:tc>
        <w:tc>
          <w:tcPr>
            <w:tcW w:w="1468" w:type="dxa"/>
          </w:tcPr>
          <w:p>
            <w:pPr>
              <w:spacing w:before="30" w:after="30" w:line="254" w:lineRule="auto"/>
              <w:jc w:val="right"/>
            </w:pPr>
            <w:r>
              <w:rPr>
                <w:rFonts w:ascii="Segoe UI" w:hAnsi="Segoe UI"/>
                <w:color w:val="1A1A1A"/>
                <w:sz w:val="19"/>
              </w:rPr>
              <w:t>₹1.70 crore</w:t>
            </w:r>
          </w:p>
        </w:tc>
      </w:tr>
      <w:tr>
        <w:trPr>
          <w:cantSplit w:val="true"/>
        </w:trPr>
        <w:tc>
          <w:tcPr>
            <w:shd w:val="clear" w:fill="EEF4EF"/>
            <w:tcW w:w="2015" w:type="dxa"/>
          </w:tcPr>
          <w:p>
            <w:pPr>
              <w:spacing w:before="30" w:after="30" w:line="254" w:lineRule="auto"/>
            </w:pPr>
            <w:r>
              <w:rPr>
                <w:rFonts w:ascii="Segoe UI" w:hAnsi="Segoe UI"/>
                <w:b/>
                <w:color w:val="1A1A1A"/>
                <w:sz w:val="19"/>
              </w:rPr>
              <w:t>Total</w:t>
            </w:r>
          </w:p>
        </w:tc>
        <w:tc>
          <w:tcPr>
            <w:shd w:val="clear" w:fill="EEF4EF"/>
            <w:tcW w:w="5976" w:type="dxa"/>
          </w:tcPr>
          <w:p>
            <w:pPr>
              <w:spacing w:before="30" w:after="30" w:line="254" w:lineRule="auto"/>
            </w:pPr>
            <w:r>
              <w:rPr>
                <w:rFonts w:ascii="Segoe UI" w:hAnsi="Segoe UI"/>
                <w:b/>
                <w:color w:val="1A1A1A"/>
                <w:sz w:val="19"/>
              </w:rPr>
            </w:r>
          </w:p>
        </w:tc>
        <w:tc>
          <w:tcPr>
            <w:shd w:val="clear" w:fill="EEF4EF"/>
            <w:tcW w:w="1468" w:type="dxa"/>
          </w:tcPr>
          <w:p>
            <w:pPr>
              <w:spacing w:before="30" w:after="30" w:line="254" w:lineRule="auto"/>
              <w:jc w:val="right"/>
            </w:pPr>
            <w:r>
              <w:rPr>
                <w:rFonts w:ascii="Segoe UI" w:hAnsi="Segoe UI"/>
                <w:b/>
                <w:color w:val="1A1A1A"/>
                <w:sz w:val="19"/>
              </w:rPr>
              <w:t>₹7.00 crore</w:t>
            </w:r>
          </w:p>
        </w:tc>
      </w:tr>
    </w:tbl>
    <w:p>
      <w:pPr>
        <w:spacing w:after="80"/>
      </w:pPr>
    </w:p>
    <w:p>
      <w:pPr>
        <w:pStyle w:val="Heading1"/>
        <w:pBdr>
          <w:bottom w:val="single" w:sz="8" w:space="4" w:color="14532D"/>
        </w:pBdr>
      </w:pPr>
      <w:r>
        <w:t>Part 8  ·  What this proposal does not include</w:t>
      </w:r>
    </w:p>
    <w:p>
      <w:r>
        <w:rPr>
          <w:rFonts w:ascii="Segoe UI" w:hAnsi="Segoe UI"/>
          <w:b w:val="0"/>
          <w:color w:val="1A1A1A"/>
          <w:sz w:val="21"/>
        </w:rPr>
        <w:t>Stated plainly so that the department can compare offers on equal terms:</w:t>
      </w:r>
    </w:p>
    <w:p>
      <w:pPr>
        <w:pStyle w:val="ListBullet"/>
        <w:ind w:left="374" w:hanging="230"/>
      </w:pPr>
      <w:r>
        <w:rPr>
          <w:rFonts w:ascii="Segoe UI" w:hAnsi="Segoe UI"/>
          <w:color w:val="1A1A1A"/>
          <w:sz w:val="21"/>
        </w:rPr>
        <w:t>Studio interview and anchor-video production is not in scope. Moving-image output is limited to scripted explainer films and motion posters; studio programme production would be a separate engagement.</w:t>
      </w:r>
    </w:p>
    <w:p>
      <w:pPr>
        <w:pStyle w:val="ListBullet"/>
        <w:ind w:left="374" w:hanging="230"/>
      </w:pPr>
      <w:r>
        <w:rPr>
          <w:rFonts w:ascii="Segoe UI" w:hAnsi="Segoe UI"/>
          <w:color w:val="1A1A1A"/>
          <w:sz w:val="21"/>
        </w:rPr>
        <w:t>Sentiment analysis and social-media campaign impact analytics are not included. Press monitoring covers capture, classification, alerting and archive.</w:t>
      </w:r>
    </w:p>
    <w:p>
      <w:pPr>
        <w:pStyle w:val="ListBullet"/>
        <w:ind w:left="374" w:hanging="230"/>
      </w:pPr>
      <w:r>
        <w:rPr>
          <w:rFonts w:ascii="Segoe UI" w:hAnsi="Segoe UI"/>
          <w:color w:val="1A1A1A"/>
          <w:sz w:val="21"/>
        </w:rPr>
        <w:t>A native mobile application distributed through app stores is not included. The workspace is a responsive browser application that works on phones and tablets.</w:t>
      </w:r>
    </w:p>
    <w:p>
      <w:pPr>
        <w:pStyle w:val="ListBullet"/>
        <w:ind w:left="374" w:hanging="230"/>
      </w:pPr>
      <w:r>
        <w:rPr>
          <w:rFonts w:ascii="Segoe UI" w:hAnsi="Segoe UI"/>
          <w:color w:val="1A1A1A"/>
          <w:sz w:val="21"/>
        </w:rPr>
        <w:t>Citizen enquiry and RTI drafting assistance is not included.</w:t>
      </w:r>
    </w:p>
    <w:p>
      <w:pPr>
        <w:pStyle w:val="ListBullet"/>
        <w:ind w:left="374" w:hanging="230"/>
      </w:pPr>
      <w:r>
        <w:rPr>
          <w:rFonts w:ascii="Segoe UI" w:hAnsi="Segoe UI"/>
          <w:color w:val="1A1A1A"/>
          <w:sz w:val="21"/>
        </w:rPr>
        <w:t>GPU compute, storage, networking, power and cooling hardware is provided by the department and is not included in the investment.</w:t>
      </w:r>
    </w:p>
    <w:p>
      <w:pPr>
        <w:pStyle w:val="ListBullet"/>
        <w:ind w:left="374" w:hanging="230"/>
      </w:pPr>
      <w:r>
        <w:rPr>
          <w:rFonts w:ascii="Segoe UI" w:hAnsi="Segoe UI"/>
          <w:color w:val="1A1A1A"/>
          <w:sz w:val="21"/>
        </w:rPr>
        <w:t>Newspaper subscriptions, e-paper licences and media feed charges are not included.</w:t>
      </w:r>
    </w:p>
    <w:p>
      <w:pPr>
        <w:pStyle w:val="Heading1"/>
        <w:pBdr>
          <w:bottom w:val="single" w:sz="8" w:space="4" w:color="14532D"/>
        </w:pBdr>
      </w:pPr>
      <w:r>
        <w:t>Part 9  ·  Terms and assumptions</w:t>
      </w:r>
    </w:p>
    <w:p>
      <w:pPr>
        <w:pStyle w:val="ListBullet"/>
        <w:ind w:left="374" w:hanging="230"/>
      </w:pPr>
      <w:r>
        <w:rPr>
          <w:rFonts w:ascii="Segoe UI" w:hAnsi="Segoe UI"/>
          <w:color w:val="1A1A1A"/>
          <w:sz w:val="21"/>
        </w:rPr>
        <w:t>The department will provide timely access to the Mahasamvad archive, approved reference material, official branding assets and its authorised social media accounts.</w:t>
      </w:r>
    </w:p>
    <w:p>
      <w:pPr>
        <w:pStyle w:val="ListBullet"/>
        <w:ind w:left="374" w:hanging="230"/>
      </w:pPr>
      <w:r>
        <w:rPr>
          <w:rFonts w:ascii="Segoe UI" w:hAnsi="Segoe UI"/>
          <w:color w:val="1A1A1A"/>
          <w:sz w:val="21"/>
        </w:rPr>
        <w:t>Metered consumption is provided within the ceiling in Part 5; usage materially above agreed volumes follows an approval process settled during contracting.</w:t>
      </w:r>
    </w:p>
    <w:p>
      <w:pPr>
        <w:pStyle w:val="ListBullet"/>
        <w:ind w:left="374" w:hanging="230"/>
      </w:pPr>
      <w:r>
        <w:rPr>
          <w:rFonts w:ascii="Segoe UI" w:hAnsi="Segoe UI"/>
          <w:color w:val="1A1A1A"/>
          <w:sz w:val="21"/>
        </w:rPr>
        <w:t>Approved models and service providers may be substituted during the engagement on grounds of quality, security, availability or cost; no named external provider is committed.</w:t>
      </w:r>
    </w:p>
    <w:p>
      <w:pPr>
        <w:pStyle w:val="ListBullet"/>
        <w:ind w:left="374" w:hanging="230"/>
      </w:pPr>
      <w:r>
        <w:rPr>
          <w:rFonts w:ascii="Segoe UI" w:hAnsi="Segoe UI"/>
          <w:color w:val="1A1A1A"/>
          <w:sz w:val="21"/>
        </w:rPr>
        <w:t>Departmental information will not be used to train any publicly available model.</w:t>
      </w:r>
    </w:p>
    <w:p>
      <w:pPr>
        <w:pStyle w:val="ListBullet"/>
        <w:ind w:left="374" w:hanging="230"/>
      </w:pPr>
      <w:r>
        <w:rPr>
          <w:rFonts w:ascii="Segoe UI" w:hAnsi="Segoe UI"/>
          <w:color w:val="1A1A1A"/>
          <w:sz w:val="21"/>
        </w:rPr>
        <w:t>Direct publishing acts only on explicit officer confirmation, and final editorial and publication authority remains with authorised DGIPR officers.</w:t>
      </w:r>
    </w:p>
    <w:p>
      <w:pPr>
        <w:pStyle w:val="ListBullet"/>
        <w:ind w:left="374" w:hanging="230"/>
      </w:pPr>
      <w:r>
        <w:rPr>
          <w:rFonts w:ascii="Segoe UI" w:hAnsi="Segoe UI"/>
          <w:color w:val="1A1A1A"/>
          <w:sz w:val="21"/>
        </w:rPr>
        <w:t>One nominated departmental coordinator will be available for requirement confirmation, review and acceptance within agreed timelines.</w:t>
      </w:r>
    </w:p>
    <w:p>
      <w:pPr>
        <w:pStyle w:val="ListBullet"/>
        <w:ind w:left="374" w:hanging="230"/>
      </w:pPr>
      <w:r>
        <w:rPr>
          <w:rFonts w:ascii="Segoe UI" w:hAnsi="Segoe UI"/>
          <w:color w:val="1A1A1A"/>
          <w:sz w:val="21"/>
        </w:rPr>
        <w:t>All amounts are in Indian Rupees. Statutory levies will be dealt with as provided in the contract. This proposal is valid for 90 days from the date of submission.</w:t>
      </w:r>
    </w:p>
    <w:p>
      <w:pPr>
        <w:spacing w:before="400"/>
      </w:pPr>
      <w:r>
        <w:rPr>
          <w:rFonts w:ascii="Segoe UI" w:hAnsi="Segoe UI"/>
          <w:b/>
          <w:color w:val="1A1A1A"/>
          <w:sz w:val="21"/>
        </w:rPr>
        <w:t>For and on behalf of Company Name</w:t>
      </w:r>
    </w:p>
    <w:p>
      <w:pPr>
        <w:spacing w:before="300"/>
      </w:pPr>
      <w:r>
        <w:rPr>
          <w:rFonts w:ascii="Segoe UI" w:hAnsi="Segoe UI"/>
          <w:b w:val="0"/>
          <w:color w:val="5C5C5C"/>
          <w:sz w:val="20"/>
        </w:rPr>
        <w:t>Name:  ______________________________          Designation:  ______________________________</w:t>
      </w:r>
    </w:p>
    <w:p>
      <w:pPr>
        <w:spacing w:before="120"/>
      </w:pPr>
      <w:r>
        <w:rPr>
          <w:rFonts w:ascii="Segoe UI" w:hAnsi="Segoe UI"/>
          <w:b w:val="0"/>
          <w:color w:val="5C5C5C"/>
          <w:sz w:val="20"/>
        </w:rPr>
        <w:t>Signature:  __________________________          Date:  ______________________________</w:t>
      </w:r>
    </w:p>
    <w:p>
      <w:pPr>
        <w:spacing w:after="0"/>
      </w:pPr>
      <w:r>
        <w:br w:type="page"/>
      </w:r>
    </w:p>
    <w:p>
      <w:pPr>
        <w:pStyle w:val="Heading1"/>
        <w:pBdr>
          <w:bottom w:val="single" w:sz="8" w:space="4" w:color="14532D"/>
        </w:pBdr>
      </w:pPr>
      <w:r>
        <w:t>Annexure  ·  Capability position</w:t>
      </w:r>
    </w:p>
    <w:p>
      <w:r>
        <w:rPr>
          <w:rFonts w:ascii="Segoe UI" w:hAnsi="Segoe UI"/>
          <w:b w:val="0"/>
          <w:color w:val="1A1A1A"/>
          <w:sz w:val="21"/>
        </w:rPr>
        <w:t>A capability-by-capability statement of what this proposal covers, so that the department can compare offers directly.</w:t>
      </w:r>
    </w:p>
    <w:tbl>
      <w:tblPr>
        <w:tblStyle w:val="TableGrid"/>
        <w:tblW w:type="auto" w:w="0"/>
        <w:jc w:val="left"/>
        <w:tblLayout w:type="fixed"/>
        <w:tblLook w:firstColumn="1" w:firstRow="1" w:lastColumn="0" w:lastRow="0" w:noHBand="0" w:noVBand="1" w:val="04A0"/>
        <w:tblCellMar>
          <w:top w:w="60" w:type="dxa"/>
          <w:left w:w="90" w:type="dxa"/>
          <w:bottom w:w="60" w:type="dxa"/>
          <w:right w:w="90" w:type="dxa"/>
        </w:tblCellMar>
        <w:tblLayout w:type="fixed"/>
        <w:tblW w:w="9460" w:type="dxa"/>
      </w:tblPr>
      <w:tblGrid>
        <w:gridCol w:w="6552"/>
        <w:gridCol w:w="2908"/>
      </w:tblGrid>
      <w:tr>
        <w:trPr>
          <w:cantSplit w:val="true"/>
          <w:tblHeader w:val="true"/>
        </w:trPr>
        <w:tc>
          <w:tcPr>
            <w:shd w:val="clear" w:fill="14532D"/>
            <w:tcW w:w="6552" w:type="dxa"/>
          </w:tcPr>
          <w:p>
            <w:pPr>
              <w:spacing w:before="30" w:after="30" w:line="254" w:lineRule="auto"/>
            </w:pPr>
            <w:r>
              <w:rPr>
                <w:rFonts w:ascii="Segoe UI" w:hAnsi="Segoe UI"/>
                <w:b/>
                <w:color w:val="FFFFFF"/>
                <w:sz w:val="18"/>
              </w:rPr>
              <w:t>Capability</w:t>
            </w:r>
          </w:p>
        </w:tc>
        <w:tc>
          <w:tcPr>
            <w:shd w:val="clear" w:fill="14532D"/>
            <w:tcW w:w="2908" w:type="dxa"/>
          </w:tcPr>
          <w:p>
            <w:pPr>
              <w:spacing w:before="30" w:after="30" w:line="254" w:lineRule="auto"/>
            </w:pPr>
            <w:r>
              <w:rPr>
                <w:rFonts w:ascii="Segoe UI" w:hAnsi="Segoe UI"/>
                <w:b/>
                <w:color w:val="FFFFFF"/>
                <w:sz w:val="18"/>
              </w:rPr>
              <w:t>Position</w:t>
            </w:r>
          </w:p>
        </w:tc>
      </w:tr>
      <w:tr>
        <w:trPr>
          <w:cantSplit w:val="true"/>
        </w:trPr>
        <w:tc>
          <w:tcPr>
            <w:tcW w:w="6552" w:type="dxa"/>
          </w:tcPr>
          <w:p>
            <w:pPr>
              <w:spacing w:before="30" w:after="30" w:line="254" w:lineRule="auto"/>
            </w:pPr>
            <w:r>
              <w:rPr>
                <w:rFonts w:ascii="Segoe UI" w:hAnsi="Segoe UI"/>
                <w:color w:val="1A1A1A"/>
                <w:sz w:val="18"/>
              </w:rPr>
              <w:t>Department-hosted private AI environment</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Role and office-based access control, audit and lineage</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Multi-format source intake and Marathi document reading</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Meeting and press-conference transcription</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Indexed departmental archive with grounded retrieval</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Marathi news and article production in departmental style</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Name, designation and terminology control</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Translation — Hindi and English</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Translation — six further Indian languages</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Marathi and English proofreading</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Posters, social creatives and thumbnails</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Motion posters animated from approved artwork</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Scripted explainer films with narration and subtitles</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Editable design-tool handoff</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Direct publishing to authorised social accounts</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Newspaper and e-paper monitoring, clipping and digests</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Departmental output and usage reporting</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Responsive workspace on desktop, tablet and phone</w:t>
            </w:r>
          </w:p>
        </w:tc>
        <w:tc>
          <w:tcPr>
            <w:tcW w:w="2908" w:type="dxa"/>
          </w:tcPr>
          <w:p>
            <w:pPr>
              <w:spacing w:before="30" w:after="30" w:line="254" w:lineRule="auto"/>
            </w:pPr>
            <w:r>
              <w:rPr>
                <w:rFonts w:ascii="Segoe UI" w:hAnsi="Segoe UI"/>
                <w:color w:val="1A1A1A"/>
                <w:sz w:val="18"/>
              </w:rPr>
              <w:t>Included</w:t>
            </w:r>
          </w:p>
        </w:tc>
      </w:tr>
      <w:tr>
        <w:trPr>
          <w:cantSplit w:val="true"/>
        </w:trPr>
        <w:tc>
          <w:tcPr>
            <w:tcW w:w="6552" w:type="dxa"/>
          </w:tcPr>
          <w:p>
            <w:pPr>
              <w:spacing w:before="30" w:after="30" w:line="254" w:lineRule="auto"/>
            </w:pPr>
            <w:r>
              <w:rPr>
                <w:rFonts w:ascii="Segoe UI" w:hAnsi="Segoe UI"/>
                <w:color w:val="1A1A1A"/>
                <w:sz w:val="18"/>
              </w:rPr>
              <w:t>Studio interview and anchor-video production</w:t>
            </w:r>
          </w:p>
        </w:tc>
        <w:tc>
          <w:tcPr>
            <w:tcW w:w="2908" w:type="dxa"/>
          </w:tcPr>
          <w:p>
            <w:pPr>
              <w:spacing w:before="30" w:after="30" w:line="254" w:lineRule="auto"/>
            </w:pPr>
            <w:r>
              <w:rPr>
                <w:rFonts w:ascii="Segoe UI" w:hAnsi="Segoe UI"/>
                <w:color w:val="1A1A1A"/>
                <w:sz w:val="18"/>
              </w:rPr>
              <w:t>Not included</w:t>
            </w:r>
          </w:p>
        </w:tc>
      </w:tr>
      <w:tr>
        <w:trPr>
          <w:cantSplit w:val="true"/>
        </w:trPr>
        <w:tc>
          <w:tcPr>
            <w:tcW w:w="6552" w:type="dxa"/>
          </w:tcPr>
          <w:p>
            <w:pPr>
              <w:spacing w:before="30" w:after="30" w:line="254" w:lineRule="auto"/>
            </w:pPr>
            <w:r>
              <w:rPr>
                <w:rFonts w:ascii="Segoe UI" w:hAnsi="Segoe UI"/>
                <w:color w:val="1A1A1A"/>
                <w:sz w:val="18"/>
              </w:rPr>
              <w:t>Sentiment and campaign impact analytics</w:t>
            </w:r>
          </w:p>
        </w:tc>
        <w:tc>
          <w:tcPr>
            <w:tcW w:w="2908" w:type="dxa"/>
          </w:tcPr>
          <w:p>
            <w:pPr>
              <w:spacing w:before="30" w:after="30" w:line="254" w:lineRule="auto"/>
            </w:pPr>
            <w:r>
              <w:rPr>
                <w:rFonts w:ascii="Segoe UI" w:hAnsi="Segoe UI"/>
                <w:color w:val="1A1A1A"/>
                <w:sz w:val="18"/>
              </w:rPr>
              <w:t>Not included</w:t>
            </w:r>
          </w:p>
        </w:tc>
      </w:tr>
      <w:tr>
        <w:trPr>
          <w:cantSplit w:val="true"/>
        </w:trPr>
        <w:tc>
          <w:tcPr>
            <w:tcW w:w="6552" w:type="dxa"/>
          </w:tcPr>
          <w:p>
            <w:pPr>
              <w:spacing w:before="30" w:after="30" w:line="254" w:lineRule="auto"/>
            </w:pPr>
            <w:r>
              <w:rPr>
                <w:rFonts w:ascii="Segoe UI" w:hAnsi="Segoe UI"/>
                <w:color w:val="1A1A1A"/>
                <w:sz w:val="18"/>
              </w:rPr>
              <w:t>Native mobile application in app stores</w:t>
            </w:r>
          </w:p>
        </w:tc>
        <w:tc>
          <w:tcPr>
            <w:tcW w:w="2908" w:type="dxa"/>
          </w:tcPr>
          <w:p>
            <w:pPr>
              <w:spacing w:before="30" w:after="30" w:line="254" w:lineRule="auto"/>
            </w:pPr>
            <w:r>
              <w:rPr>
                <w:rFonts w:ascii="Segoe UI" w:hAnsi="Segoe UI"/>
                <w:color w:val="1A1A1A"/>
                <w:sz w:val="18"/>
              </w:rPr>
              <w:t>Not included</w:t>
            </w:r>
          </w:p>
        </w:tc>
      </w:tr>
      <w:tr>
        <w:trPr>
          <w:cantSplit w:val="true"/>
        </w:trPr>
        <w:tc>
          <w:tcPr>
            <w:tcW w:w="6552" w:type="dxa"/>
          </w:tcPr>
          <w:p>
            <w:pPr>
              <w:spacing w:before="30" w:after="30" w:line="254" w:lineRule="auto"/>
            </w:pPr>
            <w:r>
              <w:rPr>
                <w:rFonts w:ascii="Segoe UI" w:hAnsi="Segoe UI"/>
                <w:color w:val="1A1A1A"/>
                <w:sz w:val="18"/>
              </w:rPr>
              <w:t>Citizen enquiry and RTI drafting assistance</w:t>
            </w:r>
          </w:p>
        </w:tc>
        <w:tc>
          <w:tcPr>
            <w:tcW w:w="2908" w:type="dxa"/>
          </w:tcPr>
          <w:p>
            <w:pPr>
              <w:spacing w:before="30" w:after="30" w:line="254" w:lineRule="auto"/>
            </w:pPr>
            <w:r>
              <w:rPr>
                <w:rFonts w:ascii="Segoe UI" w:hAnsi="Segoe UI"/>
                <w:color w:val="1A1A1A"/>
                <w:sz w:val="18"/>
              </w:rPr>
              <w:t>Not included</w:t>
            </w:r>
          </w:p>
        </w:tc>
      </w:tr>
      <w:tr>
        <w:trPr>
          <w:cantSplit w:val="true"/>
        </w:trPr>
        <w:tc>
          <w:tcPr>
            <w:tcW w:w="6552" w:type="dxa"/>
          </w:tcPr>
          <w:p>
            <w:pPr>
              <w:spacing w:before="30" w:after="30" w:line="254" w:lineRule="auto"/>
            </w:pPr>
            <w:r>
              <w:rPr>
                <w:rFonts w:ascii="Segoe UI" w:hAnsi="Segoe UI"/>
                <w:color w:val="1A1A1A"/>
                <w:sz w:val="18"/>
              </w:rPr>
              <w:t>GPU and data-centre hardware</w:t>
            </w:r>
          </w:p>
        </w:tc>
        <w:tc>
          <w:tcPr>
            <w:tcW w:w="2908" w:type="dxa"/>
          </w:tcPr>
          <w:p>
            <w:pPr>
              <w:spacing w:before="30" w:after="30" w:line="254" w:lineRule="auto"/>
            </w:pPr>
            <w:r>
              <w:rPr>
                <w:rFonts w:ascii="Segoe UI" w:hAnsi="Segoe UI"/>
                <w:color w:val="1A1A1A"/>
                <w:sz w:val="18"/>
              </w:rPr>
              <w:t>Provided by the department</w:t>
            </w:r>
          </w:p>
        </w:tc>
      </w:tr>
      <w:tr>
        <w:trPr>
          <w:cantSplit w:val="true"/>
        </w:trPr>
        <w:tc>
          <w:tcPr>
            <w:tcW w:w="6552" w:type="dxa"/>
          </w:tcPr>
          <w:p>
            <w:pPr>
              <w:spacing w:before="30" w:after="30" w:line="254" w:lineRule="auto"/>
            </w:pPr>
            <w:r>
              <w:rPr>
                <w:rFonts w:ascii="Segoe UI" w:hAnsi="Segoe UI"/>
                <w:color w:val="1A1A1A"/>
                <w:sz w:val="18"/>
              </w:rPr>
              <w:t>Newspaper licences and media feed charges</w:t>
            </w:r>
          </w:p>
        </w:tc>
        <w:tc>
          <w:tcPr>
            <w:tcW w:w="2908" w:type="dxa"/>
          </w:tcPr>
          <w:p>
            <w:pPr>
              <w:spacing w:before="30" w:after="30" w:line="254" w:lineRule="auto"/>
            </w:pPr>
            <w:r>
              <w:rPr>
                <w:rFonts w:ascii="Segoe UI" w:hAnsi="Segoe UI"/>
                <w:color w:val="1A1A1A"/>
                <w:sz w:val="18"/>
              </w:rPr>
              <w:t>Arranged by the department</w:t>
            </w:r>
          </w:p>
        </w:tc>
      </w:tr>
    </w:tbl>
    <w:p>
      <w:pPr>
        <w:spacing w:after="80"/>
      </w:pPr>
    </w:p>
    <w:sectPr w:rsidR="00FC693F" w:rsidRPr="0006063C" w:rsidSect="00034616">
      <w:headerReference w:type="default" r:id="rId9"/>
      <w:footerReference w:type="default" r:id="rId10"/>
      <w:pgSz w:w="11909" w:h="16834"/>
      <w:pgMar w:top="2232" w:right="1224" w:bottom="1656"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61" w:val="right"/>
      </w:tabs>
      <w:spacing w:before="0" w:after="0"/>
      <w:pBdr>
        <w:top w:val="single" w:sz="6" w:space="5" w:color="14532D"/>
      </w:pBdr>
    </w:pPr>
    <w:r>
      <w:rPr>
        <w:rFonts w:ascii="Segoe UI" w:hAnsi="Segoe UI"/>
        <w:color w:val="5C5C5C"/>
        <w:sz w:val="15"/>
      </w:rPr>
      <w:t>[ Company Name ]  ·  AI NewsRoom Proposal</w:t>
      <w:tab/>
    </w:r>
    <w:r>
      <w:rPr>
        <w:rFonts w:ascii="Segoe UI" w:hAnsi="Segoe UI"/>
        <w:color w:val="5C5C5C"/>
        <w:sz w:val="15"/>
      </w:rPr>
      <w:t xml:space="preserve">Page </w:t>
    </w:r>
    <w:r>
      <w:rPr>
        <w:rFonts w:ascii="Segoe UI" w:hAnsi="Segoe UI"/>
        <w:color w:val="5C5C5C"/>
        <w:sz w:val="15"/>
      </w:rPr>
      <w:fldChar w:fldCharType="begin"/>
      <w:instrText xml:space="preserve"> PAGE </w:instrText>
      <w:fldChar w:fldCharType="separate"/>
      <w:t>1</w:t>
      <w:fldChar w:fldCharType="end"/>
    </w:r>
    <w:r>
      <w:rPr>
        <w:rFonts w:ascii="Segoe UI" w:hAnsi="Segoe UI"/>
        <w:color w:val="5C5C5C"/>
        <w:sz w:val="15"/>
      </w:rPr>
      <w:t xml:space="preserve"> of </w:t>
    </w:r>
    <w:r>
      <w:rPr>
        <w:rFonts w:ascii="Segoe UI" w:hAnsi="Segoe UI"/>
        <w:color w:val="5C5C5C"/>
        <w:sz w:val="15"/>
      </w:rPr>
      <w:fldChar w:fldCharType="begin"/>
      <w:instrText xml:space="preserve"> NUMPAGES </w:instrText>
      <w:fldChar w:fldCharType="separate"/>
      <w:t>1</w:t>
      <w:fldChar w:fldCharType="end"/>
    </w:r>
  </w:p>
  <w:p>
    <w:pPr>
      <w:spacing w:before="0" w:after="0"/>
    </w:pPr>
    <w:r>
      <w:rPr>
        <w:rFonts w:ascii="Segoe UI" w:hAnsi="Segoe UI"/>
        <w:color w:val="BBBBBB"/>
        <w:sz w:val="14"/>
      </w:rPr>
      <w:t>[ footer area — insert registered office address and contact details here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pPr>
    <w:r>
      <w:rPr>
        <w:rFonts w:ascii="Segoe UI" w:hAnsi="Segoe UI"/>
        <w:color w:val="BBBBBB"/>
        <w:sz w:val="14"/>
      </w:rPr>
      <w:t>[ letterhead area — insert company logo and header here ]</w:t>
    </w:r>
  </w:p>
  <w:p>
    <w:pPr>
      <w:spacing w:before="0" w:after="0" w:line="240" w:lineRule="auto"/>
    </w:pPr>
    <w:r>
      <w:rPr>
        <w:sz w:val="44"/>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Segoe UI" w:hAnsi="Segoe UI" w:eastAsia="Segoe U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Segoe UI" w:hAnsi="Segoe UI" w:eastAsia="Segoe UI"/>
      <w:b/>
      <w:bCs/>
      <w:color w:val="14532D"/>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Segoe UI" w:hAnsi="Segoe UI" w:eastAsia="Segoe UI"/>
      <w:b/>
      <w:bCs/>
      <w:color w:val="14532D"/>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Segoe UI" w:hAnsi="Segoe UI" w:eastAsia="Segoe UI"/>
      <w:b/>
      <w:bCs/>
      <w:color w:val="1A1A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Segoe UI" w:hAnsi="Segoe U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