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mbria" w:hAnsi="Cambria"/>
          <w:b/>
          <w:caps/>
          <w:color w:val="1F4E5F"/>
          <w:sz w:val="17"/>
        </w:rPr>
        <w:t>TECHNICAL AND COMMERCIAL PROPOSAL</w:t>
      </w:r>
    </w:p>
    <w:p>
      <w:pPr>
        <w:spacing w:after="60" w:before="0"/>
      </w:pPr>
      <w:r>
        <w:rPr>
          <w:rFonts w:ascii="Cambria" w:hAnsi="Cambria"/>
          <w:b/>
          <w:color w:val="1A1A1A"/>
          <w:sz w:val="52"/>
        </w:rPr>
        <w:t>Marathi AI Communication Platform</w:t>
      </w:r>
    </w:p>
    <w:p>
      <w:pPr>
        <w:spacing w:after="260"/>
      </w:pPr>
      <w:r>
        <w:rPr>
          <w:rFonts w:ascii="Cambria" w:hAnsi="Cambria"/>
          <w:b w:val="0"/>
          <w:color w:val="5C5C5C"/>
          <w:sz w:val="24"/>
        </w:rPr>
        <w:t>An adapted-model, department-hosted content operations platform for the Directorate General of Information and Public Relations, Government of Maharashtra</w:t>
      </w:r>
    </w:p>
    <w:p>
      <w:pPr>
        <w:spacing w:after="220"/>
        <w:pBdr>
          <w:bottom w:val="single" w:sz="12" w:space="1" w:color="1F4E5F"/>
        </w:pBdr>
      </w:pP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520"/>
        <w:gridCol w:w="6940"/>
      </w:tblGrid>
      <w:tr>
        <w:trPr>
          <w:cantSplit w:val="true"/>
        </w:trPr>
        <w:tc>
          <w:tcPr>
            <w:tcW w:w="2520" w:type="dxa"/>
          </w:tcPr>
          <w:p>
            <w:pPr>
              <w:spacing w:before="30" w:after="30" w:line="254" w:lineRule="auto"/>
            </w:pPr>
            <w:r>
              <w:rPr>
                <w:rFonts w:ascii="Cambria" w:hAnsi="Cambria"/>
                <w:color w:val="1A1A1A"/>
                <w:sz w:val="20"/>
              </w:rPr>
              <w:t>Submitted to</w:t>
            </w:r>
          </w:p>
        </w:tc>
        <w:tc>
          <w:tcPr>
            <w:tcW w:w="6940" w:type="dxa"/>
          </w:tcPr>
          <w:p>
            <w:pPr>
              <w:spacing w:before="30" w:after="30" w:line="254" w:lineRule="auto"/>
            </w:pPr>
            <w:r>
              <w:rPr>
                <w:rFonts w:ascii="Cambria" w:hAnsi="Cambria"/>
                <w:color w:val="1A1A1A"/>
                <w:sz w:val="20"/>
              </w:rPr>
              <w:t>Directorate General of Information and Public Relations, Government of Maharashtra</w:t>
            </w:r>
          </w:p>
        </w:tc>
      </w:tr>
      <w:tr>
        <w:trPr>
          <w:cantSplit w:val="true"/>
        </w:trPr>
        <w:tc>
          <w:tcPr>
            <w:tcW w:w="2520" w:type="dxa"/>
          </w:tcPr>
          <w:p>
            <w:pPr>
              <w:spacing w:before="30" w:after="30" w:line="254" w:lineRule="auto"/>
            </w:pPr>
            <w:r>
              <w:rPr>
                <w:rFonts w:ascii="Cambria" w:hAnsi="Cambria"/>
                <w:color w:val="1A1A1A"/>
                <w:sz w:val="20"/>
              </w:rPr>
              <w:t>Submitted by</w:t>
            </w:r>
          </w:p>
        </w:tc>
        <w:tc>
          <w:tcPr>
            <w:tcW w:w="6940" w:type="dxa"/>
          </w:tcPr>
          <w:p>
            <w:pPr>
              <w:spacing w:before="30" w:after="30" w:line="254" w:lineRule="auto"/>
            </w:pPr>
            <w:r>
              <w:rPr>
                <w:rFonts w:ascii="Cambria" w:hAnsi="Cambria"/>
                <w:color w:val="1A1A1A"/>
                <w:sz w:val="20"/>
              </w:rPr>
              <w:t>Company Name</w:t>
            </w:r>
          </w:p>
        </w:tc>
      </w:tr>
      <w:tr>
        <w:trPr>
          <w:cantSplit w:val="true"/>
        </w:trPr>
        <w:tc>
          <w:tcPr>
            <w:tcW w:w="2520" w:type="dxa"/>
          </w:tcPr>
          <w:p>
            <w:pPr>
              <w:spacing w:before="30" w:after="30" w:line="254" w:lineRule="auto"/>
            </w:pPr>
            <w:r>
              <w:rPr>
                <w:rFonts w:ascii="Cambria" w:hAnsi="Cambria"/>
                <w:color w:val="1A1A1A"/>
                <w:sz w:val="20"/>
              </w:rPr>
              <w:t>Subject</w:t>
            </w:r>
          </w:p>
        </w:tc>
        <w:tc>
          <w:tcPr>
            <w:tcW w:w="6940" w:type="dxa"/>
          </w:tcPr>
          <w:p>
            <w:pPr>
              <w:spacing w:before="30" w:after="30" w:line="254" w:lineRule="auto"/>
            </w:pPr>
            <w:r>
              <w:rPr>
                <w:rFonts w:ascii="Cambria" w:hAnsi="Cambria"/>
                <w:color w:val="1A1A1A"/>
                <w:sz w:val="20"/>
              </w:rPr>
              <w:t>Establishment of an AI NewsRoom — design, model adaptation, deployment and managed operation</w:t>
            </w:r>
          </w:p>
        </w:tc>
      </w:tr>
      <w:tr>
        <w:trPr>
          <w:cantSplit w:val="true"/>
        </w:trPr>
        <w:tc>
          <w:tcPr>
            <w:tcW w:w="2520" w:type="dxa"/>
          </w:tcPr>
          <w:p>
            <w:pPr>
              <w:spacing w:before="30" w:after="30" w:line="254" w:lineRule="auto"/>
            </w:pPr>
            <w:r>
              <w:rPr>
                <w:rFonts w:ascii="Cambria" w:hAnsi="Cambria"/>
                <w:color w:val="1A1A1A"/>
                <w:sz w:val="20"/>
              </w:rPr>
              <w:t>Contract value</w:t>
            </w:r>
          </w:p>
        </w:tc>
        <w:tc>
          <w:tcPr>
            <w:tcW w:w="6940" w:type="dxa"/>
          </w:tcPr>
          <w:p>
            <w:pPr>
              <w:spacing w:before="30" w:after="30" w:line="254" w:lineRule="auto"/>
            </w:pPr>
            <w:r>
              <w:rPr>
                <w:rFonts w:ascii="Cambria" w:hAnsi="Cambria"/>
                <w:color w:val="1A1A1A"/>
                <w:sz w:val="20"/>
              </w:rPr>
              <w:t>₹8.00 crore (Rupees Eight Crore only)</w:t>
            </w:r>
          </w:p>
        </w:tc>
      </w:tr>
      <w:tr>
        <w:trPr>
          <w:cantSplit w:val="true"/>
        </w:trPr>
        <w:tc>
          <w:tcPr>
            <w:tcW w:w="2520" w:type="dxa"/>
          </w:tcPr>
          <w:p>
            <w:pPr>
              <w:spacing w:before="30" w:after="30" w:line="254" w:lineRule="auto"/>
            </w:pPr>
            <w:r>
              <w:rPr>
                <w:rFonts w:ascii="Cambria" w:hAnsi="Cambria"/>
                <w:color w:val="1A1A1A"/>
                <w:sz w:val="20"/>
              </w:rPr>
              <w:t>Engagement period</w:t>
            </w:r>
          </w:p>
        </w:tc>
        <w:tc>
          <w:tcPr>
            <w:tcW w:w="6940" w:type="dxa"/>
          </w:tcPr>
          <w:p>
            <w:pPr>
              <w:spacing w:before="30" w:after="30" w:line="254" w:lineRule="auto"/>
            </w:pPr>
            <w:r>
              <w:rPr>
                <w:rFonts w:ascii="Cambria" w:hAnsi="Cambria"/>
                <w:color w:val="1A1A1A"/>
                <w:sz w:val="20"/>
              </w:rPr>
              <w:t>12 months from the date of work order, extendable</w:t>
            </w:r>
          </w:p>
        </w:tc>
      </w:tr>
      <w:tr>
        <w:trPr>
          <w:cantSplit w:val="true"/>
        </w:trPr>
        <w:tc>
          <w:tcPr>
            <w:tcW w:w="2520" w:type="dxa"/>
          </w:tcPr>
          <w:p>
            <w:pPr>
              <w:spacing w:before="30" w:after="30" w:line="254" w:lineRule="auto"/>
            </w:pPr>
            <w:r>
              <w:rPr>
                <w:rFonts w:ascii="Cambria" w:hAnsi="Cambria"/>
                <w:color w:val="1A1A1A"/>
                <w:sz w:val="20"/>
              </w:rPr>
              <w:t>Delivery structure</w:t>
            </w:r>
          </w:p>
        </w:tc>
        <w:tc>
          <w:tcPr>
            <w:tcW w:w="6940" w:type="dxa"/>
          </w:tcPr>
          <w:p>
            <w:pPr>
              <w:spacing w:before="30" w:after="30" w:line="254" w:lineRule="auto"/>
            </w:pPr>
            <w:r>
              <w:rPr>
                <w:rFonts w:ascii="Cambria" w:hAnsi="Cambria"/>
                <w:color w:val="1A1A1A"/>
                <w:sz w:val="20"/>
              </w:rPr>
              <w:t>Seven delivery workstreams across four milestones, with a managed service for the full term</w:t>
            </w:r>
          </w:p>
        </w:tc>
      </w:tr>
      <w:tr>
        <w:trPr>
          <w:cantSplit w:val="true"/>
        </w:trPr>
        <w:tc>
          <w:tcPr>
            <w:tcW w:w="2520" w:type="dxa"/>
          </w:tcPr>
          <w:p>
            <w:pPr>
              <w:spacing w:before="30" w:after="30" w:line="254" w:lineRule="auto"/>
            </w:pPr>
            <w:r>
              <w:rPr>
                <w:rFonts w:ascii="Cambria" w:hAnsi="Cambria"/>
                <w:color w:val="1A1A1A"/>
                <w:sz w:val="20"/>
              </w:rPr>
              <w:t>On-site deployment</w:t>
            </w:r>
          </w:p>
        </w:tc>
        <w:tc>
          <w:tcPr>
            <w:tcW w:w="6940" w:type="dxa"/>
          </w:tcPr>
          <w:p>
            <w:pPr>
              <w:spacing w:before="30" w:after="30" w:line="254" w:lineRule="auto"/>
            </w:pPr>
            <w:r>
              <w:rPr>
                <w:rFonts w:ascii="Cambria" w:hAnsi="Cambria"/>
                <w:color w:val="1A1A1A"/>
                <w:sz w:val="20"/>
              </w:rPr>
              <w:t>Four full-time professionals at headquarters</w:t>
            </w:r>
          </w:p>
        </w:tc>
      </w:tr>
      <w:tr>
        <w:trPr>
          <w:cantSplit w:val="true"/>
        </w:trPr>
        <w:tc>
          <w:tcPr>
            <w:tcW w:w="2520" w:type="dxa"/>
          </w:tcPr>
          <w:p>
            <w:pPr>
              <w:spacing w:before="30" w:after="30" w:line="254" w:lineRule="auto"/>
            </w:pPr>
            <w:r>
              <w:rPr>
                <w:rFonts w:ascii="Cambria" w:hAnsi="Cambria"/>
                <w:color w:val="1A1A1A"/>
                <w:sz w:val="20"/>
              </w:rPr>
              <w:t>Offer validity</w:t>
            </w:r>
          </w:p>
        </w:tc>
        <w:tc>
          <w:tcPr>
            <w:tcW w:w="6940" w:type="dxa"/>
          </w:tcPr>
          <w:p>
            <w:pPr>
              <w:spacing w:before="30" w:after="30" w:line="254" w:lineRule="auto"/>
            </w:pPr>
            <w:r>
              <w:rPr>
                <w:rFonts w:ascii="Cambria" w:hAnsi="Cambria"/>
                <w:color w:val="1A1A1A"/>
                <w:sz w:val="20"/>
              </w:rPr>
              <w:t>90 days from the date of submission</w:t>
            </w:r>
          </w:p>
        </w:tc>
      </w:tr>
    </w:tbl>
    <w:p>
      <w:pPr>
        <w:spacing w:after="80"/>
      </w:pPr>
    </w:p>
    <w:p>
      <w:pPr>
        <w:spacing w:before="180"/>
      </w:pPr>
      <w:r>
        <w:rPr>
          <w:rFonts w:ascii="Cambria" w:hAnsi="Cambria"/>
          <w:b w:val="0"/>
          <w:color w:val="5C5C5C"/>
          <w:sz w:val="20"/>
        </w:rPr>
        <w:t>This proposal is organised by delivery workstream. Each workstream states what is built, the engineering effort it carries, the milestone at which it becomes available to the department, and its value, so that the offer can be assessed workstream by workstream rather than as a single figure. Section 7 states, explicitly, what this proposal does not include.</w:t>
      </w:r>
    </w:p>
    <w:p>
      <w:pPr>
        <w:spacing w:after="0"/>
      </w:pPr>
      <w:r>
        <w:br w:type="page"/>
      </w:r>
    </w:p>
    <w:p>
      <w:pPr>
        <w:pStyle w:val="Heading1"/>
        <w:pBdr>
          <w:bottom w:val="single" w:sz="8" w:space="4" w:color="1F4E5F"/>
        </w:pBdr>
      </w:pPr>
      <w:r>
        <w:t>1.  Understanding of the requirement</w:t>
      </w:r>
    </w:p>
    <w:p>
      <w:r>
        <w:rPr>
          <w:rFonts w:ascii="Cambria" w:hAnsi="Cambria"/>
          <w:b w:val="0"/>
          <w:color w:val="1A1A1A"/>
          <w:sz w:val="21"/>
        </w:rPr>
        <w:t>The Directorate General of Information and Public Relations is the communication arm of the Government of Maharashtra. It records ministerial engagements, cabinet decisions, Government Resolutions, scheme announcements and field activity, and must convert them into accurate public communication across print, broadcast, digital and social channels — frequently within the same working day.</w:t>
      </w:r>
    </w:p>
    <w:p>
      <w:r>
        <w:rPr>
          <w:rFonts w:ascii="Cambria" w:hAnsi="Cambria"/>
          <w:b w:val="0"/>
          <w:color w:val="1A1A1A"/>
          <w:sz w:val="21"/>
        </w:rPr>
        <w:t>Three constraints shape any technology brought into that work. The material is official and often unpublished, so it cannot be processed on consumer AI services. The language is Marathi, in a specific administrative and editorial register that general-purpose models do not reproduce reliably. And the output is attributable to the Government of Maharashtra, so an officer must be able to see the source of every statement before it is released.</w:t>
      </w:r>
    </w:p>
    <w:p>
      <w:r>
        <w:rPr>
          <w:rFonts w:ascii="Cambria" w:hAnsi="Cambria"/>
          <w:b w:val="0"/>
          <w:color w:val="1A1A1A"/>
          <w:sz w:val="21"/>
        </w:rPr>
        <w:t>Company Name has therefore proposed a platform that is hosted on departmental infrastructure, built around models adapted to the department's own material, and governed so that every output carries a traceable line back to the officer's approved source.</w:t>
      </w:r>
    </w:p>
    <w:p>
      <w:pPr>
        <w:pStyle w:val="Heading1"/>
        <w:pBdr>
          <w:bottom w:val="single" w:sz="8" w:space="4" w:color="1F4E5F"/>
        </w:pBdr>
      </w:pPr>
      <w:r>
        <w:t>2.  Solution overview</w:t>
      </w:r>
    </w:p>
    <w:p>
      <w:r>
        <w:rPr>
          <w:rFonts w:ascii="Cambria" w:hAnsi="Cambria"/>
          <w:b w:val="0"/>
          <w:color w:val="1A1A1A"/>
          <w:sz w:val="21"/>
        </w:rPr>
        <w:t>The platform is a single Marathi-first workspace, available through a browser and an installable mobile application, in which an officer submits source material, confirms what has been read from it, and produces finished communication in any required format from that one confirmed source.</w:t>
      </w:r>
    </w:p>
    <w:p>
      <w:pPr>
        <w:spacing w:after="80"/>
      </w:pPr>
      <w:r>
        <w:rPr>
          <w:rFonts w:ascii="Cambria" w:hAnsi="Cambria"/>
          <w:b w:val="0"/>
          <w:color w:val="1A1A1A"/>
          <w:sz w:val="21"/>
        </w:rPr>
        <w:t>Underneath it sits a department-controlled AI environment: language, speech, vision and document models served from the department's own infrastructure, a private knowledge base of authorised material, and a retrieval layer that supplies relevant approved sources to the model for each task. Official documents remain the factual authority throughout; the model supplies language, not facts.</w:t>
      </w:r>
    </w:p>
    <w:p>
      <w:pPr>
        <w:spacing w:before="0" w:after="40" w:line="269" w:lineRule="auto"/>
        <w:ind w:left="144"/>
      </w:pPr>
      <w:r>
        <w:rPr>
          <w:rFonts w:ascii="Cambria" w:hAnsi="Cambria"/>
          <w:b/>
          <w:color w:val="1F4E5F"/>
          <w:sz w:val="19"/>
        </w:rPr>
        <w:t xml:space="preserve">Distinguishing element  </w:t>
      </w:r>
      <w:r>
        <w:rPr>
          <w:rFonts w:ascii="Cambria" w:hAnsi="Cambria"/>
          <w:color w:val="5C5C5C"/>
          <w:sz w:val="19"/>
        </w:rPr>
        <w:t>Rather than relying on general-purpose models alone, Workstream 3 adapts language models to Mahasamvad's editorial register and Maharashtra government terminology using approved departmental material, under a formal evaluation regime run against the department's own test cases. This is the principal reason the department's Marathi output improves over the term of the engagement rather than remaining static.</w:t>
      </w:r>
    </w:p>
    <w:p>
      <w:pPr>
        <w:spacing w:before="120"/>
      </w:pPr>
      <w:r>
        <w:rPr>
          <w:rFonts w:ascii="Cambria" w:hAnsi="Cambria"/>
          <w:b w:val="0"/>
          <w:color w:val="1A1A1A"/>
          <w:sz w:val="21"/>
        </w:rPr>
        <w:t>Departmental information will not be used to train any publicly available model.</w:t>
      </w:r>
    </w:p>
    <w:p>
      <w:pPr>
        <w:pStyle w:val="Heading2"/>
      </w:pPr>
      <w:r>
        <w:t>2.1  Division of infrastructure responsibility</w:t>
      </w:r>
    </w:p>
    <w:p>
      <w:r>
        <w:rPr>
          <w:rFonts w:ascii="Cambria" w:hAnsi="Cambria"/>
          <w:b w:val="0"/>
          <w:color w:val="1A1A1A"/>
          <w:sz w:val="21"/>
        </w:rPr>
        <w:t>Enterprise-grade GPU compute, high-speed storage, networking, power protection and cooling will be provided by the department through the Electronics, Information Technology and Artificial Intelligence Department. Company Name will size, install, configure, integrate, benchmark and operate the AI software stack on that infrastructure. Hardware cost is not included in the contract value.</w:t>
      </w:r>
    </w:p>
    <w:p>
      <w:pPr>
        <w:pStyle w:val="Heading1"/>
        <w:pBdr>
          <w:bottom w:val="single" w:sz="8" w:space="4" w:color="1F4E5F"/>
        </w:pBdr>
      </w:pPr>
      <w:r>
        <w:t>3.  Delivery workstreams</w:t>
      </w:r>
    </w:p>
    <w:p>
      <w:r>
        <w:rPr>
          <w:rFonts w:ascii="Cambria" w:hAnsi="Cambria"/>
          <w:b w:val="0"/>
          <w:color w:val="1A1A1A"/>
          <w:sz w:val="21"/>
        </w:rPr>
        <w:t>The scope is delivered as seven workstreams. Shared foundations — identity, storage, job orchestration, retrieval and audit — are built once in Workstreams 1 and 2 and are not charged again in any later workstream.</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476"/>
        <w:gridCol w:w="4824"/>
        <w:gridCol w:w="892"/>
        <w:gridCol w:w="1267"/>
      </w:tblGrid>
      <w:tr>
        <w:trPr>
          <w:cantSplit w:val="true"/>
          <w:tblHeader w:val="true"/>
        </w:trPr>
        <w:tc>
          <w:tcPr>
            <w:shd w:val="clear" w:fill="E4EBEE"/>
            <w:tcW w:w="2476" w:type="dxa"/>
          </w:tcPr>
          <w:p>
            <w:pPr>
              <w:spacing w:before="30" w:after="30" w:line="254" w:lineRule="auto"/>
            </w:pPr>
            <w:r>
              <w:rPr>
                <w:rFonts w:ascii="Cambria" w:hAnsi="Cambria"/>
                <w:b/>
                <w:color w:val="1F4E5F"/>
                <w:sz w:val="17"/>
              </w:rPr>
              <w:t>Workstream</w:t>
            </w:r>
          </w:p>
        </w:tc>
        <w:tc>
          <w:tcPr>
            <w:shd w:val="clear" w:fill="E4EBEE"/>
            <w:tcW w:w="4824" w:type="dxa"/>
          </w:tcPr>
          <w:p>
            <w:pPr>
              <w:spacing w:before="30" w:after="30" w:line="254" w:lineRule="auto"/>
            </w:pPr>
            <w:r>
              <w:rPr>
                <w:rFonts w:ascii="Cambria" w:hAnsi="Cambria"/>
                <w:b/>
                <w:color w:val="1F4E5F"/>
                <w:sz w:val="17"/>
              </w:rPr>
              <w:t>Scope in brief</w:t>
            </w:r>
          </w:p>
        </w:tc>
        <w:tc>
          <w:tcPr>
            <w:shd w:val="clear" w:fill="E4EBEE"/>
            <w:tcW w:w="892" w:type="dxa"/>
          </w:tcPr>
          <w:p>
            <w:pPr>
              <w:spacing w:before="30" w:after="30" w:line="254" w:lineRule="auto"/>
            </w:pPr>
            <w:r>
              <w:rPr>
                <w:rFonts w:ascii="Cambria" w:hAnsi="Cambria"/>
                <w:b/>
                <w:color w:val="1F4E5F"/>
                <w:sz w:val="17"/>
              </w:rPr>
              <w:t>Effort</w:t>
            </w:r>
          </w:p>
        </w:tc>
        <w:tc>
          <w:tcPr>
            <w:shd w:val="clear" w:fill="E4EBEE"/>
            <w:tcW w:w="1267" w:type="dxa"/>
          </w:tcPr>
          <w:p>
            <w:pPr>
              <w:spacing w:before="30" w:after="30" w:line="254" w:lineRule="auto"/>
              <w:jc w:val="right"/>
            </w:pPr>
            <w:r>
              <w:rPr>
                <w:rFonts w:ascii="Cambria" w:hAnsi="Cambria"/>
                <w:b/>
                <w:color w:val="1F4E5F"/>
                <w:sz w:val="17"/>
              </w:rPr>
              <w:t>Value</w:t>
            </w:r>
          </w:p>
        </w:tc>
      </w:tr>
      <w:tr>
        <w:trPr>
          <w:cantSplit w:val="true"/>
        </w:trPr>
        <w:tc>
          <w:tcPr>
            <w:tcW w:w="2476" w:type="dxa"/>
          </w:tcPr>
          <w:p>
            <w:pPr>
              <w:spacing w:before="30" w:after="30" w:line="254" w:lineRule="auto"/>
            </w:pPr>
            <w:r>
              <w:rPr>
                <w:rFonts w:ascii="Cambria" w:hAnsi="Cambria"/>
                <w:color w:val="1A1A1A"/>
                <w:sz w:val="17"/>
              </w:rPr>
              <w:t>1.  Secure AI Platform and Governance Layer</w:t>
            </w:r>
          </w:p>
        </w:tc>
        <w:tc>
          <w:tcPr>
            <w:tcW w:w="4824" w:type="dxa"/>
          </w:tcPr>
          <w:p>
            <w:pPr>
              <w:spacing w:before="30" w:after="30" w:line="254" w:lineRule="auto"/>
            </w:pPr>
            <w:r>
              <w:rPr>
                <w:rFonts w:ascii="Cambria" w:hAnsi="Cambria"/>
                <w:color w:val="1A1A1A"/>
                <w:sz w:val="17"/>
              </w:rPr>
              <w:t>Private model serving, access control, audit and lineage, job orchestration, Marathi web and mobile workspace, disaster recovery</w:t>
            </w:r>
          </w:p>
        </w:tc>
        <w:tc>
          <w:tcPr>
            <w:tcW w:w="892" w:type="dxa"/>
          </w:tcPr>
          <w:p>
            <w:pPr>
              <w:spacing w:before="30" w:after="30" w:line="254" w:lineRule="auto"/>
            </w:pPr>
            <w:r>
              <w:rPr>
                <w:rFonts w:ascii="Cambria" w:hAnsi="Cambria"/>
                <w:color w:val="1A1A1A"/>
                <w:sz w:val="17"/>
              </w:rPr>
              <w:t>10 weeks</w:t>
            </w:r>
          </w:p>
        </w:tc>
        <w:tc>
          <w:tcPr>
            <w:tcW w:w="1267" w:type="dxa"/>
          </w:tcPr>
          <w:p>
            <w:pPr>
              <w:spacing w:before="30" w:after="30" w:line="254" w:lineRule="auto"/>
              <w:jc w:val="right"/>
            </w:pPr>
            <w:r>
              <w:rPr>
                <w:rFonts w:ascii="Cambria" w:hAnsi="Cambria"/>
                <w:color w:val="1A1A1A"/>
                <w:sz w:val="17"/>
              </w:rPr>
              <w:t>₹85 lakh</w:t>
            </w:r>
          </w:p>
        </w:tc>
      </w:tr>
      <w:tr>
        <w:trPr>
          <w:cantSplit w:val="true"/>
        </w:trPr>
        <w:tc>
          <w:tcPr>
            <w:tcW w:w="2476" w:type="dxa"/>
          </w:tcPr>
          <w:p>
            <w:pPr>
              <w:spacing w:before="30" w:after="30" w:line="254" w:lineRule="auto"/>
            </w:pPr>
            <w:r>
              <w:rPr>
                <w:rFonts w:ascii="Cambria" w:hAnsi="Cambria"/>
                <w:color w:val="1A1A1A"/>
                <w:sz w:val="17"/>
              </w:rPr>
              <w:t>2.  Ingestion and Knowledge Fabric</w:t>
            </w:r>
          </w:p>
        </w:tc>
        <w:tc>
          <w:tcPr>
            <w:tcW w:w="4824" w:type="dxa"/>
          </w:tcPr>
          <w:p>
            <w:pPr>
              <w:spacing w:before="30" w:after="30" w:line="254" w:lineRule="auto"/>
            </w:pPr>
            <w:r>
              <w:rPr>
                <w:rFonts w:ascii="Cambria" w:hAnsi="Cambria"/>
                <w:color w:val="1A1A1A"/>
                <w:sz w:val="17"/>
              </w:rPr>
              <w:t>Multi-format intake, Marathi document digitisation, meeting transcription, officer verification, indexed institutional memory with retrieval</w:t>
            </w:r>
          </w:p>
        </w:tc>
        <w:tc>
          <w:tcPr>
            <w:tcW w:w="892" w:type="dxa"/>
          </w:tcPr>
          <w:p>
            <w:pPr>
              <w:spacing w:before="30" w:after="30" w:line="254" w:lineRule="auto"/>
            </w:pPr>
            <w:r>
              <w:rPr>
                <w:rFonts w:ascii="Cambria" w:hAnsi="Cambria"/>
                <w:color w:val="1A1A1A"/>
                <w:sz w:val="17"/>
              </w:rPr>
              <w:t>10 weeks</w:t>
            </w:r>
          </w:p>
        </w:tc>
        <w:tc>
          <w:tcPr>
            <w:tcW w:w="1267" w:type="dxa"/>
          </w:tcPr>
          <w:p>
            <w:pPr>
              <w:spacing w:before="30" w:after="30" w:line="254" w:lineRule="auto"/>
              <w:jc w:val="right"/>
            </w:pPr>
            <w:r>
              <w:rPr>
                <w:rFonts w:ascii="Cambria" w:hAnsi="Cambria"/>
                <w:color w:val="1A1A1A"/>
                <w:sz w:val="17"/>
              </w:rPr>
              <w:t>₹75 lakh</w:t>
            </w:r>
          </w:p>
        </w:tc>
      </w:tr>
      <w:tr>
        <w:trPr>
          <w:cantSplit w:val="true"/>
        </w:trPr>
        <w:tc>
          <w:tcPr>
            <w:tcW w:w="2476" w:type="dxa"/>
          </w:tcPr>
          <w:p>
            <w:pPr>
              <w:spacing w:before="30" w:after="30" w:line="254" w:lineRule="auto"/>
            </w:pPr>
            <w:r>
              <w:rPr>
                <w:rFonts w:ascii="Cambria" w:hAnsi="Cambria"/>
                <w:color w:val="1A1A1A"/>
                <w:sz w:val="17"/>
              </w:rPr>
              <w:t>3.  Marathi Language and Model Adaptation</w:t>
            </w:r>
          </w:p>
        </w:tc>
        <w:tc>
          <w:tcPr>
            <w:tcW w:w="4824" w:type="dxa"/>
          </w:tcPr>
          <w:p>
            <w:pPr>
              <w:spacing w:before="30" w:after="30" w:line="254" w:lineRule="auto"/>
            </w:pPr>
            <w:r>
              <w:rPr>
                <w:rFonts w:ascii="Cambria" w:hAnsi="Cambria"/>
                <w:color w:val="1A1A1A"/>
                <w:sz w:val="17"/>
              </w:rPr>
              <w:t>Corpus preparation, supervised model adaptation, terminology dictionaries, Marathi evaluation harness, regression control, model registry</w:t>
            </w:r>
          </w:p>
        </w:tc>
        <w:tc>
          <w:tcPr>
            <w:tcW w:w="892" w:type="dxa"/>
          </w:tcPr>
          <w:p>
            <w:pPr>
              <w:spacing w:before="30" w:after="30" w:line="254" w:lineRule="auto"/>
            </w:pPr>
            <w:r>
              <w:rPr>
                <w:rFonts w:ascii="Cambria" w:hAnsi="Cambria"/>
                <w:color w:val="1A1A1A"/>
                <w:sz w:val="17"/>
              </w:rPr>
              <w:t>14 weeks</w:t>
            </w:r>
          </w:p>
        </w:tc>
        <w:tc>
          <w:tcPr>
            <w:tcW w:w="1267" w:type="dxa"/>
          </w:tcPr>
          <w:p>
            <w:pPr>
              <w:spacing w:before="30" w:after="30" w:line="254" w:lineRule="auto"/>
              <w:jc w:val="right"/>
            </w:pPr>
            <w:r>
              <w:rPr>
                <w:rFonts w:ascii="Cambria" w:hAnsi="Cambria"/>
                <w:color w:val="1A1A1A"/>
                <w:sz w:val="17"/>
              </w:rPr>
              <w:t>₹95 lakh</w:t>
            </w:r>
          </w:p>
        </w:tc>
      </w:tr>
      <w:tr>
        <w:trPr>
          <w:cantSplit w:val="true"/>
        </w:trPr>
        <w:tc>
          <w:tcPr>
            <w:tcW w:w="2476" w:type="dxa"/>
          </w:tcPr>
          <w:p>
            <w:pPr>
              <w:spacing w:before="30" w:after="30" w:line="254" w:lineRule="auto"/>
            </w:pPr>
            <w:r>
              <w:rPr>
                <w:rFonts w:ascii="Cambria" w:hAnsi="Cambria"/>
                <w:color w:val="1A1A1A"/>
                <w:sz w:val="17"/>
              </w:rPr>
              <w:t>4.  Editorial Production Suite</w:t>
            </w:r>
          </w:p>
        </w:tc>
        <w:tc>
          <w:tcPr>
            <w:tcW w:w="4824" w:type="dxa"/>
          </w:tcPr>
          <w:p>
            <w:pPr>
              <w:spacing w:before="30" w:after="30" w:line="254" w:lineRule="auto"/>
            </w:pPr>
            <w:r>
              <w:rPr>
                <w:rFonts w:ascii="Cambria" w:hAnsi="Cambria"/>
                <w:color w:val="1A1A1A"/>
                <w:sz w:val="17"/>
              </w:rPr>
              <w:t>Article and news production, departmental style matching, designation control, glossary, translation, proofreading, source verification</w:t>
            </w:r>
          </w:p>
        </w:tc>
        <w:tc>
          <w:tcPr>
            <w:tcW w:w="892" w:type="dxa"/>
          </w:tcPr>
          <w:p>
            <w:pPr>
              <w:spacing w:before="30" w:after="30" w:line="254" w:lineRule="auto"/>
            </w:pPr>
            <w:r>
              <w:rPr>
                <w:rFonts w:ascii="Cambria" w:hAnsi="Cambria"/>
                <w:color w:val="1A1A1A"/>
                <w:sz w:val="17"/>
              </w:rPr>
              <w:t>12 weeks</w:t>
            </w:r>
          </w:p>
        </w:tc>
        <w:tc>
          <w:tcPr>
            <w:tcW w:w="1267" w:type="dxa"/>
          </w:tcPr>
          <w:p>
            <w:pPr>
              <w:spacing w:before="30" w:after="30" w:line="254" w:lineRule="auto"/>
              <w:jc w:val="right"/>
            </w:pPr>
            <w:r>
              <w:rPr>
                <w:rFonts w:ascii="Cambria" w:hAnsi="Cambria"/>
                <w:color w:val="1A1A1A"/>
                <w:sz w:val="17"/>
              </w:rPr>
              <w:t>₹85 lakh</w:t>
            </w:r>
          </w:p>
        </w:tc>
      </w:tr>
      <w:tr>
        <w:trPr>
          <w:cantSplit w:val="true"/>
        </w:trPr>
        <w:tc>
          <w:tcPr>
            <w:tcW w:w="2476" w:type="dxa"/>
          </w:tcPr>
          <w:p>
            <w:pPr>
              <w:spacing w:before="30" w:after="30" w:line="254" w:lineRule="auto"/>
            </w:pPr>
            <w:r>
              <w:rPr>
                <w:rFonts w:ascii="Cambria" w:hAnsi="Cambria"/>
                <w:color w:val="1A1A1A"/>
                <w:sz w:val="17"/>
              </w:rPr>
              <w:t>5.  Design and Visual Communication</w:t>
            </w:r>
          </w:p>
        </w:tc>
        <w:tc>
          <w:tcPr>
            <w:tcW w:w="4824" w:type="dxa"/>
          </w:tcPr>
          <w:p>
            <w:pPr>
              <w:spacing w:before="30" w:after="30" w:line="254" w:lineRule="auto"/>
            </w:pPr>
            <w:r>
              <w:rPr>
                <w:rFonts w:ascii="Cambria" w:hAnsi="Cambria"/>
                <w:color w:val="1A1A1A"/>
                <w:sz w:val="17"/>
              </w:rPr>
              <w:t>Posters, creatives, banners and thumbnails, template and identity library, captions, visual feedback, print and channel-ready export</w:t>
            </w:r>
          </w:p>
        </w:tc>
        <w:tc>
          <w:tcPr>
            <w:tcW w:w="892" w:type="dxa"/>
          </w:tcPr>
          <w:p>
            <w:pPr>
              <w:spacing w:before="30" w:after="30" w:line="254" w:lineRule="auto"/>
            </w:pPr>
            <w:r>
              <w:rPr>
                <w:rFonts w:ascii="Cambria" w:hAnsi="Cambria"/>
                <w:color w:val="1A1A1A"/>
                <w:sz w:val="17"/>
              </w:rPr>
              <w:t>10 weeks</w:t>
            </w:r>
          </w:p>
        </w:tc>
        <w:tc>
          <w:tcPr>
            <w:tcW w:w="1267" w:type="dxa"/>
          </w:tcPr>
          <w:p>
            <w:pPr>
              <w:spacing w:before="30" w:after="30" w:line="254" w:lineRule="auto"/>
              <w:jc w:val="right"/>
            </w:pPr>
            <w:r>
              <w:rPr>
                <w:rFonts w:ascii="Cambria" w:hAnsi="Cambria"/>
                <w:color w:val="1A1A1A"/>
                <w:sz w:val="17"/>
              </w:rPr>
              <w:t>₹70 lakh</w:t>
            </w:r>
          </w:p>
        </w:tc>
      </w:tr>
      <w:tr>
        <w:trPr>
          <w:cantSplit w:val="true"/>
        </w:trPr>
        <w:tc>
          <w:tcPr>
            <w:tcW w:w="2476" w:type="dxa"/>
          </w:tcPr>
          <w:p>
            <w:pPr>
              <w:spacing w:before="30" w:after="30" w:line="254" w:lineRule="auto"/>
            </w:pPr>
            <w:r>
              <w:rPr>
                <w:rFonts w:ascii="Cambria" w:hAnsi="Cambria"/>
                <w:color w:val="1A1A1A"/>
                <w:sz w:val="17"/>
              </w:rPr>
              <w:t>6.  Broadcast and Video Studio</w:t>
            </w:r>
          </w:p>
        </w:tc>
        <w:tc>
          <w:tcPr>
            <w:tcW w:w="4824" w:type="dxa"/>
          </w:tcPr>
          <w:p>
            <w:pPr>
              <w:spacing w:before="30" w:after="30" w:line="254" w:lineRule="auto"/>
            </w:pPr>
            <w:r>
              <w:rPr>
                <w:rFonts w:ascii="Cambria" w:hAnsi="Cambria"/>
                <w:color w:val="1A1A1A"/>
                <w:sz w:val="17"/>
              </w:rPr>
              <w:t>Scripted explainer films, studio interview and anchor production, multi-camera handling, subtitles, branding, extracts and derivatives</w:t>
            </w:r>
          </w:p>
        </w:tc>
        <w:tc>
          <w:tcPr>
            <w:tcW w:w="892" w:type="dxa"/>
          </w:tcPr>
          <w:p>
            <w:pPr>
              <w:spacing w:before="30" w:after="30" w:line="254" w:lineRule="auto"/>
            </w:pPr>
            <w:r>
              <w:rPr>
                <w:rFonts w:ascii="Cambria" w:hAnsi="Cambria"/>
                <w:color w:val="1A1A1A"/>
                <w:sz w:val="17"/>
              </w:rPr>
              <w:t>16 weeks</w:t>
            </w:r>
          </w:p>
        </w:tc>
        <w:tc>
          <w:tcPr>
            <w:tcW w:w="1267" w:type="dxa"/>
          </w:tcPr>
          <w:p>
            <w:pPr>
              <w:spacing w:before="30" w:after="30" w:line="254" w:lineRule="auto"/>
              <w:jc w:val="right"/>
            </w:pPr>
            <w:r>
              <w:rPr>
                <w:rFonts w:ascii="Cambria" w:hAnsi="Cambria"/>
                <w:color w:val="1A1A1A"/>
                <w:sz w:val="17"/>
              </w:rPr>
              <w:t>₹95 lakh</w:t>
            </w:r>
          </w:p>
        </w:tc>
      </w:tr>
      <w:tr>
        <w:trPr>
          <w:cantSplit w:val="true"/>
        </w:trPr>
        <w:tc>
          <w:tcPr>
            <w:tcW w:w="2476" w:type="dxa"/>
          </w:tcPr>
          <w:p>
            <w:pPr>
              <w:spacing w:before="30" w:after="30" w:line="254" w:lineRule="auto"/>
            </w:pPr>
            <w:r>
              <w:rPr>
                <w:rFonts w:ascii="Cambria" w:hAnsi="Cambria"/>
                <w:color w:val="1A1A1A"/>
                <w:sz w:val="17"/>
              </w:rPr>
              <w:t>7.  Media Monitoring, Citizen Response and Distribution</w:t>
            </w:r>
          </w:p>
        </w:tc>
        <w:tc>
          <w:tcPr>
            <w:tcW w:w="4824" w:type="dxa"/>
          </w:tcPr>
          <w:p>
            <w:pPr>
              <w:spacing w:before="30" w:after="30" w:line="254" w:lineRule="auto"/>
            </w:pPr>
            <w:r>
              <w:rPr>
                <w:rFonts w:ascii="Cambria" w:hAnsi="Cambria"/>
                <w:color w:val="1A1A1A"/>
                <w:sz w:val="17"/>
              </w:rPr>
              <w:t>Newspaper and e-paper monitoring, clipping and digests, coverage archive, enquiry and RTI drafting assistance, controlled distribution</w:t>
            </w:r>
          </w:p>
        </w:tc>
        <w:tc>
          <w:tcPr>
            <w:tcW w:w="892" w:type="dxa"/>
          </w:tcPr>
          <w:p>
            <w:pPr>
              <w:spacing w:before="30" w:after="30" w:line="254" w:lineRule="auto"/>
            </w:pPr>
            <w:r>
              <w:rPr>
                <w:rFonts w:ascii="Cambria" w:hAnsi="Cambria"/>
                <w:color w:val="1A1A1A"/>
                <w:sz w:val="17"/>
              </w:rPr>
              <w:t>10 weeks</w:t>
            </w:r>
          </w:p>
        </w:tc>
        <w:tc>
          <w:tcPr>
            <w:tcW w:w="1267" w:type="dxa"/>
          </w:tcPr>
          <w:p>
            <w:pPr>
              <w:spacing w:before="30" w:after="30" w:line="254" w:lineRule="auto"/>
              <w:jc w:val="right"/>
            </w:pPr>
            <w:r>
              <w:rPr>
                <w:rFonts w:ascii="Cambria" w:hAnsi="Cambria"/>
                <w:color w:val="1A1A1A"/>
                <w:sz w:val="17"/>
              </w:rPr>
              <w:t>₹65 lakh</w:t>
            </w:r>
          </w:p>
        </w:tc>
      </w:tr>
      <w:tr>
        <w:trPr>
          <w:cantSplit w:val="true"/>
        </w:trPr>
        <w:tc>
          <w:tcPr>
            <w:shd w:val="clear" w:fill="EDF2F4"/>
            <w:tcW w:w="2476" w:type="dxa"/>
          </w:tcPr>
          <w:p>
            <w:pPr>
              <w:spacing w:before="30" w:after="30" w:line="254" w:lineRule="auto"/>
            </w:pPr>
            <w:r>
              <w:rPr>
                <w:rFonts w:ascii="Cambria" w:hAnsi="Cambria"/>
                <w:b/>
                <w:color w:val="1A1A1A"/>
                <w:sz w:val="17"/>
              </w:rPr>
              <w:t>Subtotal — delivery workstreams</w:t>
            </w:r>
          </w:p>
        </w:tc>
        <w:tc>
          <w:tcPr>
            <w:shd w:val="clear" w:fill="EDF2F4"/>
            <w:tcW w:w="4824" w:type="dxa"/>
          </w:tcPr>
          <w:p>
            <w:pPr>
              <w:spacing w:before="30" w:after="30" w:line="254" w:lineRule="auto"/>
            </w:pPr>
            <w:r>
              <w:rPr>
                <w:rFonts w:ascii="Cambria" w:hAnsi="Cambria"/>
                <w:b/>
                <w:color w:val="1A1A1A"/>
                <w:sz w:val="17"/>
              </w:rPr>
            </w:r>
          </w:p>
        </w:tc>
        <w:tc>
          <w:tcPr>
            <w:shd w:val="clear" w:fill="EDF2F4"/>
            <w:tcW w:w="892" w:type="dxa"/>
          </w:tcPr>
          <w:p>
            <w:pPr>
              <w:spacing w:before="30" w:after="30" w:line="254" w:lineRule="auto"/>
            </w:pPr>
            <w:r>
              <w:rPr>
                <w:rFonts w:ascii="Cambria" w:hAnsi="Cambria"/>
                <w:b/>
                <w:color w:val="1A1A1A"/>
                <w:sz w:val="17"/>
              </w:rPr>
            </w:r>
          </w:p>
        </w:tc>
        <w:tc>
          <w:tcPr>
            <w:shd w:val="clear" w:fill="EDF2F4"/>
            <w:tcW w:w="1267" w:type="dxa"/>
          </w:tcPr>
          <w:p>
            <w:pPr>
              <w:spacing w:before="30" w:after="30" w:line="254" w:lineRule="auto"/>
              <w:jc w:val="right"/>
            </w:pPr>
            <w:r>
              <w:rPr>
                <w:rFonts w:ascii="Cambria" w:hAnsi="Cambria"/>
                <w:b/>
                <w:color w:val="1A1A1A"/>
                <w:sz w:val="17"/>
              </w:rPr>
              <w:t>₹5.70 crore</w:t>
            </w:r>
          </w:p>
        </w:tc>
      </w:tr>
    </w:tbl>
    <w:p>
      <w:pPr>
        <w:spacing w:after="80"/>
      </w:pPr>
    </w:p>
    <w:p>
      <w:pPr>
        <w:pStyle w:val="Heading2"/>
      </w:pPr>
      <w:r>
        <w:t>3.1  Workstream 1 — Secure AI Platform and Governance Layer</w:t>
      </w:r>
    </w:p>
    <w:p>
      <w:r>
        <w:rPr>
          <w:rFonts w:ascii="Cambria" w:hAnsi="Cambria"/>
          <w:b w:val="0"/>
          <w:color w:val="1A1A1A"/>
          <w:sz w:val="21"/>
        </w:rPr>
        <w:t>The controlled environment everything else runs inside: the private model-serving stack on departmental infrastructure, the identity and permission model for headquarters, divisional and district offices, and the governance record showing who did what to which official material. Built once, relied on by every workstream that follows.</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Private model serving and routing; identity, roles and office hierarchy; encryption and retention policy; complete audit and source-to-output lineage; job orchestration and recovery; Marathi web and installable mobile workspace; backup and disaster recovery.</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10 weeks</w:t>
      </w:r>
      <w:r>
        <w:rPr>
          <w:sz w:val="18"/>
        </w:rPr>
        <w:t xml:space="preserve">     </w:t>
      </w:r>
      <w:r>
        <w:rPr>
          <w:rFonts w:ascii="Cambria" w:hAnsi="Cambria"/>
          <w:b/>
          <w:color w:val="1F4E5F"/>
          <w:sz w:val="18"/>
        </w:rPr>
        <w:t xml:space="preserve">Available from  </w:t>
      </w:r>
      <w:r>
        <w:rPr>
          <w:rFonts w:ascii="Cambria" w:hAnsi="Cambria"/>
          <w:color w:val="1A1A1A"/>
          <w:sz w:val="18"/>
        </w:rPr>
        <w:t>Milestone 1</w:t>
      </w:r>
      <w:r>
        <w:rPr>
          <w:sz w:val="18"/>
        </w:rPr>
        <w:t xml:space="preserve">     </w:t>
      </w:r>
      <w:r>
        <w:rPr>
          <w:rFonts w:ascii="Cambria" w:hAnsi="Cambria"/>
          <w:b/>
          <w:color w:val="1F4E5F"/>
          <w:sz w:val="18"/>
        </w:rPr>
        <w:t xml:space="preserve">Value  </w:t>
      </w:r>
      <w:r>
        <w:rPr>
          <w:rFonts w:ascii="Cambria" w:hAnsi="Cambria"/>
          <w:color w:val="1A1A1A"/>
          <w:sz w:val="18"/>
        </w:rPr>
        <w:t>₹85 lakh</w:t>
      </w:r>
    </w:p>
    <w:p>
      <w:pPr>
        <w:pStyle w:val="Heading2"/>
      </w:pPr>
      <w:r>
        <w:t>3.2  Workstream 2 — Ingestion and Knowledge Fabric</w:t>
      </w:r>
    </w:p>
    <w:p>
      <w:r>
        <w:rPr>
          <w:rFonts w:ascii="Cambria" w:hAnsi="Cambria"/>
          <w:b w:val="0"/>
          <w:color w:val="1A1A1A"/>
          <w:sz w:val="21"/>
        </w:rPr>
        <w:t>The layer that accepts departmental material in whatever form it arrives and turns it into indexed, searchable institutional memory. Nothing is produced from a source until the officer has confirmed what was read from it.</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Intake of notes, orders, scans, photographs, recordings and approved video links; Marathi document digitisation; meeting and briefing transcription; officer verification and correction; indexed knowledge fabric with grounded retrieval and source provenance.</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10 weeks</w:t>
      </w:r>
      <w:r>
        <w:rPr>
          <w:sz w:val="18"/>
        </w:rPr>
        <w:t xml:space="preserve">     </w:t>
      </w:r>
      <w:r>
        <w:rPr>
          <w:rFonts w:ascii="Cambria" w:hAnsi="Cambria"/>
          <w:b/>
          <w:color w:val="1F4E5F"/>
          <w:sz w:val="18"/>
        </w:rPr>
        <w:t xml:space="preserve">Available from  </w:t>
      </w:r>
      <w:r>
        <w:rPr>
          <w:rFonts w:ascii="Cambria" w:hAnsi="Cambria"/>
          <w:color w:val="1A1A1A"/>
          <w:sz w:val="18"/>
        </w:rPr>
        <w:t>Milestone 1</w:t>
      </w:r>
      <w:r>
        <w:rPr>
          <w:sz w:val="18"/>
        </w:rPr>
        <w:t xml:space="preserve">     </w:t>
      </w:r>
      <w:r>
        <w:rPr>
          <w:rFonts w:ascii="Cambria" w:hAnsi="Cambria"/>
          <w:b/>
          <w:color w:val="1F4E5F"/>
          <w:sz w:val="18"/>
        </w:rPr>
        <w:t xml:space="preserve">Value  </w:t>
      </w:r>
      <w:r>
        <w:rPr>
          <w:rFonts w:ascii="Cambria" w:hAnsi="Cambria"/>
          <w:color w:val="1A1A1A"/>
          <w:sz w:val="18"/>
        </w:rPr>
        <w:t>₹75 lakh</w:t>
      </w:r>
    </w:p>
    <w:p>
      <w:pPr>
        <w:pStyle w:val="Heading2"/>
      </w:pPr>
      <w:r>
        <w:t>3.3  Workstream 3 — Marathi Language and Model Adaptation</w:t>
      </w:r>
    </w:p>
    <w:p>
      <w:r>
        <w:rPr>
          <w:rFonts w:ascii="Cambria" w:hAnsi="Cambria"/>
          <w:b w:val="0"/>
          <w:color w:val="1A1A1A"/>
          <w:sz w:val="21"/>
        </w:rPr>
        <w:t>The workstream that distinguishes this offer. Approved departmental material is used to adapt language models to Mahasamvad's editorial register, Maharashtra government terminology and Marathi administrative usage, with every model change tested against the department's own cases before it reaches production.</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Corpus preparation from approved material; supervised adaptation and instruction tuning; terminology and designation dictionaries; a Marathi quality evaluation harness; regression testing before every change; controlled model registry with rollback.</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14 weeks</w:t>
      </w:r>
      <w:r>
        <w:rPr>
          <w:sz w:val="18"/>
        </w:rPr>
        <w:t xml:space="preserve">     </w:t>
      </w:r>
      <w:r>
        <w:rPr>
          <w:rFonts w:ascii="Cambria" w:hAnsi="Cambria"/>
          <w:b/>
          <w:color w:val="1F4E5F"/>
          <w:sz w:val="18"/>
        </w:rPr>
        <w:t xml:space="preserve">Available from  </w:t>
      </w:r>
      <w:r>
        <w:rPr>
          <w:rFonts w:ascii="Cambria" w:hAnsi="Cambria"/>
          <w:color w:val="1A1A1A"/>
          <w:sz w:val="18"/>
        </w:rPr>
        <w:t>Milestone 2</w:t>
      </w:r>
      <w:r>
        <w:rPr>
          <w:sz w:val="18"/>
        </w:rPr>
        <w:t xml:space="preserve">     </w:t>
      </w:r>
      <w:r>
        <w:rPr>
          <w:rFonts w:ascii="Cambria" w:hAnsi="Cambria"/>
          <w:b/>
          <w:color w:val="1F4E5F"/>
          <w:sz w:val="18"/>
        </w:rPr>
        <w:t xml:space="preserve">Value  </w:t>
      </w:r>
      <w:r>
        <w:rPr>
          <w:rFonts w:ascii="Cambria" w:hAnsi="Cambria"/>
          <w:color w:val="1A1A1A"/>
          <w:sz w:val="18"/>
        </w:rPr>
        <w:t>₹95 lakh</w:t>
      </w:r>
    </w:p>
    <w:p>
      <w:pPr>
        <w:pStyle w:val="Heading2"/>
      </w:pPr>
      <w:r>
        <w:t>3.4  Workstream 4 — Editorial Production Suite</w:t>
      </w:r>
    </w:p>
    <w:p>
      <w:r>
        <w:rPr>
          <w:rFonts w:ascii="Cambria" w:hAnsi="Cambria"/>
          <w:b w:val="0"/>
          <w:color w:val="1A1A1A"/>
          <w:sz w:val="21"/>
        </w:rPr>
        <w:t>Approved source material becomes finished Marathi news reports, scheme articles and departmental write-ups, with translation and language correction available in the same place and every statement checkable against the officer's source.</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Meeting- and document-to-article production; departmental style matching; name and designation control; verified glossary; Marathi, Hindi and English output; proofreading; source verification; revision history and publication-ready export.</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12 weeks</w:t>
      </w:r>
      <w:r>
        <w:rPr>
          <w:sz w:val="18"/>
        </w:rPr>
        <w:t xml:space="preserve">     </w:t>
      </w:r>
      <w:r>
        <w:rPr>
          <w:rFonts w:ascii="Cambria" w:hAnsi="Cambria"/>
          <w:b/>
          <w:color w:val="1F4E5F"/>
          <w:sz w:val="18"/>
        </w:rPr>
        <w:t xml:space="preserve">Available from  </w:t>
      </w:r>
      <w:r>
        <w:rPr>
          <w:rFonts w:ascii="Cambria" w:hAnsi="Cambria"/>
          <w:color w:val="1A1A1A"/>
          <w:sz w:val="18"/>
        </w:rPr>
        <w:t>Milestone 2</w:t>
      </w:r>
      <w:r>
        <w:rPr>
          <w:sz w:val="18"/>
        </w:rPr>
        <w:t xml:space="preserve">     </w:t>
      </w:r>
      <w:r>
        <w:rPr>
          <w:rFonts w:ascii="Cambria" w:hAnsi="Cambria"/>
          <w:b/>
          <w:color w:val="1F4E5F"/>
          <w:sz w:val="18"/>
        </w:rPr>
        <w:t xml:space="preserve">Value  </w:t>
      </w:r>
      <w:r>
        <w:rPr>
          <w:rFonts w:ascii="Cambria" w:hAnsi="Cambria"/>
          <w:color w:val="1A1A1A"/>
          <w:sz w:val="18"/>
        </w:rPr>
        <w:t>₹85 lakh</w:t>
      </w:r>
    </w:p>
    <w:p>
      <w:pPr>
        <w:pStyle w:val="Heading2"/>
      </w:pPr>
      <w:r>
        <w:t>3.5  Workstream 5 — Design and Visual Communication</w:t>
      </w:r>
    </w:p>
    <w:p>
      <w:r>
        <w:rPr>
          <w:rFonts w:ascii="Cambria" w:hAnsi="Cambria"/>
          <w:b w:val="0"/>
          <w:color w:val="1A1A1A"/>
          <w:sz w:val="21"/>
        </w:rPr>
        <w:t>Still visual output produced from the same approved material: campaign posters, social creatives, information graphics and video thumbnails, composed under the Government of Maharashtra's visual identity with correct Devanagari typesetting.</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Posters, creatives, banners and thumbnails; managed template and asset library; official identity application; caption drafting; region-level visual feedback; version history; print- and channel-ready export.</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10 weeks</w:t>
      </w:r>
      <w:r>
        <w:rPr>
          <w:sz w:val="18"/>
        </w:rPr>
        <w:t xml:space="preserve">     </w:t>
      </w:r>
      <w:r>
        <w:rPr>
          <w:rFonts w:ascii="Cambria" w:hAnsi="Cambria"/>
          <w:b/>
          <w:color w:val="1F4E5F"/>
          <w:sz w:val="18"/>
        </w:rPr>
        <w:t xml:space="preserve">Available from  </w:t>
      </w:r>
      <w:r>
        <w:rPr>
          <w:rFonts w:ascii="Cambria" w:hAnsi="Cambria"/>
          <w:color w:val="1A1A1A"/>
          <w:sz w:val="18"/>
        </w:rPr>
        <w:t>Milestone 3</w:t>
      </w:r>
      <w:r>
        <w:rPr>
          <w:sz w:val="18"/>
        </w:rPr>
        <w:t xml:space="preserve">     </w:t>
      </w:r>
      <w:r>
        <w:rPr>
          <w:rFonts w:ascii="Cambria" w:hAnsi="Cambria"/>
          <w:b/>
          <w:color w:val="1F4E5F"/>
          <w:sz w:val="18"/>
        </w:rPr>
        <w:t xml:space="preserve">Value  </w:t>
      </w:r>
      <w:r>
        <w:rPr>
          <w:rFonts w:ascii="Cambria" w:hAnsi="Cambria"/>
          <w:color w:val="1A1A1A"/>
          <w:sz w:val="18"/>
        </w:rPr>
        <w:t>₹70 lakh</w:t>
      </w:r>
    </w:p>
    <w:p>
      <w:pPr>
        <w:pStyle w:val="Heading2"/>
      </w:pPr>
      <w:r>
        <w:t>3.6  Workstream 6 — Broadcast and Video Studio</w:t>
      </w:r>
    </w:p>
    <w:p>
      <w:r>
        <w:rPr>
          <w:rFonts w:ascii="Cambria" w:hAnsi="Cambria"/>
          <w:b w:val="0"/>
          <w:color w:val="1A1A1A"/>
          <w:sz w:val="21"/>
        </w:rPr>
        <w:t>Moving-image production for the department, covering scripted explainer films and full studio programme support — interviews, expert conversations, press briefings and anchor-led bulletins — from research and rundown through to a finished, subtitled, branded programme.</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Explainer film scripting, scene review and narration; subtitles and transcripts; studio research, briefs, questions and teleprompter scripts; multi-camera and audio handling; editing, lower-thirds and branding; episodes, extracts and translated versions.</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16 weeks</w:t>
      </w:r>
      <w:r>
        <w:rPr>
          <w:sz w:val="18"/>
        </w:rPr>
        <w:t xml:space="preserve">     </w:t>
      </w:r>
      <w:r>
        <w:rPr>
          <w:rFonts w:ascii="Cambria" w:hAnsi="Cambria"/>
          <w:b/>
          <w:color w:val="1F4E5F"/>
          <w:sz w:val="18"/>
        </w:rPr>
        <w:t xml:space="preserve">Available from  </w:t>
      </w:r>
      <w:r>
        <w:rPr>
          <w:rFonts w:ascii="Cambria" w:hAnsi="Cambria"/>
          <w:color w:val="1A1A1A"/>
          <w:sz w:val="18"/>
        </w:rPr>
        <w:t>Milestone 3</w:t>
      </w:r>
      <w:r>
        <w:rPr>
          <w:sz w:val="18"/>
        </w:rPr>
        <w:t xml:space="preserve">     </w:t>
      </w:r>
      <w:r>
        <w:rPr>
          <w:rFonts w:ascii="Cambria" w:hAnsi="Cambria"/>
          <w:b/>
          <w:color w:val="1F4E5F"/>
          <w:sz w:val="18"/>
        </w:rPr>
        <w:t xml:space="preserve">Value  </w:t>
      </w:r>
      <w:r>
        <w:rPr>
          <w:rFonts w:ascii="Cambria" w:hAnsi="Cambria"/>
          <w:color w:val="1A1A1A"/>
          <w:sz w:val="18"/>
        </w:rPr>
        <w:t>₹95 lakh</w:t>
      </w:r>
    </w:p>
    <w:p>
      <w:pPr>
        <w:pStyle w:val="Heading2"/>
      </w:pPr>
      <w:r>
        <w:t>3.7  Workstream 7 — Media Monitoring, Citizen Response and Distribution</w:t>
      </w:r>
    </w:p>
    <w:p>
      <w:r>
        <w:rPr>
          <w:rFonts w:ascii="Cambria" w:hAnsi="Cambria"/>
          <w:b w:val="0"/>
          <w:color w:val="1A1A1A"/>
          <w:sz w:val="21"/>
        </w:rPr>
        <w:t>What is being said about the department, and how approved communication reaches the people who need it. Press coverage is read and organised daily; approved outputs are distributed to divisional and district offices and to public enquiry channels.</w:t>
      </w:r>
    </w:p>
    <w:p>
      <w:pPr>
        <w:spacing w:before="0" w:after="40" w:line="269" w:lineRule="auto"/>
        <w:ind w:left="144"/>
      </w:pPr>
      <w:r>
        <w:rPr>
          <w:rFonts w:ascii="Cambria" w:hAnsi="Cambria"/>
          <w:b/>
          <w:color w:val="1F4E5F"/>
          <w:sz w:val="19"/>
        </w:rPr>
        <w:t xml:space="preserve">Includes  </w:t>
      </w:r>
      <w:r>
        <w:rPr>
          <w:rFonts w:ascii="Cambria" w:hAnsi="Cambria"/>
          <w:color w:val="5C5C5C"/>
          <w:sz w:val="19"/>
        </w:rPr>
        <w:t>Newspaper and e-paper ingestion in Marathi, Hindi and English; clipping, classification and daily digest; searchable coverage archive; escalation alerts; citizen enquiry and RTI drafting assistance; controlled distribution to offices and enquiry desks.</w:t>
      </w:r>
    </w:p>
    <w:p>
      <w:pPr>
        <w:spacing w:before="60" w:after="200"/>
        <w:pBdr>
          <w:left w:val="single" w:sz="18" w:space="6" w:color="1F4E5F"/>
        </w:pBdr>
        <w:ind w:left="144"/>
      </w:pPr>
      <w:r>
        <w:rPr>
          <w:rFonts w:ascii="Cambria" w:hAnsi="Cambria"/>
          <w:b/>
          <w:color w:val="1F4E5F"/>
          <w:sz w:val="18"/>
        </w:rPr>
        <w:t xml:space="preserve">Effort  </w:t>
      </w:r>
      <w:r>
        <w:rPr>
          <w:rFonts w:ascii="Cambria" w:hAnsi="Cambria"/>
          <w:color w:val="1A1A1A"/>
          <w:sz w:val="18"/>
        </w:rPr>
        <w:t>10 weeks</w:t>
      </w:r>
      <w:r>
        <w:rPr>
          <w:sz w:val="18"/>
        </w:rPr>
        <w:t xml:space="preserve">     </w:t>
      </w:r>
      <w:r>
        <w:rPr>
          <w:rFonts w:ascii="Cambria" w:hAnsi="Cambria"/>
          <w:b/>
          <w:color w:val="1F4E5F"/>
          <w:sz w:val="18"/>
        </w:rPr>
        <w:t xml:space="preserve">Available from  </w:t>
      </w:r>
      <w:r>
        <w:rPr>
          <w:rFonts w:ascii="Cambria" w:hAnsi="Cambria"/>
          <w:color w:val="1A1A1A"/>
          <w:sz w:val="18"/>
        </w:rPr>
        <w:t>Milestone 4</w:t>
      </w:r>
      <w:r>
        <w:rPr>
          <w:sz w:val="18"/>
        </w:rPr>
        <w:t xml:space="preserve">     </w:t>
      </w:r>
      <w:r>
        <w:rPr>
          <w:rFonts w:ascii="Cambria" w:hAnsi="Cambria"/>
          <w:b/>
          <w:color w:val="1F4E5F"/>
          <w:sz w:val="18"/>
        </w:rPr>
        <w:t xml:space="preserve">Value  </w:t>
      </w:r>
      <w:r>
        <w:rPr>
          <w:rFonts w:ascii="Cambria" w:hAnsi="Cambria"/>
          <w:color w:val="1A1A1A"/>
          <w:sz w:val="18"/>
        </w:rPr>
        <w:t>₹65 lakh</w:t>
      </w:r>
    </w:p>
    <w:p>
      <w:pPr>
        <w:pStyle w:val="Heading1"/>
        <w:pBdr>
          <w:bottom w:val="single" w:sz="8" w:space="4" w:color="1F4E5F"/>
        </w:pBdr>
      </w:pPr>
      <w:r>
        <w:t>4.  Managed service, consumption and support</w:t>
      </w:r>
    </w:p>
    <w:p>
      <w:r>
        <w:rPr>
          <w:rFonts w:ascii="Cambria" w:hAnsi="Cambria"/>
          <w:b w:val="0"/>
          <w:color w:val="1A1A1A"/>
          <w:sz w:val="21"/>
        </w:rPr>
        <w:t>The platform is operated as a managed service for the full engagement period. This block covers the metered AI consumption the platform draws, the production environment, the engineering team behind it, the professionals stationed at headquarters, and the governance around change.</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520"/>
        <w:gridCol w:w="5760"/>
        <w:gridCol w:w="1180"/>
      </w:tblGrid>
      <w:tr>
        <w:trPr>
          <w:cantSplit w:val="true"/>
          <w:tblHeader w:val="true"/>
        </w:trPr>
        <w:tc>
          <w:tcPr>
            <w:shd w:val="clear" w:fill="E4EBEE"/>
            <w:tcW w:w="2520" w:type="dxa"/>
          </w:tcPr>
          <w:p>
            <w:pPr>
              <w:spacing w:before="30" w:after="30" w:line="254" w:lineRule="auto"/>
            </w:pPr>
            <w:r>
              <w:rPr>
                <w:rFonts w:ascii="Cambria" w:hAnsi="Cambria"/>
                <w:b/>
                <w:color w:val="1F4E5F"/>
                <w:sz w:val="17"/>
              </w:rPr>
              <w:t>Service element</w:t>
            </w:r>
          </w:p>
        </w:tc>
        <w:tc>
          <w:tcPr>
            <w:shd w:val="clear" w:fill="E4EBEE"/>
            <w:tcW w:w="5760" w:type="dxa"/>
          </w:tcPr>
          <w:p>
            <w:pPr>
              <w:spacing w:before="30" w:after="30" w:line="254" w:lineRule="auto"/>
            </w:pPr>
            <w:r>
              <w:rPr>
                <w:rFonts w:ascii="Cambria" w:hAnsi="Cambria"/>
                <w:b/>
                <w:color w:val="1F4E5F"/>
                <w:sz w:val="17"/>
              </w:rPr>
              <w:t>Coverage</w:t>
            </w:r>
          </w:p>
        </w:tc>
        <w:tc>
          <w:tcPr>
            <w:shd w:val="clear" w:fill="E4EBEE"/>
            <w:tcW w:w="1180" w:type="dxa"/>
          </w:tcPr>
          <w:p>
            <w:pPr>
              <w:spacing w:before="30" w:after="30" w:line="254" w:lineRule="auto"/>
              <w:jc w:val="right"/>
            </w:pPr>
            <w:r>
              <w:rPr>
                <w:rFonts w:ascii="Cambria" w:hAnsi="Cambria"/>
                <w:b/>
                <w:color w:val="1F4E5F"/>
                <w:sz w:val="17"/>
              </w:rPr>
              <w:t>Value</w:t>
            </w:r>
          </w:p>
        </w:tc>
      </w:tr>
      <w:tr>
        <w:trPr>
          <w:cantSplit w:val="true"/>
        </w:trPr>
        <w:tc>
          <w:tcPr>
            <w:tcW w:w="2520" w:type="dxa"/>
          </w:tcPr>
          <w:p>
            <w:pPr>
              <w:spacing w:before="30" w:after="30" w:line="254" w:lineRule="auto"/>
            </w:pPr>
            <w:r>
              <w:rPr>
                <w:rFonts w:ascii="Cambria" w:hAnsi="Cambria"/>
                <w:color w:val="1A1A1A"/>
                <w:sz w:val="17"/>
              </w:rPr>
              <w:t>AI consumption pool</w:t>
            </w:r>
          </w:p>
        </w:tc>
        <w:tc>
          <w:tcPr>
            <w:tcW w:w="5760" w:type="dxa"/>
          </w:tcPr>
          <w:p>
            <w:pPr>
              <w:spacing w:before="30" w:after="30" w:line="254" w:lineRule="auto"/>
            </w:pPr>
            <w:r>
              <w:rPr>
                <w:rFonts w:ascii="Cambria" w:hAnsi="Cambria"/>
                <w:color w:val="1A1A1A"/>
                <w:sz w:val="17"/>
              </w:rPr>
              <w:t>Twelve-month provision for the metered language, speech, vision, translation, image and video processing the platform consumes, with metering, attribution and ceilings</w:t>
            </w:r>
          </w:p>
        </w:tc>
        <w:tc>
          <w:tcPr>
            <w:tcW w:w="1180" w:type="dxa"/>
          </w:tcPr>
          <w:p>
            <w:pPr>
              <w:spacing w:before="30" w:after="30" w:line="254" w:lineRule="auto"/>
              <w:jc w:val="right"/>
            </w:pPr>
            <w:r>
              <w:rPr>
                <w:rFonts w:ascii="Cambria" w:hAnsi="Cambria"/>
                <w:color w:val="1A1A1A"/>
                <w:sz w:val="17"/>
              </w:rPr>
              <w:t>₹75 lakh</w:t>
            </w:r>
          </w:p>
        </w:tc>
      </w:tr>
      <w:tr>
        <w:trPr>
          <w:cantSplit w:val="true"/>
        </w:trPr>
        <w:tc>
          <w:tcPr>
            <w:tcW w:w="2520" w:type="dxa"/>
          </w:tcPr>
          <w:p>
            <w:pPr>
              <w:spacing w:before="30" w:after="30" w:line="254" w:lineRule="auto"/>
            </w:pPr>
            <w:r>
              <w:rPr>
                <w:rFonts w:ascii="Cambria" w:hAnsi="Cambria"/>
                <w:color w:val="1A1A1A"/>
                <w:sz w:val="17"/>
              </w:rPr>
              <w:t>Deployment, disaster recovery and systems integration</w:t>
            </w:r>
          </w:p>
        </w:tc>
        <w:tc>
          <w:tcPr>
            <w:tcW w:w="5760" w:type="dxa"/>
          </w:tcPr>
          <w:p>
            <w:pPr>
              <w:spacing w:before="30" w:after="30" w:line="254" w:lineRule="auto"/>
            </w:pPr>
            <w:r>
              <w:rPr>
                <w:rFonts w:ascii="Cambria" w:hAnsi="Cambria"/>
                <w:color w:val="1A1A1A"/>
                <w:sz w:val="17"/>
              </w:rPr>
              <w:t>Environment sizing, installation, commissioning, integration with departmental systems, security and performance validation, and a configured disaster-recovery position</w:t>
            </w:r>
          </w:p>
        </w:tc>
        <w:tc>
          <w:tcPr>
            <w:tcW w:w="1180" w:type="dxa"/>
          </w:tcPr>
          <w:p>
            <w:pPr>
              <w:spacing w:before="30" w:after="30" w:line="254" w:lineRule="auto"/>
              <w:jc w:val="right"/>
            </w:pPr>
            <w:r>
              <w:rPr>
                <w:rFonts w:ascii="Cambria" w:hAnsi="Cambria"/>
                <w:color w:val="1A1A1A"/>
                <w:sz w:val="17"/>
              </w:rPr>
              <w:t>₹30 lakh</w:t>
            </w:r>
          </w:p>
        </w:tc>
      </w:tr>
      <w:tr>
        <w:trPr>
          <w:cantSplit w:val="true"/>
        </w:trPr>
        <w:tc>
          <w:tcPr>
            <w:tcW w:w="2520" w:type="dxa"/>
          </w:tcPr>
          <w:p>
            <w:pPr>
              <w:spacing w:before="30" w:after="30" w:line="254" w:lineRule="auto"/>
            </w:pPr>
            <w:r>
              <w:rPr>
                <w:rFonts w:ascii="Cambria" w:hAnsi="Cambria"/>
                <w:color w:val="1A1A1A"/>
                <w:sz w:val="17"/>
              </w:rPr>
              <w:t>Managed engineering, MLOps and service desk</w:t>
            </w:r>
          </w:p>
        </w:tc>
        <w:tc>
          <w:tcPr>
            <w:tcW w:w="5760" w:type="dxa"/>
          </w:tcPr>
          <w:p>
            <w:pPr>
              <w:spacing w:before="30" w:after="30" w:line="254" w:lineRule="auto"/>
            </w:pPr>
            <w:r>
              <w:rPr>
                <w:rFonts w:ascii="Cambria" w:hAnsi="Cambria"/>
                <w:color w:val="1A1A1A"/>
                <w:sz w:val="17"/>
              </w:rPr>
              <w:t>Continuing engineering across AI, application, data, infrastructure and quality assurance, with production monitoring, model evaluation and a round-the-clock service desk</w:t>
            </w:r>
          </w:p>
        </w:tc>
        <w:tc>
          <w:tcPr>
            <w:tcW w:w="1180" w:type="dxa"/>
          </w:tcPr>
          <w:p>
            <w:pPr>
              <w:spacing w:before="30" w:after="30" w:line="254" w:lineRule="auto"/>
              <w:jc w:val="right"/>
            </w:pPr>
            <w:r>
              <w:rPr>
                <w:rFonts w:ascii="Cambria" w:hAnsi="Cambria"/>
                <w:color w:val="1A1A1A"/>
                <w:sz w:val="17"/>
              </w:rPr>
              <w:t>₹45 lakh</w:t>
            </w:r>
          </w:p>
        </w:tc>
      </w:tr>
      <w:tr>
        <w:trPr>
          <w:cantSplit w:val="true"/>
        </w:trPr>
        <w:tc>
          <w:tcPr>
            <w:tcW w:w="2520" w:type="dxa"/>
          </w:tcPr>
          <w:p>
            <w:pPr>
              <w:spacing w:before="30" w:after="30" w:line="254" w:lineRule="auto"/>
            </w:pPr>
            <w:r>
              <w:rPr>
                <w:rFonts w:ascii="Cambria" w:hAnsi="Cambria"/>
                <w:color w:val="1A1A1A"/>
                <w:sz w:val="17"/>
              </w:rPr>
              <w:t>Four on-site professionals with equipment</w:t>
            </w:r>
          </w:p>
        </w:tc>
        <w:tc>
          <w:tcPr>
            <w:tcW w:w="5760" w:type="dxa"/>
          </w:tcPr>
          <w:p>
            <w:pPr>
              <w:spacing w:before="30" w:after="30" w:line="254" w:lineRule="auto"/>
            </w:pPr>
            <w:r>
              <w:rPr>
                <w:rFonts w:ascii="Cambria" w:hAnsi="Cambria"/>
                <w:color w:val="1A1A1A"/>
                <w:sz w:val="17"/>
              </w:rPr>
              <w:t>Four full-time professionals stationed at DGIPR headquarters for the contracted period, with their computing and recording equipment</w:t>
            </w:r>
          </w:p>
        </w:tc>
        <w:tc>
          <w:tcPr>
            <w:tcW w:w="1180" w:type="dxa"/>
          </w:tcPr>
          <w:p>
            <w:pPr>
              <w:spacing w:before="30" w:after="30" w:line="254" w:lineRule="auto"/>
              <w:jc w:val="right"/>
            </w:pPr>
            <w:r>
              <w:rPr>
                <w:rFonts w:ascii="Cambria" w:hAnsi="Cambria"/>
                <w:color w:val="1A1A1A"/>
                <w:sz w:val="17"/>
              </w:rPr>
              <w:t>₹46 lakh</w:t>
            </w:r>
          </w:p>
        </w:tc>
      </w:tr>
      <w:tr>
        <w:trPr>
          <w:cantSplit w:val="true"/>
        </w:trPr>
        <w:tc>
          <w:tcPr>
            <w:tcW w:w="2520" w:type="dxa"/>
          </w:tcPr>
          <w:p>
            <w:pPr>
              <w:spacing w:before="30" w:after="30" w:line="254" w:lineRule="auto"/>
            </w:pPr>
            <w:r>
              <w:rPr>
                <w:rFonts w:ascii="Cambria" w:hAnsi="Cambria"/>
                <w:color w:val="1A1A1A"/>
                <w:sz w:val="17"/>
              </w:rPr>
              <w:t>Maintenance, upgrades and change control</w:t>
            </w:r>
          </w:p>
        </w:tc>
        <w:tc>
          <w:tcPr>
            <w:tcW w:w="5760" w:type="dxa"/>
          </w:tcPr>
          <w:p>
            <w:pPr>
              <w:spacing w:before="30" w:after="30" w:line="254" w:lineRule="auto"/>
            </w:pPr>
            <w:r>
              <w:rPr>
                <w:rFonts w:ascii="Cambria" w:hAnsi="Cambria"/>
                <w:color w:val="1A1A1A"/>
                <w:sz w:val="17"/>
              </w:rPr>
              <w:t>Corrective and preventive maintenance, security updates, approved enhancements, and release governance with documented rollback</w:t>
            </w:r>
          </w:p>
        </w:tc>
        <w:tc>
          <w:tcPr>
            <w:tcW w:w="1180" w:type="dxa"/>
          </w:tcPr>
          <w:p>
            <w:pPr>
              <w:spacing w:before="30" w:after="30" w:line="254" w:lineRule="auto"/>
              <w:jc w:val="right"/>
            </w:pPr>
            <w:r>
              <w:rPr>
                <w:rFonts w:ascii="Cambria" w:hAnsi="Cambria"/>
                <w:color w:val="1A1A1A"/>
                <w:sz w:val="17"/>
              </w:rPr>
              <w:t>₹24 lakh</w:t>
            </w:r>
          </w:p>
        </w:tc>
      </w:tr>
      <w:tr>
        <w:trPr>
          <w:cantSplit w:val="true"/>
        </w:trPr>
        <w:tc>
          <w:tcPr>
            <w:tcW w:w="2520" w:type="dxa"/>
          </w:tcPr>
          <w:p>
            <w:pPr>
              <w:spacing w:before="30" w:after="30" w:line="254" w:lineRule="auto"/>
            </w:pPr>
            <w:r>
              <w:rPr>
                <w:rFonts w:ascii="Cambria" w:hAnsi="Cambria"/>
                <w:color w:val="1A1A1A"/>
                <w:sz w:val="17"/>
              </w:rPr>
              <w:t>Programme management, training and documentation</w:t>
            </w:r>
          </w:p>
        </w:tc>
        <w:tc>
          <w:tcPr>
            <w:tcW w:w="5760" w:type="dxa"/>
          </w:tcPr>
          <w:p>
            <w:pPr>
              <w:spacing w:before="30" w:after="30" w:line="254" w:lineRule="auto"/>
            </w:pPr>
            <w:r>
              <w:rPr>
                <w:rFonts w:ascii="Cambria" w:hAnsi="Cambria"/>
                <w:color w:val="1A1A1A"/>
                <w:sz w:val="17"/>
              </w:rPr>
              <w:t>Programme governance, milestone control, reporting, role-based and administrator training, documentation and handover</w:t>
            </w:r>
          </w:p>
        </w:tc>
        <w:tc>
          <w:tcPr>
            <w:tcW w:w="1180" w:type="dxa"/>
          </w:tcPr>
          <w:p>
            <w:pPr>
              <w:spacing w:before="30" w:after="30" w:line="254" w:lineRule="auto"/>
              <w:jc w:val="right"/>
            </w:pPr>
            <w:r>
              <w:rPr>
                <w:rFonts w:ascii="Cambria" w:hAnsi="Cambria"/>
                <w:color w:val="1A1A1A"/>
                <w:sz w:val="17"/>
              </w:rPr>
              <w:t>₹10 lakh</w:t>
            </w:r>
          </w:p>
        </w:tc>
      </w:tr>
      <w:tr>
        <w:trPr>
          <w:cantSplit w:val="true"/>
        </w:trPr>
        <w:tc>
          <w:tcPr>
            <w:shd w:val="clear" w:fill="EDF2F4"/>
            <w:tcW w:w="2520" w:type="dxa"/>
          </w:tcPr>
          <w:p>
            <w:pPr>
              <w:spacing w:before="30" w:after="30" w:line="254" w:lineRule="auto"/>
            </w:pPr>
            <w:r>
              <w:rPr>
                <w:rFonts w:ascii="Cambria" w:hAnsi="Cambria"/>
                <w:b/>
                <w:color w:val="1A1A1A"/>
                <w:sz w:val="17"/>
              </w:rPr>
              <w:t>Subtotal — managed service and consumption</w:t>
            </w:r>
          </w:p>
        </w:tc>
        <w:tc>
          <w:tcPr>
            <w:shd w:val="clear" w:fill="EDF2F4"/>
            <w:tcW w:w="5760" w:type="dxa"/>
          </w:tcPr>
          <w:p>
            <w:pPr>
              <w:spacing w:before="30" w:after="30" w:line="254" w:lineRule="auto"/>
            </w:pPr>
            <w:r>
              <w:rPr>
                <w:rFonts w:ascii="Cambria" w:hAnsi="Cambria"/>
                <w:b/>
                <w:color w:val="1A1A1A"/>
                <w:sz w:val="17"/>
              </w:rPr>
            </w:r>
          </w:p>
        </w:tc>
        <w:tc>
          <w:tcPr>
            <w:shd w:val="clear" w:fill="EDF2F4"/>
            <w:tcW w:w="1180" w:type="dxa"/>
          </w:tcPr>
          <w:p>
            <w:pPr>
              <w:spacing w:before="30" w:after="30" w:line="254" w:lineRule="auto"/>
              <w:jc w:val="right"/>
            </w:pPr>
            <w:r>
              <w:rPr>
                <w:rFonts w:ascii="Cambria" w:hAnsi="Cambria"/>
                <w:b/>
                <w:color w:val="1A1A1A"/>
                <w:sz w:val="17"/>
              </w:rPr>
              <w:t>₹2.30 crore</w:t>
            </w:r>
          </w:p>
        </w:tc>
      </w:tr>
    </w:tbl>
    <w:p>
      <w:pPr>
        <w:spacing w:after="80"/>
      </w:pPr>
    </w:p>
    <w:p>
      <w:pPr>
        <w:pStyle w:val="Heading1"/>
        <w:pBdr>
          <w:bottom w:val="single" w:sz="8" w:space="4" w:color="1F4E5F"/>
        </w:pBdr>
      </w:pPr>
      <w:r>
        <w:t>5.  Implementation schedule</w:t>
      </w:r>
    </w:p>
    <w:p>
      <w:r>
        <w:rPr>
          <w:rFonts w:ascii="Cambria" w:hAnsi="Cambria"/>
          <w:b w:val="0"/>
          <w:color w:val="1A1A1A"/>
          <w:sz w:val="21"/>
        </w:rPr>
        <w:t>Workstreams are built by parallel teams and released to the department at four milestones. The platform is in productive use from Milestone 1; later milestones widen what it can produce rather than replacing what came before.</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1944"/>
        <w:gridCol w:w="1180"/>
        <w:gridCol w:w="2304"/>
        <w:gridCol w:w="4031"/>
      </w:tblGrid>
      <w:tr>
        <w:trPr>
          <w:cantSplit w:val="true"/>
          <w:tblHeader w:val="true"/>
        </w:trPr>
        <w:tc>
          <w:tcPr>
            <w:shd w:val="clear" w:fill="E4EBEE"/>
            <w:tcW w:w="1944" w:type="dxa"/>
          </w:tcPr>
          <w:p>
            <w:pPr>
              <w:spacing w:before="30" w:after="30" w:line="254" w:lineRule="auto"/>
            </w:pPr>
            <w:r>
              <w:rPr>
                <w:rFonts w:ascii="Cambria" w:hAnsi="Cambria"/>
                <w:b/>
                <w:color w:val="1F4E5F"/>
                <w:sz w:val="17"/>
              </w:rPr>
              <w:t>Milestone</w:t>
            </w:r>
          </w:p>
        </w:tc>
        <w:tc>
          <w:tcPr>
            <w:shd w:val="clear" w:fill="E4EBEE"/>
            <w:tcW w:w="1180" w:type="dxa"/>
          </w:tcPr>
          <w:p>
            <w:pPr>
              <w:spacing w:before="30" w:after="30" w:line="254" w:lineRule="auto"/>
            </w:pPr>
            <w:r>
              <w:rPr>
                <w:rFonts w:ascii="Cambria" w:hAnsi="Cambria"/>
                <w:b/>
                <w:color w:val="1F4E5F"/>
                <w:sz w:val="17"/>
              </w:rPr>
              <w:t>Period</w:t>
            </w:r>
          </w:p>
        </w:tc>
        <w:tc>
          <w:tcPr>
            <w:shd w:val="clear" w:fill="E4EBEE"/>
            <w:tcW w:w="2304" w:type="dxa"/>
          </w:tcPr>
          <w:p>
            <w:pPr>
              <w:spacing w:before="30" w:after="30" w:line="254" w:lineRule="auto"/>
            </w:pPr>
            <w:r>
              <w:rPr>
                <w:rFonts w:ascii="Cambria" w:hAnsi="Cambria"/>
                <w:b/>
                <w:color w:val="1F4E5F"/>
                <w:sz w:val="17"/>
              </w:rPr>
              <w:t>Delivered</w:t>
            </w:r>
          </w:p>
        </w:tc>
        <w:tc>
          <w:tcPr>
            <w:shd w:val="clear" w:fill="E4EBEE"/>
            <w:tcW w:w="4031" w:type="dxa"/>
          </w:tcPr>
          <w:p>
            <w:pPr>
              <w:spacing w:before="30" w:after="30" w:line="254" w:lineRule="auto"/>
            </w:pPr>
            <w:r>
              <w:rPr>
                <w:rFonts w:ascii="Cambria" w:hAnsi="Cambria"/>
                <w:b/>
                <w:color w:val="1F4E5F"/>
                <w:sz w:val="17"/>
              </w:rPr>
              <w:t>Department position at milestone</w:t>
            </w:r>
          </w:p>
        </w:tc>
      </w:tr>
      <w:tr>
        <w:trPr>
          <w:cantSplit w:val="true"/>
        </w:trPr>
        <w:tc>
          <w:tcPr>
            <w:tcW w:w="1944" w:type="dxa"/>
          </w:tcPr>
          <w:p>
            <w:pPr>
              <w:spacing w:before="30" w:after="30" w:line="254" w:lineRule="auto"/>
            </w:pPr>
            <w:r>
              <w:rPr>
                <w:rFonts w:ascii="Cambria" w:hAnsi="Cambria"/>
                <w:color w:val="1A1A1A"/>
                <w:sz w:val="17"/>
              </w:rPr>
              <w:t>Milestone 1 — Platform</w:t>
            </w:r>
          </w:p>
        </w:tc>
        <w:tc>
          <w:tcPr>
            <w:tcW w:w="1180" w:type="dxa"/>
          </w:tcPr>
          <w:p>
            <w:pPr>
              <w:spacing w:before="30" w:after="30" w:line="254" w:lineRule="auto"/>
            </w:pPr>
            <w:r>
              <w:rPr>
                <w:rFonts w:ascii="Cambria" w:hAnsi="Cambria"/>
                <w:color w:val="1A1A1A"/>
                <w:sz w:val="17"/>
              </w:rPr>
              <w:t>Weeks 1–10</w:t>
            </w:r>
          </w:p>
        </w:tc>
        <w:tc>
          <w:tcPr>
            <w:tcW w:w="2304" w:type="dxa"/>
          </w:tcPr>
          <w:p>
            <w:pPr>
              <w:spacing w:before="30" w:after="30" w:line="254" w:lineRule="auto"/>
            </w:pPr>
            <w:r>
              <w:rPr>
                <w:rFonts w:ascii="Cambria" w:hAnsi="Cambria"/>
                <w:color w:val="1A1A1A"/>
                <w:sz w:val="17"/>
              </w:rPr>
              <w:t>Workstreams 1 and 2</w:t>
            </w:r>
          </w:p>
        </w:tc>
        <w:tc>
          <w:tcPr>
            <w:tcW w:w="4031" w:type="dxa"/>
          </w:tcPr>
          <w:p>
            <w:pPr>
              <w:spacing w:before="30" w:after="30" w:line="254" w:lineRule="auto"/>
            </w:pPr>
            <w:r>
              <w:rPr>
                <w:rFonts w:ascii="Cambria" w:hAnsi="Cambria"/>
                <w:color w:val="1A1A1A"/>
                <w:sz w:val="17"/>
              </w:rPr>
              <w:t>Secure workspace live; all source formats accepted, read and searchable</w:t>
            </w:r>
          </w:p>
        </w:tc>
      </w:tr>
      <w:tr>
        <w:trPr>
          <w:cantSplit w:val="true"/>
        </w:trPr>
        <w:tc>
          <w:tcPr>
            <w:tcW w:w="1944" w:type="dxa"/>
          </w:tcPr>
          <w:p>
            <w:pPr>
              <w:spacing w:before="30" w:after="30" w:line="254" w:lineRule="auto"/>
            </w:pPr>
            <w:r>
              <w:rPr>
                <w:rFonts w:ascii="Cambria" w:hAnsi="Cambria"/>
                <w:color w:val="1A1A1A"/>
                <w:sz w:val="17"/>
              </w:rPr>
              <w:t>Milestone 2 — Language</w:t>
            </w:r>
          </w:p>
        </w:tc>
        <w:tc>
          <w:tcPr>
            <w:tcW w:w="1180" w:type="dxa"/>
          </w:tcPr>
          <w:p>
            <w:pPr>
              <w:spacing w:before="30" w:after="30" w:line="254" w:lineRule="auto"/>
            </w:pPr>
            <w:r>
              <w:rPr>
                <w:rFonts w:ascii="Cambria" w:hAnsi="Cambria"/>
                <w:color w:val="1A1A1A"/>
                <w:sz w:val="17"/>
              </w:rPr>
              <w:t>Weeks 11–24</w:t>
            </w:r>
          </w:p>
        </w:tc>
        <w:tc>
          <w:tcPr>
            <w:tcW w:w="2304" w:type="dxa"/>
          </w:tcPr>
          <w:p>
            <w:pPr>
              <w:spacing w:before="30" w:after="30" w:line="254" w:lineRule="auto"/>
            </w:pPr>
            <w:r>
              <w:rPr>
                <w:rFonts w:ascii="Cambria" w:hAnsi="Cambria"/>
                <w:color w:val="1A1A1A"/>
                <w:sz w:val="17"/>
              </w:rPr>
              <w:t>Workstreams 3 and 4</w:t>
            </w:r>
          </w:p>
        </w:tc>
        <w:tc>
          <w:tcPr>
            <w:tcW w:w="4031" w:type="dxa"/>
          </w:tcPr>
          <w:p>
            <w:pPr>
              <w:spacing w:before="30" w:after="30" w:line="254" w:lineRule="auto"/>
            </w:pPr>
            <w:r>
              <w:rPr>
                <w:rFonts w:ascii="Cambria" w:hAnsi="Cambria"/>
                <w:color w:val="1A1A1A"/>
                <w:sz w:val="17"/>
              </w:rPr>
              <w:t>Adapted Marathi models in production; article, translation and proofreading output live</w:t>
            </w:r>
          </w:p>
        </w:tc>
      </w:tr>
      <w:tr>
        <w:trPr>
          <w:cantSplit w:val="true"/>
        </w:trPr>
        <w:tc>
          <w:tcPr>
            <w:tcW w:w="1944" w:type="dxa"/>
          </w:tcPr>
          <w:p>
            <w:pPr>
              <w:spacing w:before="30" w:after="30" w:line="254" w:lineRule="auto"/>
            </w:pPr>
            <w:r>
              <w:rPr>
                <w:rFonts w:ascii="Cambria" w:hAnsi="Cambria"/>
                <w:color w:val="1A1A1A"/>
                <w:sz w:val="17"/>
              </w:rPr>
              <w:t>Milestone 3 — Visual and video</w:t>
            </w:r>
          </w:p>
        </w:tc>
        <w:tc>
          <w:tcPr>
            <w:tcW w:w="1180" w:type="dxa"/>
          </w:tcPr>
          <w:p>
            <w:pPr>
              <w:spacing w:before="30" w:after="30" w:line="254" w:lineRule="auto"/>
            </w:pPr>
            <w:r>
              <w:rPr>
                <w:rFonts w:ascii="Cambria" w:hAnsi="Cambria"/>
                <w:color w:val="1A1A1A"/>
                <w:sz w:val="17"/>
              </w:rPr>
              <w:t>Weeks 25–40</w:t>
            </w:r>
          </w:p>
        </w:tc>
        <w:tc>
          <w:tcPr>
            <w:tcW w:w="2304" w:type="dxa"/>
          </w:tcPr>
          <w:p>
            <w:pPr>
              <w:spacing w:before="30" w:after="30" w:line="254" w:lineRule="auto"/>
            </w:pPr>
            <w:r>
              <w:rPr>
                <w:rFonts w:ascii="Cambria" w:hAnsi="Cambria"/>
                <w:color w:val="1A1A1A"/>
                <w:sz w:val="17"/>
              </w:rPr>
              <w:t>Workstreams 5 and 6</w:t>
            </w:r>
          </w:p>
        </w:tc>
        <w:tc>
          <w:tcPr>
            <w:tcW w:w="4031" w:type="dxa"/>
          </w:tcPr>
          <w:p>
            <w:pPr>
              <w:spacing w:before="30" w:after="30" w:line="254" w:lineRule="auto"/>
            </w:pPr>
            <w:r>
              <w:rPr>
                <w:rFonts w:ascii="Cambria" w:hAnsi="Cambria"/>
                <w:color w:val="1A1A1A"/>
                <w:sz w:val="17"/>
              </w:rPr>
              <w:t>Poster, creative and video production brought in-house, including studio programmes</w:t>
            </w:r>
          </w:p>
        </w:tc>
      </w:tr>
      <w:tr>
        <w:trPr>
          <w:cantSplit w:val="true"/>
        </w:trPr>
        <w:tc>
          <w:tcPr>
            <w:tcW w:w="1944" w:type="dxa"/>
          </w:tcPr>
          <w:p>
            <w:pPr>
              <w:spacing w:before="30" w:after="30" w:line="254" w:lineRule="auto"/>
            </w:pPr>
            <w:r>
              <w:rPr>
                <w:rFonts w:ascii="Cambria" w:hAnsi="Cambria"/>
                <w:color w:val="1A1A1A"/>
                <w:sz w:val="17"/>
              </w:rPr>
              <w:t>Milestone 4 — Reach</w:t>
            </w:r>
          </w:p>
        </w:tc>
        <w:tc>
          <w:tcPr>
            <w:tcW w:w="1180" w:type="dxa"/>
          </w:tcPr>
          <w:p>
            <w:pPr>
              <w:spacing w:before="30" w:after="30" w:line="254" w:lineRule="auto"/>
            </w:pPr>
            <w:r>
              <w:rPr>
                <w:rFonts w:ascii="Cambria" w:hAnsi="Cambria"/>
                <w:color w:val="1A1A1A"/>
                <w:sz w:val="17"/>
              </w:rPr>
              <w:t>Weeks 41–52</w:t>
            </w:r>
          </w:p>
        </w:tc>
        <w:tc>
          <w:tcPr>
            <w:tcW w:w="2304" w:type="dxa"/>
          </w:tcPr>
          <w:p>
            <w:pPr>
              <w:spacing w:before="30" w:after="30" w:line="254" w:lineRule="auto"/>
            </w:pPr>
            <w:r>
              <w:rPr>
                <w:rFonts w:ascii="Cambria" w:hAnsi="Cambria"/>
                <w:color w:val="1A1A1A"/>
                <w:sz w:val="17"/>
              </w:rPr>
              <w:t>Workstream 7, hardening and rollout</w:t>
            </w:r>
          </w:p>
        </w:tc>
        <w:tc>
          <w:tcPr>
            <w:tcW w:w="4031" w:type="dxa"/>
          </w:tcPr>
          <w:p>
            <w:pPr>
              <w:spacing w:before="30" w:after="30" w:line="254" w:lineRule="auto"/>
            </w:pPr>
            <w:r>
              <w:rPr>
                <w:rFonts w:ascii="Cambria" w:hAnsi="Cambria"/>
                <w:color w:val="1A1A1A"/>
                <w:sz w:val="17"/>
              </w:rPr>
              <w:t>Press monitoring, enquiry support and distribution live across divisional and district offices</w:t>
            </w:r>
          </w:p>
        </w:tc>
      </w:tr>
    </w:tbl>
    <w:p>
      <w:pPr>
        <w:spacing w:after="80"/>
      </w:pPr>
    </w:p>
    <w:p>
      <w:pPr>
        <w:pStyle w:val="Heading1"/>
        <w:pBdr>
          <w:bottom w:val="single" w:sz="8" w:space="4" w:color="1F4E5F"/>
        </w:pBdr>
      </w:pPr>
      <w:r>
        <w:t>6.  Commercial summary</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520"/>
        <w:gridCol w:w="5688"/>
        <w:gridCol w:w="1252"/>
      </w:tblGrid>
      <w:tr>
        <w:trPr>
          <w:cantSplit w:val="true"/>
          <w:tblHeader w:val="true"/>
        </w:trPr>
        <w:tc>
          <w:tcPr>
            <w:shd w:val="clear" w:fill="E4EBEE"/>
            <w:tcW w:w="2520" w:type="dxa"/>
          </w:tcPr>
          <w:p>
            <w:pPr>
              <w:spacing w:before="30" w:after="30" w:line="254" w:lineRule="auto"/>
            </w:pPr>
            <w:r>
              <w:rPr>
                <w:rFonts w:ascii="Cambria" w:hAnsi="Cambria"/>
                <w:b/>
                <w:color w:val="1F4E5F"/>
                <w:sz w:val="19"/>
              </w:rPr>
              <w:t>Head</w:t>
            </w:r>
          </w:p>
        </w:tc>
        <w:tc>
          <w:tcPr>
            <w:shd w:val="clear" w:fill="E4EBEE"/>
            <w:tcW w:w="5688" w:type="dxa"/>
          </w:tcPr>
          <w:p>
            <w:pPr>
              <w:spacing w:before="30" w:after="30" w:line="254" w:lineRule="auto"/>
            </w:pPr>
            <w:r>
              <w:rPr>
                <w:rFonts w:ascii="Cambria" w:hAnsi="Cambria"/>
                <w:b/>
                <w:color w:val="1F4E5F"/>
                <w:sz w:val="19"/>
              </w:rPr>
              <w:t>Coverage</w:t>
            </w:r>
          </w:p>
        </w:tc>
        <w:tc>
          <w:tcPr>
            <w:shd w:val="clear" w:fill="E4EBEE"/>
            <w:tcW w:w="1252" w:type="dxa"/>
          </w:tcPr>
          <w:p>
            <w:pPr>
              <w:spacing w:before="30" w:after="30" w:line="254" w:lineRule="auto"/>
              <w:jc w:val="right"/>
            </w:pPr>
            <w:r>
              <w:rPr>
                <w:rFonts w:ascii="Cambria" w:hAnsi="Cambria"/>
                <w:b/>
                <w:color w:val="1F4E5F"/>
                <w:sz w:val="19"/>
              </w:rPr>
              <w:t>Value</w:t>
            </w:r>
          </w:p>
        </w:tc>
      </w:tr>
      <w:tr>
        <w:trPr>
          <w:cantSplit w:val="true"/>
        </w:trPr>
        <w:tc>
          <w:tcPr>
            <w:tcW w:w="2520" w:type="dxa"/>
          </w:tcPr>
          <w:p>
            <w:pPr>
              <w:spacing w:before="30" w:after="30" w:line="254" w:lineRule="auto"/>
            </w:pPr>
            <w:r>
              <w:rPr>
                <w:rFonts w:ascii="Cambria" w:hAnsi="Cambria"/>
                <w:color w:val="1A1A1A"/>
                <w:sz w:val="19"/>
              </w:rPr>
              <w:t>Delivery workstreams</w:t>
            </w:r>
          </w:p>
        </w:tc>
        <w:tc>
          <w:tcPr>
            <w:tcW w:w="5688" w:type="dxa"/>
          </w:tcPr>
          <w:p>
            <w:pPr>
              <w:spacing w:before="30" w:after="30" w:line="254" w:lineRule="auto"/>
            </w:pPr>
            <w:r>
              <w:rPr>
                <w:rFonts w:ascii="Cambria" w:hAnsi="Cambria"/>
                <w:color w:val="1A1A1A"/>
                <w:sz w:val="19"/>
              </w:rPr>
              <w:t>Seven workstreams (Section 3)</w:t>
            </w:r>
          </w:p>
        </w:tc>
        <w:tc>
          <w:tcPr>
            <w:tcW w:w="1252" w:type="dxa"/>
          </w:tcPr>
          <w:p>
            <w:pPr>
              <w:spacing w:before="30" w:after="30" w:line="254" w:lineRule="auto"/>
              <w:jc w:val="right"/>
            </w:pPr>
            <w:r>
              <w:rPr>
                <w:rFonts w:ascii="Cambria" w:hAnsi="Cambria"/>
                <w:color w:val="1A1A1A"/>
                <w:sz w:val="19"/>
              </w:rPr>
              <w:t>₹5.70 crore</w:t>
            </w:r>
          </w:p>
        </w:tc>
      </w:tr>
      <w:tr>
        <w:trPr>
          <w:cantSplit w:val="true"/>
        </w:trPr>
        <w:tc>
          <w:tcPr>
            <w:tcW w:w="2520" w:type="dxa"/>
          </w:tcPr>
          <w:p>
            <w:pPr>
              <w:spacing w:before="30" w:after="30" w:line="254" w:lineRule="auto"/>
            </w:pPr>
            <w:r>
              <w:rPr>
                <w:rFonts w:ascii="Cambria" w:hAnsi="Cambria"/>
                <w:color w:val="1A1A1A"/>
                <w:sz w:val="19"/>
              </w:rPr>
              <w:t>Managed service and consumption</w:t>
            </w:r>
          </w:p>
        </w:tc>
        <w:tc>
          <w:tcPr>
            <w:tcW w:w="5688" w:type="dxa"/>
          </w:tcPr>
          <w:p>
            <w:pPr>
              <w:spacing w:before="30" w:after="30" w:line="254" w:lineRule="auto"/>
            </w:pPr>
            <w:r>
              <w:rPr>
                <w:rFonts w:ascii="Cambria" w:hAnsi="Cambria"/>
                <w:color w:val="1A1A1A"/>
                <w:sz w:val="19"/>
              </w:rPr>
              <w:t>Twelve-month managed operation (Section 4)</w:t>
            </w:r>
          </w:p>
        </w:tc>
        <w:tc>
          <w:tcPr>
            <w:tcW w:w="1252" w:type="dxa"/>
          </w:tcPr>
          <w:p>
            <w:pPr>
              <w:spacing w:before="30" w:after="30" w:line="254" w:lineRule="auto"/>
              <w:jc w:val="right"/>
            </w:pPr>
            <w:r>
              <w:rPr>
                <w:rFonts w:ascii="Cambria" w:hAnsi="Cambria"/>
                <w:color w:val="1A1A1A"/>
                <w:sz w:val="19"/>
              </w:rPr>
              <w:t>₹2.30 crore</w:t>
            </w:r>
          </w:p>
        </w:tc>
      </w:tr>
      <w:tr>
        <w:trPr>
          <w:cantSplit w:val="true"/>
        </w:trPr>
        <w:tc>
          <w:tcPr>
            <w:shd w:val="clear" w:fill="EDF2F4"/>
            <w:tcW w:w="2520" w:type="dxa"/>
          </w:tcPr>
          <w:p>
            <w:pPr>
              <w:spacing w:before="30" w:after="30" w:line="254" w:lineRule="auto"/>
            </w:pPr>
            <w:r>
              <w:rPr>
                <w:rFonts w:ascii="Cambria" w:hAnsi="Cambria"/>
                <w:b/>
                <w:color w:val="1A1A1A"/>
                <w:sz w:val="19"/>
              </w:rPr>
              <w:t>Total contract value</w:t>
            </w:r>
          </w:p>
        </w:tc>
        <w:tc>
          <w:tcPr>
            <w:shd w:val="clear" w:fill="EDF2F4"/>
            <w:tcW w:w="5688" w:type="dxa"/>
          </w:tcPr>
          <w:p>
            <w:pPr>
              <w:spacing w:before="30" w:after="30" w:line="254" w:lineRule="auto"/>
            </w:pPr>
            <w:r>
              <w:rPr>
                <w:rFonts w:ascii="Cambria" w:hAnsi="Cambria"/>
                <w:b/>
                <w:color w:val="1A1A1A"/>
                <w:sz w:val="19"/>
              </w:rPr>
              <w:t>Complete solution for twelve months</w:t>
            </w:r>
          </w:p>
        </w:tc>
        <w:tc>
          <w:tcPr>
            <w:shd w:val="clear" w:fill="EDF2F4"/>
            <w:tcW w:w="1252" w:type="dxa"/>
          </w:tcPr>
          <w:p>
            <w:pPr>
              <w:spacing w:before="30" w:after="30" w:line="254" w:lineRule="auto"/>
              <w:jc w:val="right"/>
            </w:pPr>
            <w:r>
              <w:rPr>
                <w:rFonts w:ascii="Cambria" w:hAnsi="Cambria"/>
                <w:b/>
                <w:color w:val="1A1A1A"/>
                <w:sz w:val="19"/>
              </w:rPr>
              <w:t>₹8.00 crore</w:t>
            </w:r>
          </w:p>
        </w:tc>
      </w:tr>
    </w:tbl>
    <w:p>
      <w:pPr>
        <w:spacing w:after="80"/>
      </w:pPr>
    </w:p>
    <w:p>
      <w:pPr>
        <w:pStyle w:val="Heading2"/>
      </w:pPr>
      <w:r>
        <w:t>6.1  Payment schedule</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015"/>
        <w:gridCol w:w="5976"/>
        <w:gridCol w:w="1468"/>
      </w:tblGrid>
      <w:tr>
        <w:trPr>
          <w:cantSplit w:val="true"/>
          <w:tblHeader w:val="true"/>
        </w:trPr>
        <w:tc>
          <w:tcPr>
            <w:shd w:val="clear" w:fill="E4EBEE"/>
            <w:tcW w:w="2015" w:type="dxa"/>
          </w:tcPr>
          <w:p>
            <w:pPr>
              <w:spacing w:before="30" w:after="30" w:line="254" w:lineRule="auto"/>
            </w:pPr>
            <w:r>
              <w:rPr>
                <w:rFonts w:ascii="Cambria" w:hAnsi="Cambria"/>
                <w:b/>
                <w:color w:val="1F4E5F"/>
                <w:sz w:val="19"/>
              </w:rPr>
              <w:t>Stage</w:t>
            </w:r>
          </w:p>
        </w:tc>
        <w:tc>
          <w:tcPr>
            <w:shd w:val="clear" w:fill="E4EBEE"/>
            <w:tcW w:w="5976" w:type="dxa"/>
          </w:tcPr>
          <w:p>
            <w:pPr>
              <w:spacing w:before="30" w:after="30" w:line="254" w:lineRule="auto"/>
            </w:pPr>
            <w:r>
              <w:rPr>
                <w:rFonts w:ascii="Cambria" w:hAnsi="Cambria"/>
                <w:b/>
                <w:color w:val="1F4E5F"/>
                <w:sz w:val="19"/>
              </w:rPr>
              <w:t>Trigger</w:t>
            </w:r>
          </w:p>
        </w:tc>
        <w:tc>
          <w:tcPr>
            <w:shd w:val="clear" w:fill="E4EBEE"/>
            <w:tcW w:w="1468" w:type="dxa"/>
          </w:tcPr>
          <w:p>
            <w:pPr>
              <w:spacing w:before="30" w:after="30" w:line="254" w:lineRule="auto"/>
              <w:jc w:val="right"/>
            </w:pPr>
            <w:r>
              <w:rPr>
                <w:rFonts w:ascii="Cambria" w:hAnsi="Cambria"/>
                <w:b/>
                <w:color w:val="1F4E5F"/>
                <w:sz w:val="19"/>
              </w:rPr>
              <w:t>Amount</w:t>
            </w:r>
          </w:p>
        </w:tc>
      </w:tr>
      <w:tr>
        <w:trPr>
          <w:cantSplit w:val="true"/>
        </w:trPr>
        <w:tc>
          <w:tcPr>
            <w:tcW w:w="2015" w:type="dxa"/>
          </w:tcPr>
          <w:p>
            <w:pPr>
              <w:spacing w:before="30" w:after="30" w:line="254" w:lineRule="auto"/>
            </w:pPr>
            <w:r>
              <w:rPr>
                <w:rFonts w:ascii="Cambria" w:hAnsi="Cambria"/>
                <w:color w:val="1A1A1A"/>
                <w:sz w:val="19"/>
              </w:rPr>
              <w:t>Mobilisation</w:t>
            </w:r>
          </w:p>
        </w:tc>
        <w:tc>
          <w:tcPr>
            <w:tcW w:w="5976" w:type="dxa"/>
          </w:tcPr>
          <w:p>
            <w:pPr>
              <w:spacing w:before="30" w:after="30" w:line="254" w:lineRule="auto"/>
            </w:pPr>
            <w:r>
              <w:rPr>
                <w:rFonts w:ascii="Cambria" w:hAnsi="Cambria"/>
                <w:color w:val="1A1A1A"/>
                <w:sz w:val="19"/>
              </w:rPr>
              <w:t>Work order and mobilisation of the on-site team</w:t>
            </w:r>
          </w:p>
        </w:tc>
        <w:tc>
          <w:tcPr>
            <w:tcW w:w="1468" w:type="dxa"/>
          </w:tcPr>
          <w:p>
            <w:pPr>
              <w:spacing w:before="30" w:after="30" w:line="254" w:lineRule="auto"/>
              <w:jc w:val="right"/>
            </w:pPr>
            <w:r>
              <w:rPr>
                <w:rFonts w:ascii="Cambria" w:hAnsi="Cambria"/>
                <w:color w:val="1A1A1A"/>
                <w:sz w:val="19"/>
              </w:rPr>
              <w:t>₹80 lakh</w:t>
            </w:r>
          </w:p>
        </w:tc>
      </w:tr>
      <w:tr>
        <w:trPr>
          <w:cantSplit w:val="true"/>
        </w:trPr>
        <w:tc>
          <w:tcPr>
            <w:tcW w:w="2015" w:type="dxa"/>
          </w:tcPr>
          <w:p>
            <w:pPr>
              <w:spacing w:before="30" w:after="30" w:line="254" w:lineRule="auto"/>
            </w:pPr>
            <w:r>
              <w:rPr>
                <w:rFonts w:ascii="Cambria" w:hAnsi="Cambria"/>
                <w:color w:val="1A1A1A"/>
                <w:sz w:val="19"/>
              </w:rPr>
              <w:t>Milestone 1</w:t>
            </w:r>
          </w:p>
        </w:tc>
        <w:tc>
          <w:tcPr>
            <w:tcW w:w="5976" w:type="dxa"/>
          </w:tcPr>
          <w:p>
            <w:pPr>
              <w:spacing w:before="30" w:after="30" w:line="254" w:lineRule="auto"/>
            </w:pPr>
            <w:r>
              <w:rPr>
                <w:rFonts w:ascii="Cambria" w:hAnsi="Cambria"/>
                <w:color w:val="1A1A1A"/>
                <w:sz w:val="19"/>
              </w:rPr>
              <w:t>Acceptance of Workstreams 1 and 2</w:t>
            </w:r>
          </w:p>
        </w:tc>
        <w:tc>
          <w:tcPr>
            <w:tcW w:w="1468" w:type="dxa"/>
          </w:tcPr>
          <w:p>
            <w:pPr>
              <w:spacing w:before="30" w:after="30" w:line="254" w:lineRule="auto"/>
              <w:jc w:val="right"/>
            </w:pPr>
            <w:r>
              <w:rPr>
                <w:rFonts w:ascii="Cambria" w:hAnsi="Cambria"/>
                <w:color w:val="1A1A1A"/>
                <w:sz w:val="19"/>
              </w:rPr>
              <w:t>₹1.60 crore</w:t>
            </w:r>
          </w:p>
        </w:tc>
      </w:tr>
      <w:tr>
        <w:trPr>
          <w:cantSplit w:val="true"/>
        </w:trPr>
        <w:tc>
          <w:tcPr>
            <w:tcW w:w="2015" w:type="dxa"/>
          </w:tcPr>
          <w:p>
            <w:pPr>
              <w:spacing w:before="30" w:after="30" w:line="254" w:lineRule="auto"/>
            </w:pPr>
            <w:r>
              <w:rPr>
                <w:rFonts w:ascii="Cambria" w:hAnsi="Cambria"/>
                <w:color w:val="1A1A1A"/>
                <w:sz w:val="19"/>
              </w:rPr>
              <w:t>Milestone 2</w:t>
            </w:r>
          </w:p>
        </w:tc>
        <w:tc>
          <w:tcPr>
            <w:tcW w:w="5976" w:type="dxa"/>
          </w:tcPr>
          <w:p>
            <w:pPr>
              <w:spacing w:before="30" w:after="30" w:line="254" w:lineRule="auto"/>
            </w:pPr>
            <w:r>
              <w:rPr>
                <w:rFonts w:ascii="Cambria" w:hAnsi="Cambria"/>
                <w:color w:val="1A1A1A"/>
                <w:sz w:val="19"/>
              </w:rPr>
              <w:t>Acceptance of Workstreams 3 and 4</w:t>
            </w:r>
          </w:p>
        </w:tc>
        <w:tc>
          <w:tcPr>
            <w:tcW w:w="1468" w:type="dxa"/>
          </w:tcPr>
          <w:p>
            <w:pPr>
              <w:spacing w:before="30" w:after="30" w:line="254" w:lineRule="auto"/>
              <w:jc w:val="right"/>
            </w:pPr>
            <w:r>
              <w:rPr>
                <w:rFonts w:ascii="Cambria" w:hAnsi="Cambria"/>
                <w:color w:val="1A1A1A"/>
                <w:sz w:val="19"/>
              </w:rPr>
              <w:t>₹1.80 crore</w:t>
            </w:r>
          </w:p>
        </w:tc>
      </w:tr>
      <w:tr>
        <w:trPr>
          <w:cantSplit w:val="true"/>
        </w:trPr>
        <w:tc>
          <w:tcPr>
            <w:tcW w:w="2015" w:type="dxa"/>
          </w:tcPr>
          <w:p>
            <w:pPr>
              <w:spacing w:before="30" w:after="30" w:line="254" w:lineRule="auto"/>
            </w:pPr>
            <w:r>
              <w:rPr>
                <w:rFonts w:ascii="Cambria" w:hAnsi="Cambria"/>
                <w:color w:val="1A1A1A"/>
                <w:sz w:val="19"/>
              </w:rPr>
              <w:t>Milestone 3</w:t>
            </w:r>
          </w:p>
        </w:tc>
        <w:tc>
          <w:tcPr>
            <w:tcW w:w="5976" w:type="dxa"/>
          </w:tcPr>
          <w:p>
            <w:pPr>
              <w:spacing w:before="30" w:after="30" w:line="254" w:lineRule="auto"/>
            </w:pPr>
            <w:r>
              <w:rPr>
                <w:rFonts w:ascii="Cambria" w:hAnsi="Cambria"/>
                <w:color w:val="1A1A1A"/>
                <w:sz w:val="19"/>
              </w:rPr>
              <w:t>Acceptance of Workstreams 5 and 6</w:t>
            </w:r>
          </w:p>
        </w:tc>
        <w:tc>
          <w:tcPr>
            <w:tcW w:w="1468" w:type="dxa"/>
          </w:tcPr>
          <w:p>
            <w:pPr>
              <w:spacing w:before="30" w:after="30" w:line="254" w:lineRule="auto"/>
              <w:jc w:val="right"/>
            </w:pPr>
            <w:r>
              <w:rPr>
                <w:rFonts w:ascii="Cambria" w:hAnsi="Cambria"/>
                <w:color w:val="1A1A1A"/>
                <w:sz w:val="19"/>
              </w:rPr>
              <w:t>₹1.65 crore</w:t>
            </w:r>
          </w:p>
        </w:tc>
      </w:tr>
      <w:tr>
        <w:trPr>
          <w:cantSplit w:val="true"/>
        </w:trPr>
        <w:tc>
          <w:tcPr>
            <w:tcW w:w="2015" w:type="dxa"/>
          </w:tcPr>
          <w:p>
            <w:pPr>
              <w:spacing w:before="30" w:after="30" w:line="254" w:lineRule="auto"/>
            </w:pPr>
            <w:r>
              <w:rPr>
                <w:rFonts w:ascii="Cambria" w:hAnsi="Cambria"/>
                <w:color w:val="1A1A1A"/>
                <w:sz w:val="19"/>
              </w:rPr>
              <w:t>Milestone 4</w:t>
            </w:r>
          </w:p>
        </w:tc>
        <w:tc>
          <w:tcPr>
            <w:tcW w:w="5976" w:type="dxa"/>
          </w:tcPr>
          <w:p>
            <w:pPr>
              <w:spacing w:before="30" w:after="30" w:line="254" w:lineRule="auto"/>
            </w:pPr>
            <w:r>
              <w:rPr>
                <w:rFonts w:ascii="Cambria" w:hAnsi="Cambria"/>
                <w:color w:val="1A1A1A"/>
                <w:sz w:val="19"/>
              </w:rPr>
              <w:t>Acceptance of Workstream 7 and statewide rollout</w:t>
            </w:r>
          </w:p>
        </w:tc>
        <w:tc>
          <w:tcPr>
            <w:tcW w:w="1468" w:type="dxa"/>
          </w:tcPr>
          <w:p>
            <w:pPr>
              <w:spacing w:before="30" w:after="30" w:line="254" w:lineRule="auto"/>
              <w:jc w:val="right"/>
            </w:pPr>
            <w:r>
              <w:rPr>
                <w:rFonts w:ascii="Cambria" w:hAnsi="Cambria"/>
                <w:color w:val="1A1A1A"/>
                <w:sz w:val="19"/>
              </w:rPr>
              <w:t>₹85 lakh</w:t>
            </w:r>
          </w:p>
        </w:tc>
      </w:tr>
      <w:tr>
        <w:trPr>
          <w:cantSplit w:val="true"/>
        </w:trPr>
        <w:tc>
          <w:tcPr>
            <w:tcW w:w="2015" w:type="dxa"/>
          </w:tcPr>
          <w:p>
            <w:pPr>
              <w:spacing w:before="30" w:after="30" w:line="254" w:lineRule="auto"/>
            </w:pPr>
            <w:r>
              <w:rPr>
                <w:rFonts w:ascii="Cambria" w:hAnsi="Cambria"/>
                <w:color w:val="1A1A1A"/>
                <w:sz w:val="19"/>
              </w:rPr>
              <w:t>Managed service</w:t>
            </w:r>
          </w:p>
        </w:tc>
        <w:tc>
          <w:tcPr>
            <w:tcW w:w="5976" w:type="dxa"/>
          </w:tcPr>
          <w:p>
            <w:pPr>
              <w:spacing w:before="30" w:after="30" w:line="254" w:lineRule="auto"/>
            </w:pPr>
            <w:r>
              <w:rPr>
                <w:rFonts w:ascii="Cambria" w:hAnsi="Cambria"/>
                <w:color w:val="1A1A1A"/>
                <w:sz w:val="19"/>
              </w:rPr>
              <w:t>Monthly, on submission of the monthly service and consumption report</w:t>
            </w:r>
          </w:p>
        </w:tc>
        <w:tc>
          <w:tcPr>
            <w:tcW w:w="1468" w:type="dxa"/>
          </w:tcPr>
          <w:p>
            <w:pPr>
              <w:spacing w:before="30" w:after="30" w:line="254" w:lineRule="auto"/>
              <w:jc w:val="right"/>
            </w:pPr>
            <w:r>
              <w:rPr>
                <w:rFonts w:ascii="Cambria" w:hAnsi="Cambria"/>
                <w:color w:val="1A1A1A"/>
                <w:sz w:val="19"/>
              </w:rPr>
              <w:t>₹1.30 crore</w:t>
            </w:r>
          </w:p>
        </w:tc>
      </w:tr>
      <w:tr>
        <w:trPr>
          <w:cantSplit w:val="true"/>
        </w:trPr>
        <w:tc>
          <w:tcPr>
            <w:shd w:val="clear" w:fill="EDF2F4"/>
            <w:tcW w:w="2015" w:type="dxa"/>
          </w:tcPr>
          <w:p>
            <w:pPr>
              <w:spacing w:before="30" w:after="30" w:line="254" w:lineRule="auto"/>
            </w:pPr>
            <w:r>
              <w:rPr>
                <w:rFonts w:ascii="Cambria" w:hAnsi="Cambria"/>
                <w:b/>
                <w:color w:val="1A1A1A"/>
                <w:sz w:val="19"/>
              </w:rPr>
              <w:t>Total</w:t>
            </w:r>
          </w:p>
        </w:tc>
        <w:tc>
          <w:tcPr>
            <w:shd w:val="clear" w:fill="EDF2F4"/>
            <w:tcW w:w="5976" w:type="dxa"/>
          </w:tcPr>
          <w:p>
            <w:pPr>
              <w:spacing w:before="30" w:after="30" w:line="254" w:lineRule="auto"/>
            </w:pPr>
            <w:r>
              <w:rPr>
                <w:rFonts w:ascii="Cambria" w:hAnsi="Cambria"/>
                <w:b/>
                <w:color w:val="1A1A1A"/>
                <w:sz w:val="19"/>
              </w:rPr>
            </w:r>
          </w:p>
        </w:tc>
        <w:tc>
          <w:tcPr>
            <w:shd w:val="clear" w:fill="EDF2F4"/>
            <w:tcW w:w="1468" w:type="dxa"/>
          </w:tcPr>
          <w:p>
            <w:pPr>
              <w:spacing w:before="30" w:after="30" w:line="254" w:lineRule="auto"/>
              <w:jc w:val="right"/>
            </w:pPr>
            <w:r>
              <w:rPr>
                <w:rFonts w:ascii="Cambria" w:hAnsi="Cambria"/>
                <w:b/>
                <w:color w:val="1A1A1A"/>
                <w:sz w:val="19"/>
              </w:rPr>
              <w:t>₹8.00 crore</w:t>
            </w:r>
          </w:p>
        </w:tc>
      </w:tr>
    </w:tbl>
    <w:p>
      <w:pPr>
        <w:spacing w:after="80"/>
      </w:pPr>
    </w:p>
    <w:p>
      <w:pPr>
        <w:pStyle w:val="Heading1"/>
        <w:pBdr>
          <w:bottom w:val="single" w:sz="8" w:space="4" w:color="1F4E5F"/>
        </w:pBdr>
      </w:pPr>
      <w:r>
        <w:t>7.  Scope boundaries</w:t>
      </w:r>
    </w:p>
    <w:p>
      <w:r>
        <w:rPr>
          <w:rFonts w:ascii="Cambria" w:hAnsi="Cambria"/>
          <w:b w:val="0"/>
          <w:color w:val="1A1A1A"/>
          <w:sz w:val="21"/>
        </w:rPr>
        <w:t>The following are stated as outside this proposal so that the department can compare offers on equal terms:</w:t>
      </w:r>
    </w:p>
    <w:p>
      <w:pPr>
        <w:pStyle w:val="ListBullet"/>
        <w:ind w:left="374" w:hanging="230"/>
      </w:pPr>
      <w:r>
        <w:rPr>
          <w:rFonts w:ascii="Cambria" w:hAnsi="Cambria"/>
          <w:color w:val="1A1A1A"/>
          <w:sz w:val="21"/>
        </w:rPr>
        <w:t>Direct publishing to the department's social media accounts is not in scope. Approved posters and captions are delivered as files for the department's own social media team to post through its existing accounts.</w:t>
      </w:r>
    </w:p>
    <w:p>
      <w:pPr>
        <w:pStyle w:val="ListBullet"/>
        <w:ind w:left="374" w:hanging="230"/>
      </w:pPr>
      <w:r>
        <w:rPr>
          <w:rFonts w:ascii="Cambria" w:hAnsi="Cambria"/>
          <w:color w:val="1A1A1A"/>
          <w:sz w:val="21"/>
        </w:rPr>
        <w:t>Animating a finished still poster into a motion or video creative is not in scope. Moving-image output is limited to the scripted explainer films and studio programmes described in Workstream 6.</w:t>
      </w:r>
    </w:p>
    <w:p>
      <w:pPr>
        <w:pStyle w:val="ListBullet"/>
        <w:ind w:left="374" w:hanging="230"/>
      </w:pPr>
      <w:r>
        <w:rPr>
          <w:rFonts w:ascii="Cambria" w:hAnsi="Cambria"/>
          <w:color w:val="1A1A1A"/>
          <w:sz w:val="21"/>
        </w:rPr>
        <w:t>Export into third-party design tools as editable projects is not in scope. Visual output is delivered as PNG, PDF and MP4.</w:t>
      </w:r>
    </w:p>
    <w:p>
      <w:pPr>
        <w:pStyle w:val="ListBullet"/>
        <w:ind w:left="374" w:hanging="230"/>
      </w:pPr>
      <w:r>
        <w:rPr>
          <w:rFonts w:ascii="Cambria" w:hAnsi="Cambria"/>
          <w:color w:val="1A1A1A"/>
          <w:sz w:val="21"/>
        </w:rPr>
        <w:t>GPU compute, storage, networking, power and cooling hardware is provided by the department and is not included in the contract value.</w:t>
      </w:r>
    </w:p>
    <w:p>
      <w:pPr>
        <w:pStyle w:val="ListBullet"/>
        <w:ind w:left="374" w:hanging="230"/>
      </w:pPr>
      <w:r>
        <w:rPr>
          <w:rFonts w:ascii="Cambria" w:hAnsi="Cambria"/>
          <w:color w:val="1A1A1A"/>
          <w:sz w:val="21"/>
        </w:rPr>
        <w:t>Newspaper subscriptions, e-paper licences and media feed charges are not included.</w:t>
      </w:r>
    </w:p>
    <w:p>
      <w:pPr>
        <w:pStyle w:val="ListBullet"/>
        <w:ind w:left="374" w:hanging="230"/>
      </w:pPr>
      <w:r>
        <w:rPr>
          <w:rFonts w:ascii="Cambria" w:hAnsi="Cambria"/>
          <w:color w:val="1A1A1A"/>
          <w:sz w:val="21"/>
        </w:rPr>
        <w:t>Studio premises, cameras, lighting and recording equipment are not included; Workstream 6 provides production capability, not studio infrastructure.</w:t>
      </w:r>
    </w:p>
    <w:p>
      <w:pPr>
        <w:pStyle w:val="Heading1"/>
        <w:pBdr>
          <w:bottom w:val="single" w:sz="8" w:space="4" w:color="1F4E5F"/>
        </w:pBdr>
      </w:pPr>
      <w:r>
        <w:t>8.  Assumptions and dependencies</w:t>
      </w:r>
    </w:p>
    <w:p>
      <w:pPr>
        <w:pStyle w:val="ListBullet"/>
        <w:ind w:left="374" w:hanging="230"/>
      </w:pPr>
      <w:r>
        <w:rPr>
          <w:rFonts w:ascii="Cambria" w:hAnsi="Cambria"/>
          <w:color w:val="1A1A1A"/>
          <w:sz w:val="21"/>
        </w:rPr>
        <w:t>The department will provide access to the Mahasamvad archive and approved reference material for corpus preparation under Workstream 3, without which model adaptation cannot proceed.</w:t>
      </w:r>
    </w:p>
    <w:p>
      <w:pPr>
        <w:pStyle w:val="ListBullet"/>
        <w:ind w:left="374" w:hanging="230"/>
      </w:pPr>
      <w:r>
        <w:rPr>
          <w:rFonts w:ascii="Cambria" w:hAnsi="Cambria"/>
          <w:color w:val="1A1A1A"/>
          <w:sz w:val="21"/>
        </w:rPr>
        <w:t>The department will provide official branding assets and confirm the editorial rules to be enforced.</w:t>
      </w:r>
    </w:p>
    <w:p>
      <w:pPr>
        <w:pStyle w:val="ListBullet"/>
        <w:ind w:left="374" w:hanging="230"/>
      </w:pPr>
      <w:r>
        <w:rPr>
          <w:rFonts w:ascii="Cambria" w:hAnsi="Cambria"/>
          <w:color w:val="1A1A1A"/>
          <w:sz w:val="21"/>
        </w:rPr>
        <w:t>One nominated departmental coordinator will be available for requirement confirmation, review and milestone acceptance within agreed timelines.</w:t>
      </w:r>
    </w:p>
    <w:p>
      <w:pPr>
        <w:pStyle w:val="ListBullet"/>
        <w:ind w:left="374" w:hanging="230"/>
      </w:pPr>
      <w:r>
        <w:rPr>
          <w:rFonts w:ascii="Cambria" w:hAnsi="Cambria"/>
          <w:color w:val="1A1A1A"/>
          <w:sz w:val="21"/>
        </w:rPr>
        <w:t>Metered consumption is provided within the pool stated in Section 4; usage materially above agreed volumes will follow an approval process settled during contracting.</w:t>
      </w:r>
    </w:p>
    <w:p>
      <w:pPr>
        <w:pStyle w:val="ListBullet"/>
        <w:ind w:left="374" w:hanging="230"/>
      </w:pPr>
      <w:r>
        <w:rPr>
          <w:rFonts w:ascii="Cambria" w:hAnsi="Cambria"/>
          <w:color w:val="1A1A1A"/>
          <w:sz w:val="21"/>
        </w:rPr>
        <w:t>Approved models and service providers may be substituted during the engagement on grounds of quality, security, availability or cost.</w:t>
      </w:r>
    </w:p>
    <w:p>
      <w:pPr>
        <w:pStyle w:val="ListBullet"/>
        <w:ind w:left="374" w:hanging="230"/>
      </w:pPr>
      <w:r>
        <w:rPr>
          <w:rFonts w:ascii="Cambria" w:hAnsi="Cambria"/>
          <w:color w:val="1A1A1A"/>
          <w:sz w:val="21"/>
        </w:rPr>
        <w:t>Final factual interpretation, editorial approval and publication authority remain with authorised DGIPR officers at every outward-facing stage.</w:t>
      </w:r>
    </w:p>
    <w:p>
      <w:pPr>
        <w:pStyle w:val="ListBullet"/>
        <w:ind w:left="374" w:hanging="230"/>
      </w:pPr>
      <w:r>
        <w:rPr>
          <w:rFonts w:ascii="Cambria" w:hAnsi="Cambria"/>
          <w:color w:val="1A1A1A"/>
          <w:sz w:val="21"/>
        </w:rPr>
        <w:t>All amounts are in Indian Rupees. Statutory levies will be dealt with as provided in the contract.</w:t>
      </w:r>
    </w:p>
    <w:p>
      <w:pPr>
        <w:pStyle w:val="Heading1"/>
        <w:pBdr>
          <w:bottom w:val="single" w:sz="8" w:space="4" w:color="1F4E5F"/>
        </w:pBdr>
      </w:pPr>
      <w:r>
        <w:t>9.  Closing</w:t>
      </w:r>
    </w:p>
    <w:p>
      <w:r>
        <w:rPr>
          <w:rFonts w:ascii="Cambria" w:hAnsi="Cambria"/>
          <w:b w:val="0"/>
          <w:color w:val="1A1A1A"/>
          <w:sz w:val="21"/>
        </w:rPr>
        <w:t>This proposal offers the department a communication platform it controls, built on models adapted to its own language and its own editorial standards, and operated as a managed service with four professionals working alongside departmental staff at headquarters.</w:t>
      </w:r>
    </w:p>
    <w:p>
      <w:r>
        <w:rPr>
          <w:rFonts w:ascii="Cambria" w:hAnsi="Cambria"/>
          <w:b w:val="0"/>
          <w:color w:val="1A1A1A"/>
          <w:sz w:val="21"/>
        </w:rPr>
        <w:t>The department's material stays on departmental infrastructure. Its institutional archive becomes a working resource rather than a store. Its Marathi output improves measurably across the term, because the models behind it are adapted and re-evaluated rather than left as delivered. And its officers retain complete authority over what is published in the government's name.</w:t>
      </w:r>
    </w:p>
    <w:p>
      <w:pPr>
        <w:spacing w:before="400"/>
      </w:pPr>
      <w:r>
        <w:rPr>
          <w:rFonts w:ascii="Cambria" w:hAnsi="Cambria"/>
          <w:b/>
          <w:color w:val="1A1A1A"/>
          <w:sz w:val="21"/>
        </w:rPr>
        <w:t>For and on behalf of Company Name</w:t>
      </w:r>
    </w:p>
    <w:p>
      <w:pPr>
        <w:spacing w:before="300"/>
      </w:pPr>
      <w:r>
        <w:rPr>
          <w:rFonts w:ascii="Cambria" w:hAnsi="Cambria"/>
          <w:b w:val="0"/>
          <w:color w:val="5C5C5C"/>
          <w:sz w:val="20"/>
        </w:rPr>
        <w:t>Name:  ______________________________          Designation:  ______________________________</w:t>
      </w:r>
    </w:p>
    <w:p>
      <w:pPr>
        <w:spacing w:before="120"/>
      </w:pPr>
      <w:r>
        <w:rPr>
          <w:rFonts w:ascii="Cambria" w:hAnsi="Cambria"/>
          <w:b w:val="0"/>
          <w:color w:val="5C5C5C"/>
          <w:sz w:val="20"/>
        </w:rPr>
        <w:t>Signature:  __________________________          Date:  ______________________________</w:t>
      </w:r>
    </w:p>
    <w:p>
      <w:pPr>
        <w:spacing w:after="0"/>
      </w:pPr>
      <w:r>
        <w:br w:type="page"/>
      </w:r>
    </w:p>
    <w:p>
      <w:pPr>
        <w:pStyle w:val="Heading1"/>
        <w:pBdr>
          <w:bottom w:val="single" w:sz="8" w:space="4" w:color="1F4E5F"/>
        </w:pBdr>
      </w:pPr>
      <w:r>
        <w:t>Annexure I — Workstream acceptance criteria</w:t>
      </w:r>
    </w:p>
    <w:p>
      <w:r>
        <w:rPr>
          <w:rFonts w:ascii="Cambria" w:hAnsi="Cambria"/>
          <w:b w:val="0"/>
          <w:color w:val="1A1A1A"/>
          <w:sz w:val="21"/>
        </w:rPr>
        <w:t>Each workstream is demonstrated and accepted against the position below. Detailed test cases and service levels are settled during contracting.</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664"/>
        <w:gridCol w:w="6796"/>
      </w:tblGrid>
      <w:tr>
        <w:trPr>
          <w:cantSplit w:val="true"/>
          <w:tblHeader w:val="true"/>
        </w:trPr>
        <w:tc>
          <w:tcPr>
            <w:shd w:val="clear" w:fill="E4EBEE"/>
            <w:tcW w:w="2664" w:type="dxa"/>
          </w:tcPr>
          <w:p>
            <w:pPr>
              <w:spacing w:before="30" w:after="30" w:line="254" w:lineRule="auto"/>
            </w:pPr>
            <w:r>
              <w:rPr>
                <w:rFonts w:ascii="Cambria" w:hAnsi="Cambria"/>
                <w:b/>
                <w:color w:val="1F4E5F"/>
                <w:sz w:val="18"/>
              </w:rPr>
              <w:t>Workstream</w:t>
            </w:r>
          </w:p>
        </w:tc>
        <w:tc>
          <w:tcPr>
            <w:shd w:val="clear" w:fill="E4EBEE"/>
            <w:tcW w:w="6796" w:type="dxa"/>
          </w:tcPr>
          <w:p>
            <w:pPr>
              <w:spacing w:before="30" w:after="30" w:line="254" w:lineRule="auto"/>
            </w:pPr>
            <w:r>
              <w:rPr>
                <w:rFonts w:ascii="Cambria" w:hAnsi="Cambria"/>
                <w:b/>
                <w:color w:val="1F4E5F"/>
                <w:sz w:val="18"/>
              </w:rPr>
              <w:t>Accepted when</w:t>
            </w:r>
          </w:p>
        </w:tc>
      </w:tr>
      <w:tr>
        <w:trPr>
          <w:cantSplit w:val="true"/>
        </w:trPr>
        <w:tc>
          <w:tcPr>
            <w:tcW w:w="2664" w:type="dxa"/>
          </w:tcPr>
          <w:p>
            <w:pPr>
              <w:spacing w:before="30" w:after="30" w:line="254" w:lineRule="auto"/>
            </w:pPr>
            <w:r>
              <w:rPr>
                <w:rFonts w:ascii="Cambria" w:hAnsi="Cambria"/>
                <w:color w:val="1A1A1A"/>
                <w:sz w:val="18"/>
              </w:rPr>
              <w:t>1.  Secure AI Platform and Governance Layer</w:t>
            </w:r>
          </w:p>
        </w:tc>
        <w:tc>
          <w:tcPr>
            <w:tcW w:w="6796" w:type="dxa"/>
          </w:tcPr>
          <w:p>
            <w:pPr>
              <w:spacing w:before="30" w:after="30" w:line="254" w:lineRule="auto"/>
            </w:pPr>
            <w:r>
              <w:rPr>
                <w:rFonts w:ascii="Cambria" w:hAnsi="Cambria"/>
                <w:color w:val="1A1A1A"/>
                <w:sz w:val="18"/>
              </w:rPr>
              <w:t>Models are serving from departmental infrastructure, access control and audit are demonstrated end to end, and a backup and restoration test has been witnessed.</w:t>
            </w:r>
          </w:p>
        </w:tc>
      </w:tr>
      <w:tr>
        <w:trPr>
          <w:cantSplit w:val="true"/>
        </w:trPr>
        <w:tc>
          <w:tcPr>
            <w:tcW w:w="2664" w:type="dxa"/>
          </w:tcPr>
          <w:p>
            <w:pPr>
              <w:spacing w:before="30" w:after="30" w:line="254" w:lineRule="auto"/>
            </w:pPr>
            <w:r>
              <w:rPr>
                <w:rFonts w:ascii="Cambria" w:hAnsi="Cambria"/>
                <w:color w:val="1A1A1A"/>
                <w:sz w:val="18"/>
              </w:rPr>
              <w:t>2.  Ingestion and Knowledge Fabric</w:t>
            </w:r>
          </w:p>
        </w:tc>
        <w:tc>
          <w:tcPr>
            <w:tcW w:w="6796" w:type="dxa"/>
          </w:tcPr>
          <w:p>
            <w:pPr>
              <w:spacing w:before="30" w:after="30" w:line="254" w:lineRule="auto"/>
            </w:pPr>
            <w:r>
              <w:rPr>
                <w:rFonts w:ascii="Cambria" w:hAnsi="Cambria"/>
                <w:color w:val="1A1A1A"/>
                <w:sz w:val="18"/>
              </w:rPr>
              <w:t>Every listed source format can be submitted, read and corrected by an officer, and retrieval returns grounded results carrying their source reference.</w:t>
            </w:r>
          </w:p>
        </w:tc>
      </w:tr>
      <w:tr>
        <w:trPr>
          <w:cantSplit w:val="true"/>
        </w:trPr>
        <w:tc>
          <w:tcPr>
            <w:tcW w:w="2664" w:type="dxa"/>
          </w:tcPr>
          <w:p>
            <w:pPr>
              <w:spacing w:before="30" w:after="30" w:line="254" w:lineRule="auto"/>
            </w:pPr>
            <w:r>
              <w:rPr>
                <w:rFonts w:ascii="Cambria" w:hAnsi="Cambria"/>
                <w:color w:val="1A1A1A"/>
                <w:sz w:val="18"/>
              </w:rPr>
              <w:t>3.  Marathi Language and Model Adaptation</w:t>
            </w:r>
          </w:p>
        </w:tc>
        <w:tc>
          <w:tcPr>
            <w:tcW w:w="6796" w:type="dxa"/>
          </w:tcPr>
          <w:p>
            <w:pPr>
              <w:spacing w:before="30" w:after="30" w:line="254" w:lineRule="auto"/>
            </w:pPr>
            <w:r>
              <w:rPr>
                <w:rFonts w:ascii="Cambria" w:hAnsi="Cambria"/>
                <w:color w:val="1A1A1A"/>
                <w:sz w:val="18"/>
              </w:rPr>
              <w:t>Adapted models outperform the baseline on the department's own evaluation set for register, terminology and designation accuracy, with results documented and reproducible.</w:t>
            </w:r>
          </w:p>
        </w:tc>
      </w:tr>
      <w:tr>
        <w:trPr>
          <w:cantSplit w:val="true"/>
        </w:trPr>
        <w:tc>
          <w:tcPr>
            <w:tcW w:w="2664" w:type="dxa"/>
          </w:tcPr>
          <w:p>
            <w:pPr>
              <w:spacing w:before="30" w:after="30" w:line="254" w:lineRule="auto"/>
            </w:pPr>
            <w:r>
              <w:rPr>
                <w:rFonts w:ascii="Cambria" w:hAnsi="Cambria"/>
                <w:color w:val="1A1A1A"/>
                <w:sz w:val="18"/>
              </w:rPr>
              <w:t>4.  Editorial Production Suite</w:t>
            </w:r>
          </w:p>
        </w:tc>
        <w:tc>
          <w:tcPr>
            <w:tcW w:w="6796" w:type="dxa"/>
          </w:tcPr>
          <w:p>
            <w:pPr>
              <w:spacing w:before="30" w:after="30" w:line="254" w:lineRule="auto"/>
            </w:pPr>
            <w:r>
              <w:rPr>
                <w:rFonts w:ascii="Cambria" w:hAnsi="Cambria"/>
                <w:color w:val="1A1A1A"/>
                <w:sz w:val="18"/>
              </w:rPr>
              <w:t>Departmental test material yields publication-ready Marathi articles with correct designations, a working glossary, translation, proofreading and a source-verification section.</w:t>
            </w:r>
          </w:p>
        </w:tc>
      </w:tr>
      <w:tr>
        <w:trPr>
          <w:cantSplit w:val="true"/>
        </w:trPr>
        <w:tc>
          <w:tcPr>
            <w:tcW w:w="2664" w:type="dxa"/>
          </w:tcPr>
          <w:p>
            <w:pPr>
              <w:spacing w:before="30" w:after="30" w:line="254" w:lineRule="auto"/>
            </w:pPr>
            <w:r>
              <w:rPr>
                <w:rFonts w:ascii="Cambria" w:hAnsi="Cambria"/>
                <w:color w:val="1A1A1A"/>
                <w:sz w:val="18"/>
              </w:rPr>
              <w:t>5.  Design and Visual Communication</w:t>
            </w:r>
          </w:p>
        </w:tc>
        <w:tc>
          <w:tcPr>
            <w:tcW w:w="6796" w:type="dxa"/>
          </w:tcPr>
          <w:p>
            <w:pPr>
              <w:spacing w:before="30" w:after="30" w:line="254" w:lineRule="auto"/>
            </w:pPr>
            <w:r>
              <w:rPr>
                <w:rFonts w:ascii="Cambria" w:hAnsi="Cambria"/>
                <w:color w:val="1A1A1A"/>
                <w:sz w:val="18"/>
              </w:rPr>
              <w:t>Posters, creatives and thumbnails are produced under official identity with correct Devanagari, working visual feedback, version history and channel-ready export.</w:t>
            </w:r>
          </w:p>
        </w:tc>
      </w:tr>
      <w:tr>
        <w:trPr>
          <w:cantSplit w:val="true"/>
        </w:trPr>
        <w:tc>
          <w:tcPr>
            <w:tcW w:w="2664" w:type="dxa"/>
          </w:tcPr>
          <w:p>
            <w:pPr>
              <w:spacing w:before="30" w:after="30" w:line="254" w:lineRule="auto"/>
            </w:pPr>
            <w:r>
              <w:rPr>
                <w:rFonts w:ascii="Cambria" w:hAnsi="Cambria"/>
                <w:color w:val="1A1A1A"/>
                <w:sz w:val="18"/>
              </w:rPr>
              <w:t>6.  Broadcast and Video Studio</w:t>
            </w:r>
          </w:p>
        </w:tc>
        <w:tc>
          <w:tcPr>
            <w:tcW w:w="6796" w:type="dxa"/>
          </w:tcPr>
          <w:p>
            <w:pPr>
              <w:spacing w:before="30" w:after="30" w:line="254" w:lineRule="auto"/>
            </w:pPr>
            <w:r>
              <w:rPr>
                <w:rFonts w:ascii="Cambria" w:hAnsi="Cambria"/>
                <w:color w:val="1A1A1A"/>
                <w:sz w:val="18"/>
              </w:rPr>
              <w:t>A scripted explainer film is delivered with narration and subtitles, and a studio programme is finished with branding, captions, extracts and translated versions.</w:t>
            </w:r>
          </w:p>
        </w:tc>
      </w:tr>
      <w:tr>
        <w:trPr>
          <w:cantSplit w:val="true"/>
        </w:trPr>
        <w:tc>
          <w:tcPr>
            <w:tcW w:w="2664" w:type="dxa"/>
          </w:tcPr>
          <w:p>
            <w:pPr>
              <w:spacing w:before="30" w:after="30" w:line="254" w:lineRule="auto"/>
            </w:pPr>
            <w:r>
              <w:rPr>
                <w:rFonts w:ascii="Cambria" w:hAnsi="Cambria"/>
                <w:color w:val="1A1A1A"/>
                <w:sz w:val="18"/>
              </w:rPr>
              <w:t>7.  Media Monitoring, Citizen Response and Distribution</w:t>
            </w:r>
          </w:p>
        </w:tc>
        <w:tc>
          <w:tcPr>
            <w:tcW w:w="6796" w:type="dxa"/>
          </w:tcPr>
          <w:p>
            <w:pPr>
              <w:spacing w:before="30" w:after="30" w:line="254" w:lineRule="auto"/>
            </w:pPr>
            <w:r>
              <w:rPr>
                <w:rFonts w:ascii="Cambria" w:hAnsi="Cambria"/>
                <w:color w:val="1A1A1A"/>
                <w:sz w:val="18"/>
              </w:rPr>
              <w:t>Authorised press sources are read and classified in three languages with alerts, a daily digest, a searchable archive and demonstrated distribution to a district office.</w:t>
            </w:r>
          </w:p>
        </w:tc>
      </w:tr>
    </w:tbl>
    <w:p>
      <w:pPr>
        <w:spacing w:after="80"/>
      </w:pPr>
    </w:p>
    <w:sectPr w:rsidR="00FC693F" w:rsidRPr="0006063C" w:rsidSect="00034616">
      <w:headerReference w:type="default" r:id="rId9"/>
      <w:footerReference w:type="default" r:id="rId10"/>
      <w:pgSz w:w="11909" w:h="16834"/>
      <w:pgMar w:top="2376" w:right="1224" w:bottom="1656"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61" w:val="right"/>
      </w:tabs>
      <w:spacing w:before="0" w:after="0"/>
      <w:pBdr>
        <w:top w:val="single" w:sz="6" w:space="5" w:color="1F4E5F"/>
      </w:pBdr>
    </w:pPr>
    <w:r>
      <w:rPr>
        <w:rFonts w:ascii="Cambria" w:hAnsi="Cambria"/>
        <w:color w:val="5C5C5C"/>
        <w:sz w:val="15"/>
      </w:rPr>
      <w:t>[ Company Name ]  ·  DGIPR AI NewsRoom</w:t>
      <w:tab/>
    </w:r>
    <w:r>
      <w:rPr>
        <w:rFonts w:ascii="Cambria" w:hAnsi="Cambria"/>
        <w:color w:val="5C5C5C"/>
        <w:sz w:val="15"/>
      </w:rPr>
      <w:t xml:space="preserve">Page </w:t>
    </w:r>
    <w:r>
      <w:rPr>
        <w:rFonts w:ascii="Cambria" w:hAnsi="Cambria"/>
        <w:color w:val="5C5C5C"/>
        <w:sz w:val="15"/>
      </w:rPr>
      <w:fldChar w:fldCharType="begin"/>
      <w:instrText xml:space="preserve"> PAGE </w:instrText>
      <w:fldChar w:fldCharType="separate"/>
      <w:t>1</w:t>
      <w:fldChar w:fldCharType="end"/>
    </w:r>
    <w:r>
      <w:rPr>
        <w:rFonts w:ascii="Cambria" w:hAnsi="Cambria"/>
        <w:color w:val="5C5C5C"/>
        <w:sz w:val="15"/>
      </w:rPr>
      <w:t xml:space="preserve"> of </w:t>
    </w:r>
    <w:r>
      <w:rPr>
        <w:rFonts w:ascii="Cambria" w:hAnsi="Cambria"/>
        <w:color w:val="5C5C5C"/>
        <w:sz w:val="15"/>
      </w:rPr>
      <w:fldChar w:fldCharType="begin"/>
      <w:instrText xml:space="preserve"> NUMPAGES </w:instrText>
      <w:fldChar w:fldCharType="separate"/>
      <w:t>1</w:t>
      <w:fldChar w:fldCharType="end"/>
    </w:r>
  </w:p>
  <w:p>
    <w:pPr>
      <w:spacing w:before="0" w:after="0"/>
    </w:pPr>
    <w:r>
      <w:rPr>
        <w:rFonts w:ascii="Cambria" w:hAnsi="Cambria"/>
        <w:color w:val="BBBBBB"/>
        <w:sz w:val="14"/>
      </w:rPr>
      <w:t>[ footer area — insert registered office address and contact details here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r>
      <w:rPr>
        <w:rFonts w:ascii="Cambria" w:hAnsi="Cambria"/>
        <w:color w:val="BBBBBB"/>
        <w:sz w:val="14"/>
      </w:rPr>
      <w:t>[ letterhead area — insert company logo and header here ]</w:t>
    </w:r>
  </w:p>
  <w:p>
    <w:pPr>
      <w:spacing w:before="0" w:after="0" w:line="240" w:lineRule="auto"/>
    </w:pPr>
    <w:r>
      <w:rPr>
        <w:sz w:val="4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mbria" w:hAnsi="Cambria" w:eastAsia="Cambr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mbria" w:hAnsi="Cambria" w:eastAsia="Cambria"/>
      <w:b/>
      <w:bCs/>
      <w:color w:val="1F4E5F"/>
      <w:sz w:val="31"/>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mbria" w:hAnsi="Cambria" w:eastAsia="Cambria"/>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mbria" w:hAnsi="Cambria" w:eastAsia="Cambria"/>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mbria" w:hAnsi="Cambria"/>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