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aps/>
          <w:color w:val="55606B"/>
          <w:sz w:val="18"/>
          <w:szCs w:val="18"/>
        </w:rPr>
        <w:t xml:space="preserve">Government of Maharashtra</w:t>
      </w:r>
    </w:p>
    <w:p>
      <w:pPr>
        <w:spacing w:after="20"/>
        <w:jc w:val="center"/>
      </w:pPr>
      <w:r>
        <w:rPr>
          <w:rFonts w:ascii="Cambria" w:cs="Cambria" w:eastAsia="Cambria" w:hAnsi="Cambria"/>
          <w:b/>
          <w:bCs/>
          <w:color w:val="17365D"/>
          <w:sz w:val="24"/>
          <w:szCs w:val="24"/>
        </w:rPr>
        <w:t xml:space="preserve">Directorate General of Information and Public Relations</w:t>
      </w:r>
    </w:p>
    <w:p>
      <w:pPr>
        <w:spacing w:after="260"/>
        <w:jc w:val="center"/>
      </w:pPr>
      <w:r>
        <w:rPr>
          <w:rFonts w:ascii="Calibri" w:cs="Calibri" w:eastAsia="Calibri" w:hAnsi="Calibri"/>
          <w:color w:val="55606B"/>
          <w:sz w:val="18"/>
          <w:szCs w:val="18"/>
        </w:rPr>
        <w:t xml:space="preserve">New Media Branch / Section Ka-8  ·  Mantralaya, Mumbai 400 032</w:t>
      </w:r>
    </w:p>
    <w:p>
      <w:pPr>
        <w:pBdr>
          <w:top w:val="single" w:color="17365D" w:sz="12" w:space="10"/>
        </w:pBdr>
        <w:spacing w:after="60"/>
        <w:jc w:val="center"/>
      </w:pPr>
      <w:r>
        <w:rPr>
          <w:rFonts w:ascii="Cambria" w:cs="Cambria" w:eastAsia="Cambria" w:hAnsi="Cambria"/>
          <w:b/>
          <w:bCs/>
          <w:color w:val="17365D"/>
          <w:sz w:val="34"/>
          <w:szCs w:val="34"/>
        </w:rPr>
        <w:t xml:space="preserve">Technical Evaluation Report</w:t>
      </w:r>
    </w:p>
    <w:p>
      <w:pPr>
        <w:pBdr>
          <w:bottom w:val="single" w:color="17365D" w:sz="12" w:space="10"/>
        </w:pBdr>
        <w:spacing w:after="260"/>
        <w:jc w:val="center"/>
      </w:pPr>
      <w:r>
        <w:rPr>
          <w:rFonts w:ascii="Calibri" w:cs="Calibri" w:eastAsia="Calibri" w:hAnsi="Calibri"/>
          <w:color w:val="55606B"/>
          <w:sz w:val="20"/>
          <w:szCs w:val="20"/>
        </w:rPr>
        <w:t xml:space="preserve">Evaluation of the proposal received for establishment of the AI NewsRoom</w:t>
      </w:r>
    </w:p>
    <w:tbl>
      <w:tblPr>
        <w:tblW w:type="dxa" w:w="9746"/>
        <w:tblBorders>
          <w:top w:val="single" w:color="B9C0C7" w:sz="4"/>
          <w:left w:val="single" w:color="B9C0C7" w:sz="4"/>
          <w:bottom w:val="single" w:color="B9C0C7" w:sz="4"/>
          <w:right w:val="single" w:color="B9C0C7" w:sz="4"/>
          <w:insideH w:val="single" w:color="B9C0C7" w:sz="4"/>
          <w:insideV w:val="single" w:color="B9C0C7" w:sz="4"/>
        </w:tblBorders>
        <w:tblLayout w:type="fixed"/>
      </w:tblPr>
      <w:tblGrid>
        <w:gridCol w:w="2729"/>
        <w:gridCol w:w="7017"/>
      </w:tblGrid>
      <w:tr>
        <w:trPr>
          <w:cantSplit/>
          <w:tblHeader/>
        </w:trPr>
        <w:tc>
          <w:tcPr>
            <w:tcW w:type="dxa" w:w="2729"/>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Field</w:t>
            </w:r>
          </w:p>
        </w:tc>
        <w:tc>
          <w:tcPr>
            <w:tcW w:type="dxa" w:w="7017"/>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Particulars</w:t>
            </w:r>
          </w:p>
        </w:tc>
      </w:tr>
      <w:tr>
        <w:trPr>
          <w:cantSplit/>
          <w:tblHeader w:val="false"/>
        </w:trPr>
        <w:tc>
          <w:tcPr>
            <w:tcW w:type="dxa" w:w="272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Subject</w:t>
            </w:r>
          </w:p>
        </w:tc>
        <w:tc>
          <w:tcPr>
            <w:tcW w:type="dxa" w:w="701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Establishment of an AI NewsRoom for the Directorate General of Information and Public Relations — technical and commercial evaluation of the proposal received</w:t>
            </w:r>
          </w:p>
        </w:tc>
      </w:tr>
      <w:tr>
        <w:trPr>
          <w:cantSplit/>
          <w:tblHeader w:val="false"/>
        </w:trPr>
        <w:tc>
          <w:tcPr>
            <w:tcW w:type="dxa" w:w="272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Departmental reference</w:t>
            </w:r>
          </w:p>
        </w:tc>
        <w:tc>
          <w:tcPr>
            <w:tcW w:type="dxa" w:w="701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Note of the New Media Branch / Section Ka-8 proposing establishment of an “AI NewsRoom”, together with its Annexure — Detailed Scope of Work (Annexure A and Annexure B)</w:t>
            </w:r>
          </w:p>
        </w:tc>
      </w:tr>
      <w:tr>
        <w:trPr>
          <w:cantSplit/>
          <w:tblHeader w:val="false"/>
        </w:trPr>
        <w:tc>
          <w:tcPr>
            <w:tcW w:type="dxa" w:w="272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Related instruction</w:t>
            </w:r>
          </w:p>
        </w:tc>
        <w:tc>
          <w:tcPr>
            <w:tcW w:type="dxa" w:w="701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Circular of the Director (Information) (News and Public Relations) No. Sancha (Vru/Jan)/Paripatrak/Ka-2/41 dated 18 March 2025 on use of Artificial Intelligence in the newsroom</w:t>
            </w:r>
          </w:p>
        </w:tc>
      </w:tr>
      <w:tr>
        <w:trPr>
          <w:cantSplit/>
          <w:tblHeader w:val="false"/>
        </w:trPr>
        <w:tc>
          <w:tcPr>
            <w:tcW w:type="dxa" w:w="272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Proposal evaluated</w:t>
            </w:r>
          </w:p>
        </w:tc>
        <w:tc>
          <w:tcPr>
            <w:tcW w:type="dxa" w:w="701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AI NewsRoom — proposal submitted by HashCase for development, deployment and one-year operation</w:t>
            </w:r>
          </w:p>
        </w:tc>
      </w:tr>
      <w:tr>
        <w:trPr>
          <w:cantSplit/>
          <w:tblHeader w:val="false"/>
        </w:trPr>
        <w:tc>
          <w:tcPr>
            <w:tcW w:type="dxa" w:w="272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Value offered</w:t>
            </w:r>
          </w:p>
        </w:tc>
        <w:tc>
          <w:tcPr>
            <w:tcW w:type="dxa" w:w="701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₹5.00 crore (Rupees Five Crore only), exclusive of Goods and Services Tax</w:t>
            </w:r>
          </w:p>
        </w:tc>
      </w:tr>
      <w:tr>
        <w:trPr>
          <w:cantSplit/>
          <w:tblHeader w:val="false"/>
        </w:trPr>
        <w:tc>
          <w:tcPr>
            <w:tcW w:type="dxa" w:w="272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Departmental estimate</w:t>
            </w:r>
          </w:p>
        </w:tc>
        <w:tc>
          <w:tcPr>
            <w:tcW w:type="dxa" w:w="701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₹5.90 crore (₹5.00 crore plus 18% GST of ₹0.90 crore)</w:t>
            </w:r>
          </w:p>
        </w:tc>
      </w:tr>
      <w:tr>
        <w:trPr>
          <w:cantSplit/>
          <w:tblHeader w:val="false"/>
        </w:trPr>
        <w:tc>
          <w:tcPr>
            <w:tcW w:type="dxa" w:w="272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Engagement term</w:t>
            </w:r>
          </w:p>
        </w:tc>
        <w:tc>
          <w:tcPr>
            <w:tcW w:type="dxa" w:w="701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Twelve months from the date of work order</w:t>
            </w:r>
          </w:p>
        </w:tc>
      </w:tr>
      <w:tr>
        <w:trPr>
          <w:cantSplit/>
          <w:tblHeader w:val="false"/>
        </w:trPr>
        <w:tc>
          <w:tcPr>
            <w:tcW w:type="dxa" w:w="272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Budget head</w:t>
            </w:r>
          </w:p>
        </w:tc>
        <w:tc>
          <w:tcPr>
            <w:tcW w:type="dxa" w:w="701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Demand No. A-6, Major Head 2220 — Information and Publicity, 60 — Other Expenditure, 101 — Advertising and Visual Publicity, (00)(03) Special Publicity Campaign of Government Schemes (Under Scheme), 26 — Advertising and Publicity, Computer Code 2220 1175</w:t>
            </w:r>
          </w:p>
        </w:tc>
      </w:tr>
      <w:tr>
        <w:trPr>
          <w:cantSplit/>
          <w:tblHeader w:val="false"/>
        </w:trPr>
        <w:tc>
          <w:tcPr>
            <w:tcW w:type="dxa" w:w="272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Report prepared by</w:t>
            </w:r>
          </w:p>
        </w:tc>
        <w:tc>
          <w:tcPr>
            <w:tcW w:type="dxa" w:w="701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Names and designations of the evaluating officers  ]</w:t>
            </w:r>
          </w:p>
        </w:tc>
      </w:tr>
      <w:tr>
        <w:trPr>
          <w:cantSplit/>
          <w:tblHeader w:val="false"/>
        </w:trPr>
        <w:tc>
          <w:tcPr>
            <w:tcW w:type="dxa" w:w="272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Date of report</w:t>
            </w:r>
          </w:p>
        </w:tc>
        <w:tc>
          <w:tcPr>
            <w:tcW w:type="dxa" w:w="701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Date  ]</w:t>
            </w:r>
          </w:p>
        </w:tc>
      </w:tr>
    </w:tbl>
    <w:p>
      <w:pPr>
        <w:spacing w:after="200"/>
      </w:pPr>
      <w:r>
        <w:rPr>
          <w:sz w:val="12"/>
          <w:szCs w:val="12"/>
        </w:rPr>
        <w:t xml:space="preserve"/>
      </w:r>
    </w:p>
    <w:tbl>
      <w:tblPr>
        <w:tblW w:type="dxa" w:w="9746"/>
        <w:tblBorders>
          <w:top w:val="single" w:color="B9C0C7" w:sz="4"/>
          <w:left w:val="single" w:color="17365D" w:sz="18"/>
          <w:bottom w:val="single" w:color="B9C0C7" w:sz="4"/>
          <w:right w:val="single" w:color="B9C0C7" w:sz="4"/>
          <w:insideH w:val="none" w:color="FFFFFF" w:sz="0"/>
          <w:insideV w:val="none" w:color="FFFFFF" w:sz="0"/>
        </w:tblBorders>
        <w:tblLayout w:type="fixed"/>
      </w:tblPr>
      <w:tblGrid>
        <w:gridCol w:w="9746"/>
      </w:tblGrid>
      <w:tr>
        <w:trPr>
          <w:cantSplit w:val="false"/>
        </w:trPr>
        <w:tc>
          <w:tcPr>
            <w:tcW w:type="dxa" w:w="9746"/>
            <w:shd w:fill="F4F7F9" w:color="auto" w:val="clear"/>
            <w:tcMar>
              <w:top w:type="dxa" w:w="120"/>
              <w:left w:type="dxa" w:w="160"/>
              <w:bottom w:type="dxa" w:w="120"/>
              <w:right w:type="dxa" w:w="140"/>
            </w:tcMar>
          </w:tcPr>
          <w:p>
            <w:pPr>
              <w:spacing w:after="60"/>
            </w:pPr>
            <w:r>
              <w:rPr>
                <w:rFonts w:ascii="Calibri" w:cs="Calibri" w:eastAsia="Calibri" w:hAnsi="Calibri"/>
                <w:b/>
                <w:bCs/>
                <w:color w:val="17365D"/>
                <w:sz w:val="19"/>
                <w:szCs w:val="19"/>
              </w:rPr>
              <w:t xml:space="preserve">Status of this document</w:t>
            </w:r>
          </w:p>
          <w:p>
            <w:pPr>
              <w:spacing w:line="254"/>
              <w:jc w:val="both"/>
            </w:pPr>
            <w:r>
              <w:rPr>
                <w:rFonts w:ascii="Calibri" w:cs="Calibri" w:eastAsia="Calibri" w:hAnsi="Calibri"/>
                <w:color w:val="1A1A1A"/>
                <w:sz w:val="19"/>
                <w:szCs w:val="19"/>
              </w:rPr>
              <w:t xml:space="preserve">This is a draft evaluation prepared for the consideration of the competent authority. The findings, marks and recommendations recorded here are assessments made against the documents listed in Section 3 and against the departmental note; they are not a record of proceedings already held. Entries shown as [  ] are to be completed by the department, and Section 4 and criterion G of Section 8 can be settled only after the bidder’s qualification documents have been examined and the demonstration at paragraph 11.3 has been held.</w:t>
            </w:r>
          </w:p>
        </w:tc>
      </w:tr>
    </w:tbl>
    <w:p>
      <w:r>
        <w:br w:type="page"/>
      </w:r>
    </w:p>
    <w:p>
      <w:pPr>
        <w:pStyle w:val="Heading1"/>
        <w:keepNext/>
        <w:pBdr>
          <w:bottom w:val="single" w:color="17365D" w:sz="8" w:space="6"/>
        </w:pBdr>
        <w:spacing w:after="160" w:before="0"/>
      </w:pPr>
      <w:r>
        <w:rPr>
          <w:rFonts w:ascii="Cambria" w:cs="Cambria" w:eastAsia="Cambria" w:hAnsi="Cambria"/>
          <w:b/>
          <w:bCs/>
          <w:color w:val="17365D"/>
          <w:sz w:val="26"/>
          <w:szCs w:val="26"/>
        </w:rPr>
        <w:t xml:space="preserve">1.  Purpose of this evaluation</w:t>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The Directorate General of Information and Public Relations has proposed the establishment of an AI NewsRoom to improve the accuracy, speed, efficiency and quality of the Directorate’s publicity work at headquarters and at divisional and district information offices. The departmental note records that the technology and skilled manpower required for this purpose are not presently available within the Directorate, and that the work is therefore to be obtained from an external source through a competent institution selected on the basis of quality and cost.</w:t>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A proposal for the establishment of the AI NewsRoom has been received. This report examines that proposal against the departmental note and its Annexure, records the extent to which the proposal meets the scope of work, identifies the matters on which the department must seek clarification before any commitment is made, examines the financial offer against the departmental estimate, and places a recommendation before the competent authority.</w:t>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This report does not by itself constitute selection of an institution. The departmental note provides that the institution will be appointed through the prescribed e-tender process on the basis of quality and cost. Accordingly this evaluation serves three purposes: it validates the departmental estimate, it establishes the technical criteria and their relative weight for the tender, and it records the department’s technical examination of the proposal on hand.</w:t>
      </w:r>
    </w:p>
    <w:p>
      <w:pPr>
        <w:pStyle w:val="Heading1"/>
        <w:keepNext/>
        <w:pBdr>
          <w:bottom w:val="single" w:color="17365D" w:sz="8" w:space="6"/>
        </w:pBdr>
        <w:spacing w:after="160" w:before="360"/>
      </w:pPr>
      <w:r>
        <w:rPr>
          <w:rFonts w:ascii="Cambria" w:cs="Cambria" w:eastAsia="Cambria" w:hAnsi="Cambria"/>
          <w:b/>
          <w:bCs/>
          <w:color w:val="17365D"/>
          <w:sz w:val="26"/>
          <w:szCs w:val="26"/>
        </w:rPr>
        <w:t xml:space="preserve">2.  Method of evaluation</w:t>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The evaluation follows the three-stage method set out in the Government of Maharashtra’s guidance notes on model tender documents for implementation agencies in information-technology projects, which is the model normally applied to system-implementation procurements of this description.</w:t>
      </w:r>
    </w:p>
    <w:tbl>
      <w:tblPr>
        <w:tblW w:type="dxa" w:w="9746"/>
        <w:tblBorders>
          <w:top w:val="single" w:color="B9C0C7" w:sz="4"/>
          <w:left w:val="single" w:color="B9C0C7" w:sz="4"/>
          <w:bottom w:val="single" w:color="B9C0C7" w:sz="4"/>
          <w:right w:val="single" w:color="B9C0C7" w:sz="4"/>
          <w:insideH w:val="single" w:color="B9C0C7" w:sz="4"/>
          <w:insideV w:val="single" w:color="B9C0C7" w:sz="4"/>
        </w:tblBorders>
        <w:tblLayout w:type="fixed"/>
      </w:tblPr>
      <w:tblGrid>
        <w:gridCol w:w="1559"/>
        <w:gridCol w:w="4483"/>
        <w:gridCol w:w="3703"/>
      </w:tblGrid>
      <w:tr>
        <w:trPr>
          <w:cantSplit/>
          <w:tblHeader/>
        </w:trPr>
        <w:tc>
          <w:tcPr>
            <w:tcW w:type="dxa" w:w="1559"/>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Stage</w:t>
            </w:r>
          </w:p>
        </w:tc>
        <w:tc>
          <w:tcPr>
            <w:tcW w:type="dxa" w:w="4483"/>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What is examined</w:t>
            </w:r>
          </w:p>
        </w:tc>
        <w:tc>
          <w:tcPr>
            <w:tcW w:type="dxa" w:w="3703"/>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Basis of decision</w:t>
            </w:r>
          </w:p>
        </w:tc>
      </w:tr>
      <w:tr>
        <w:trPr>
          <w:cantSplit/>
          <w:tblHeader w:val="false"/>
        </w:trPr>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Stage I — Qualification</w:t>
            </w:r>
          </w:p>
        </w:tc>
        <w:tc>
          <w:tcPr>
            <w:tcW w:type="dxa" w:w="448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Legal standing, financial capacity, comparable experience, certifications, declarations and bid security</w:t>
            </w:r>
          </w:p>
        </w:tc>
        <w:tc>
          <w:tcPr>
            <w:tcW w:type="dxa" w:w="370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Pass or fail. A proposal that does not qualify is not examined further.</w:t>
            </w:r>
          </w:p>
        </w:tc>
      </w:tr>
      <w:tr>
        <w:trPr>
          <w:cantSplit/>
          <w:tblHeader w:val="false"/>
        </w:trPr>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Stage II — Technical</w:t>
            </w:r>
          </w:p>
        </w:tc>
        <w:tc>
          <w:tcPr>
            <w:tcW w:type="dxa" w:w="448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Compliance with the scope of work, solution architecture, information security and data sovereignty, Marathi language capability, delivery approach, operations and support, methodology, experience and risk management</w:t>
            </w:r>
          </w:p>
        </w:tc>
        <w:tc>
          <w:tcPr>
            <w:tcW w:type="dxa" w:w="370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Marked out of 100. A minimum of 70 marks is recommended as the qualifying score.</w:t>
            </w:r>
          </w:p>
        </w:tc>
      </w:tr>
      <w:tr>
        <w:trPr>
          <w:cantSplit/>
          <w:tblHeader w:val="false"/>
        </w:trPr>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Stage III — Commercial</w:t>
            </w:r>
          </w:p>
        </w:tc>
        <w:tc>
          <w:tcPr>
            <w:tcW w:type="dxa" w:w="448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The financial offer, its conformity with the departmental estimate, the internal allocation of the offer across components, the payment structure and the treatment of taxes</w:t>
            </w:r>
          </w:p>
        </w:tc>
        <w:tc>
          <w:tcPr>
            <w:tcW w:type="dxa" w:w="370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Examined for reasonableness and for conformity with the sanctioned estimate and the approved payment structure.</w:t>
            </w:r>
          </w:p>
        </w:tc>
      </w:tr>
    </w:tbl>
    <w:p>
      <w:pPr>
        <w:spacing w:after="100"/>
      </w:pPr>
      <w:r>
        <w:rPr>
          <w:sz w:val="12"/>
          <w:szCs w:val="12"/>
        </w:rPr>
        <w:t xml:space="preserve"/>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Where a competitive process is followed, the guidance provides for a combined score in which the technical evaluation carries 70 per cent weight and the financial offer 30 per cent. That weighting is recommended for the tender and is set out at Annexure I.</w:t>
      </w:r>
    </w:p>
    <w:p>
      <w:pPr>
        <w:pStyle w:val="Heading1"/>
        <w:keepNext/>
        <w:pBdr>
          <w:bottom w:val="single" w:color="17365D" w:sz="8" w:space="6"/>
        </w:pBdr>
        <w:spacing w:after="160" w:before="360"/>
      </w:pPr>
      <w:r>
        <w:rPr>
          <w:rFonts w:ascii="Cambria" w:cs="Cambria" w:eastAsia="Cambria" w:hAnsi="Cambria"/>
          <w:b/>
          <w:bCs/>
          <w:color w:val="17365D"/>
          <w:sz w:val="26"/>
          <w:szCs w:val="26"/>
        </w:rPr>
        <w:t xml:space="preserve">3.  Documents examined</w:t>
      </w:r>
    </w:p>
    <w:tbl>
      <w:tblPr>
        <w:tblW w:type="dxa" w:w="9746"/>
        <w:tblBorders>
          <w:top w:val="single" w:color="B9C0C7" w:sz="4"/>
          <w:left w:val="single" w:color="B9C0C7" w:sz="4"/>
          <w:bottom w:val="single" w:color="B9C0C7" w:sz="4"/>
          <w:right w:val="single" w:color="B9C0C7" w:sz="4"/>
          <w:insideH w:val="single" w:color="B9C0C7" w:sz="4"/>
          <w:insideV w:val="single" w:color="B9C0C7" w:sz="4"/>
        </w:tblBorders>
        <w:tblLayout w:type="fixed"/>
      </w:tblPr>
      <w:tblGrid>
        <w:gridCol w:w="780"/>
        <w:gridCol w:w="5458"/>
        <w:gridCol w:w="3509"/>
      </w:tblGrid>
      <w:tr>
        <w:trPr>
          <w:cantSplit/>
          <w:tblHeader/>
        </w:trPr>
        <w:tc>
          <w:tcPr>
            <w:tcW w:type="dxa" w:w="780"/>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No.</w:t>
            </w:r>
          </w:p>
        </w:tc>
        <w:tc>
          <w:tcPr>
            <w:tcW w:type="dxa" w:w="5458"/>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Document</w:t>
            </w:r>
          </w:p>
        </w:tc>
        <w:tc>
          <w:tcPr>
            <w:tcW w:type="dxa" w:w="3509"/>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Use made of it in this evaluation</w:t>
            </w:r>
          </w:p>
        </w:tc>
      </w:tr>
      <w:tr>
        <w:trPr>
          <w:cantSplit/>
          <w:tblHeader w:val="false"/>
        </w:trPr>
        <w:tc>
          <w:tcPr>
            <w:tcW w:type="dxa" w:w="78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w:t>
            </w:r>
          </w:p>
        </w:tc>
        <w:tc>
          <w:tcPr>
            <w:tcW w:type="dxa" w:w="545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Note of the New Media Branch / Section Ka-8 proposing establishment of an AI NewsRoom, with the estimate of cost and the financial powers position</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The statement of the department’s requirement, its objectives, the cost estimate and the approved payment structure</w:t>
            </w:r>
          </w:p>
        </w:tc>
      </w:tr>
      <w:tr>
        <w:trPr>
          <w:cantSplit/>
          <w:tblHeader w:val="false"/>
        </w:trPr>
        <w:tc>
          <w:tcPr>
            <w:tcW w:type="dxa" w:w="78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w:t>
            </w:r>
          </w:p>
        </w:tc>
        <w:tc>
          <w:tcPr>
            <w:tcW w:type="dxa" w:w="545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Annexure to that note — Detailed Scope of Work, Annexure A (A1 to A12, development of the AI model) and Annexure B (B1 to B8, training of the model and changes as required)</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The component-wise requirement against which compliance has been assessed</w:t>
            </w:r>
          </w:p>
        </w:tc>
      </w:tr>
      <w:tr>
        <w:trPr>
          <w:cantSplit/>
          <w:tblHeader w:val="false"/>
        </w:trPr>
        <w:tc>
          <w:tcPr>
            <w:tcW w:type="dxa" w:w="78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3</w:t>
            </w:r>
          </w:p>
        </w:tc>
        <w:tc>
          <w:tcPr>
            <w:tcW w:type="dxa" w:w="545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The list of thirty items under “Scope of Work” in the departmental note</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The compliance matrix at Section 6</w:t>
            </w:r>
          </w:p>
        </w:tc>
      </w:tr>
      <w:tr>
        <w:trPr>
          <w:cantSplit/>
          <w:tblHeader w:val="false"/>
        </w:trPr>
        <w:tc>
          <w:tcPr>
            <w:tcW w:type="dxa" w:w="78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4</w:t>
            </w:r>
          </w:p>
        </w:tc>
        <w:tc>
          <w:tcPr>
            <w:tcW w:type="dxa" w:w="545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Proposal for an AI NewsRoom submitted by HashCase, dated as submitted, together with its Annexure — Component acceptance summary</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The offer under evaluation</w:t>
            </w:r>
          </w:p>
        </w:tc>
      </w:tr>
      <w:tr>
        <w:trPr>
          <w:cantSplit/>
          <w:tblHeader w:val="false"/>
        </w:trPr>
        <w:tc>
          <w:tcPr>
            <w:tcW w:type="dxa" w:w="78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w:t>
            </w:r>
          </w:p>
        </w:tc>
        <w:tc>
          <w:tcPr>
            <w:tcW w:type="dxa" w:w="545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Circular of the Director (Information) (News and Public Relations) dated 18 March 2025 on use of Artificial Intelligence in the newsroom</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The standing instruction that news released through the newsroom be produced in Marathi, English and Hindi at headquarters and at divisional and district level</w:t>
            </w:r>
          </w:p>
        </w:tc>
      </w:tr>
      <w:tr>
        <w:trPr>
          <w:cantSplit/>
          <w:tblHeader w:val="false"/>
        </w:trPr>
        <w:tc>
          <w:tcPr>
            <w:tcW w:type="dxa" w:w="78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6</w:t>
            </w:r>
          </w:p>
        </w:tc>
        <w:tc>
          <w:tcPr>
            <w:tcW w:type="dxa" w:w="545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Guidance notes on model tender documents for implementation agencies, Government of Maharashtra</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The evaluation method and the recommended weighting at Section 2 and Annexure I</w:t>
            </w:r>
          </w:p>
        </w:tc>
      </w:tr>
    </w:tbl>
    <w:p>
      <w:pPr>
        <w:spacing w:after="100"/>
      </w:pPr>
      <w:r>
        <w:rPr>
          <w:sz w:val="12"/>
          <w:szCs w:val="12"/>
        </w:rPr>
        <w:t xml:space="preserve"/>
      </w:r>
    </w:p>
    <w:p>
      <w:pPr>
        <w:keepNext w:val="false"/>
        <w:spacing w:after="120" w:before="0" w:line="264"/>
        <w:jc w:val="both"/>
      </w:pPr>
      <w:r>
        <w:rPr>
          <w:rFonts w:ascii="Calibri" w:cs="Calibri" w:eastAsia="Calibri" w:hAnsi="Calibri"/>
          <w:b/>
          <w:bCs/>
          <w:i w:val="false"/>
          <w:iCs w:val="false"/>
          <w:caps w:val="false"/>
          <w:color w:val="1A1A1A"/>
          <w:sz w:val="20"/>
          <w:szCs w:val="20"/>
        </w:rPr>
        <w:t xml:space="preserve">Documents not received. </w:t>
      </w:r>
      <w:r>
        <w:rPr>
          <w:rFonts w:ascii="Calibri" w:cs="Calibri" w:eastAsia="Calibri" w:hAnsi="Calibri"/>
          <w:b w:val="false"/>
          <w:bCs w:val="false"/>
          <w:i w:val="false"/>
          <w:iCs w:val="false"/>
          <w:caps w:val="false"/>
          <w:color w:val="1A1A1A"/>
          <w:sz w:val="20"/>
          <w:szCs w:val="20"/>
        </w:rPr>
        <w:t xml:space="preserve">The following have not been placed before the evaluating officers and are required before Stage I can be completed: audited accounts and turnover certificates for the last three financial years; certificates of comparable completed engagements; information-security and quality certifications; declarations regarding blacklisting and conflict of interest; and the curricula vitae of the personnel proposed for deployment. These are listed at Section 4.</w:t>
      </w:r>
    </w:p>
    <w:p>
      <w:r>
        <w:br w:type="page"/>
      </w:r>
    </w:p>
    <w:p>
      <w:pPr>
        <w:pStyle w:val="Heading1"/>
        <w:keepNext/>
        <w:pBdr>
          <w:bottom w:val="single" w:color="17365D" w:sz="8" w:space="6"/>
        </w:pBdr>
        <w:spacing w:after="160" w:before="0"/>
      </w:pPr>
      <w:r>
        <w:rPr>
          <w:rFonts w:ascii="Cambria" w:cs="Cambria" w:eastAsia="Cambria" w:hAnsi="Cambria"/>
          <w:b/>
          <w:bCs/>
          <w:color w:val="17365D"/>
          <w:sz w:val="26"/>
          <w:szCs w:val="26"/>
        </w:rPr>
        <w:t xml:space="preserve">4.  Stage I — Qualification examination</w:t>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The following qualification requirements are recommended for this procurement, having regard to a contract value of ₹5.90 crore inclusive of taxes, a twelve-month term, the handling of official and unpublished government material, and the requirement that the platform operate on infrastructure controlled by the department. Each requirement is linked to the scope of work rather than set at a level that would restrict competition without cause.</w:t>
      </w:r>
    </w:p>
    <w:tbl>
      <w:tblPr>
        <w:tblW w:type="dxa" w:w="9746"/>
        <w:tblBorders>
          <w:top w:val="single" w:color="B9C0C7" w:sz="4"/>
          <w:left w:val="single" w:color="B9C0C7" w:sz="4"/>
          <w:bottom w:val="single" w:color="B9C0C7" w:sz="4"/>
          <w:right w:val="single" w:color="B9C0C7" w:sz="4"/>
          <w:insideH w:val="single" w:color="B9C0C7" w:sz="4"/>
          <w:insideV w:val="single" w:color="B9C0C7" w:sz="4"/>
        </w:tblBorders>
        <w:tblLayout w:type="fixed"/>
      </w:tblPr>
      <w:tblGrid>
        <w:gridCol w:w="585"/>
        <w:gridCol w:w="3314"/>
        <w:gridCol w:w="3314"/>
        <w:gridCol w:w="2534"/>
      </w:tblGrid>
      <w:tr>
        <w:trPr>
          <w:cantSplit/>
          <w:tblHeader/>
        </w:trPr>
        <w:tc>
          <w:tcPr>
            <w:tcW w:type="dxa" w:w="585"/>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No.</w:t>
            </w:r>
          </w:p>
        </w:tc>
        <w:tc>
          <w:tcPr>
            <w:tcW w:type="dxa" w:w="3314"/>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Requirement</w:t>
            </w:r>
          </w:p>
        </w:tc>
        <w:tc>
          <w:tcPr>
            <w:tcW w:type="dxa" w:w="3314"/>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Recommended threshold</w:t>
            </w:r>
          </w:p>
        </w:tc>
        <w:tc>
          <w:tcPr>
            <w:tcW w:type="dxa" w:w="2534"/>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Position on the documents examined</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Legal standing</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 firm or company registered in India, with permanent account number and goods-and-services-tax registration</w:t>
            </w:r>
          </w:p>
        </w:tc>
        <w:tc>
          <w:tcPr>
            <w:tcW w:type="dxa" w:w="253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To be verified</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Average annual turnover</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Not less than ₹5.90 crore in each of the last three financial years, certified by a chartered accountant</w:t>
            </w:r>
          </w:p>
        </w:tc>
        <w:tc>
          <w:tcPr>
            <w:tcW w:type="dxa" w:w="253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To be verified</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3</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Net worth</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Positive in each of the last three financial years</w:t>
            </w:r>
          </w:p>
        </w:tc>
        <w:tc>
          <w:tcPr>
            <w:tcW w:type="dxa" w:w="253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To be verified</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4</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Comparable experience</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At least one completed or substantially completed engagement involving an artificial-intelligence or content-production platform for a government or public-sector client</w:t>
            </w:r>
          </w:p>
        </w:tc>
        <w:tc>
          <w:tcPr>
            <w:tcW w:type="dxa" w:w="253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To be verified</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Language capability</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Demonstrable capability in Marathi and Devanagari text processing and typesetting, evidenced by a working demonstration</w:t>
            </w:r>
          </w:p>
        </w:tc>
        <w:tc>
          <w:tcPr>
            <w:tcW w:type="dxa" w:w="253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The proposal describes such capability in detail. A demonstration is recommended at paragraph 11.3.</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6</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Information-security certification</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ISO/IEC 27001 or equivalent, or a documented information-security management framework with an undertaking to certify within six months</w:t>
            </w:r>
          </w:p>
        </w:tc>
        <w:tc>
          <w:tcPr>
            <w:tcW w:type="dxa" w:w="253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To be verified</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7</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Declarations</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Not blacklisted or debarred by any Government department or public-sector undertaking; no conflict of interest; acceptance of the data-protection undertaking at paragraph 12.5</w:t>
            </w:r>
          </w:p>
        </w:tc>
        <w:tc>
          <w:tcPr>
            <w:tcW w:type="dxa" w:w="253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To be verified</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8</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Bid security and performance security</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Bid security as prescribed; performance security of five to ten per cent of the contract value, valid through the term and for three months beyond</w:t>
            </w:r>
          </w:p>
        </w:tc>
        <w:tc>
          <w:tcPr>
            <w:tcW w:type="dxa" w:w="253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To be settled at contracting</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9</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Registration</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Registration on the Government of Maharashtra e-tendering portal</w:t>
            </w:r>
          </w:p>
        </w:tc>
        <w:tc>
          <w:tcPr>
            <w:tcW w:type="dxa" w:w="253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To be verified</w:t>
            </w:r>
          </w:p>
        </w:tc>
      </w:tr>
    </w:tbl>
    <w:p>
      <w:pPr>
        <w:spacing w:after="100"/>
      </w:pPr>
      <w:r>
        <w:rPr>
          <w:sz w:val="12"/>
          <w:szCs w:val="12"/>
        </w:rPr>
        <w:t xml:space="preserve"/>
      </w:r>
    </w:p>
    <w:p>
      <w:pPr>
        <w:keepNext w:val="false"/>
        <w:spacing w:after="120" w:before="0" w:line="264"/>
        <w:jc w:val="both"/>
      </w:pPr>
      <w:r>
        <w:rPr>
          <w:rFonts w:ascii="Calibri" w:cs="Calibri" w:eastAsia="Calibri" w:hAnsi="Calibri"/>
          <w:b/>
          <w:bCs/>
          <w:i w:val="false"/>
          <w:iCs w:val="false"/>
          <w:caps w:val="false"/>
          <w:color w:val="1A1A1A"/>
          <w:sz w:val="20"/>
          <w:szCs w:val="20"/>
        </w:rPr>
        <w:t xml:space="preserve">Position. </w:t>
      </w:r>
      <w:r>
        <w:rPr>
          <w:rFonts w:ascii="Calibri" w:cs="Calibri" w:eastAsia="Calibri" w:hAnsi="Calibri"/>
          <w:b w:val="false"/>
          <w:bCs w:val="false"/>
          <w:i w:val="false"/>
          <w:iCs w:val="false"/>
          <w:caps w:val="false"/>
          <w:color w:val="1A1A1A"/>
          <w:sz w:val="20"/>
          <w:szCs w:val="20"/>
        </w:rPr>
        <w:t xml:space="preserve">Stage I cannot be concluded on the material presently available. Items 1, 2, 3, 4, 6, 7 and 9 require documents which have not been submitted. The technical examination at Sections 5 to 8 has therefore been carried out on the proposal as a technical document, and is provisional to the extent that qualification remains to be established.</w:t>
      </w:r>
    </w:p>
    <w:p>
      <w:r>
        <w:br w:type="page"/>
      </w:r>
    </w:p>
    <w:p>
      <w:pPr>
        <w:pStyle w:val="Heading1"/>
        <w:keepNext/>
        <w:pBdr>
          <w:bottom w:val="single" w:color="17365D" w:sz="8" w:space="6"/>
        </w:pBdr>
        <w:spacing w:after="160" w:before="0"/>
      </w:pPr>
      <w:r>
        <w:rPr>
          <w:rFonts w:ascii="Cambria" w:cs="Cambria" w:eastAsia="Cambria" w:hAnsi="Cambria"/>
          <w:b/>
          <w:bCs/>
          <w:color w:val="17365D"/>
          <w:sz w:val="26"/>
          <w:szCs w:val="26"/>
        </w:rPr>
        <w:t xml:space="preserve">5.  Conformity with the objectives of the departmental note</w:t>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The departmental note records eight objectives for the AI NewsRoom. The proposal has been examined against each.</w:t>
      </w:r>
    </w:p>
    <w:tbl>
      <w:tblPr>
        <w:tblW w:type="dxa" w:w="9746"/>
        <w:tblBorders>
          <w:top w:val="single" w:color="B9C0C7" w:sz="4"/>
          <w:left w:val="single" w:color="B9C0C7" w:sz="4"/>
          <w:bottom w:val="single" w:color="B9C0C7" w:sz="4"/>
          <w:right w:val="single" w:color="B9C0C7" w:sz="4"/>
          <w:insideH w:val="single" w:color="B9C0C7" w:sz="4"/>
          <w:insideV w:val="single" w:color="B9C0C7" w:sz="4"/>
        </w:tblBorders>
        <w:tblLayout w:type="fixed"/>
      </w:tblPr>
      <w:tblGrid>
        <w:gridCol w:w="487"/>
        <w:gridCol w:w="3898"/>
        <w:gridCol w:w="3801"/>
        <w:gridCol w:w="1559"/>
      </w:tblGrid>
      <w:tr>
        <w:trPr>
          <w:cantSplit/>
          <w:tblHeader/>
        </w:trPr>
        <w:tc>
          <w:tcPr>
            <w:tcW w:type="dxa" w:w="487"/>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No.</w:t>
            </w:r>
          </w:p>
        </w:tc>
        <w:tc>
          <w:tcPr>
            <w:tcW w:type="dxa" w:w="3898"/>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Objective in the departmental note</w:t>
            </w:r>
          </w:p>
        </w:tc>
        <w:tc>
          <w:tcPr>
            <w:tcW w:type="dxa" w:w="3801"/>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Position in the proposal</w:t>
            </w:r>
          </w:p>
        </w:tc>
        <w:tc>
          <w:tcPr>
            <w:tcW w:type="dxa" w:w="1559"/>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Assessment</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Protection of the security of official, sensitive and confidential Government information; confidentiality of reference data and documents</w:t>
            </w:r>
          </w:p>
        </w:tc>
        <w:tc>
          <w:tcPr>
            <w:tcW w:type="dxa" w:w="380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Section 3.1 and Section 4.1 provide for source documents, recordings, embeddings, generated content and operational records to remain within authorised infrastructure, with role-based access control, encryption, audit logging and configurable retention</w:t>
            </w:r>
          </w:p>
        </w:tc>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Met</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Completion of the Directorate’s daily publicity work in the least possible time</w:t>
            </w:r>
          </w:p>
        </w:tc>
        <w:tc>
          <w:tcPr>
            <w:tcW w:type="dxa" w:w="380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Section 3.2 and the source-to-publication workflow at Section 4.3 provide for one source to serve every output format, with long tasks running in the background</w:t>
            </w:r>
          </w:p>
        </w:tc>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Met</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3</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Factual accuracy, proof-reading, correct official designations and appropriate use of photographs and video</w:t>
            </w:r>
          </w:p>
        </w:tc>
        <w:tc>
          <w:tcPr>
            <w:tcW w:type="dxa" w:w="380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3 provides designation control, a verified glossary, coverage checking and a fact-check section; Component 4 provides controlled branding and Devanagari typesetting</w:t>
            </w:r>
          </w:p>
        </w:tc>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Met</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4</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Use of approved AI models, departmental information, embedded documents, vector database and a secure on-premises AI environment controlled by the Directorate</w:t>
            </w:r>
          </w:p>
        </w:tc>
        <w:tc>
          <w:tcPr>
            <w:tcW w:type="dxa" w:w="380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Section 4.1 provides for locally hosted models, a private knowledge base, retrieval-augmented generation and an MLOps layer. However, Provision 9 of the proposal budgets ₹55 lakh for metered external technology services, and the boundary between work performed on departmental infrastructure and work sent to external services is not stated</w:t>
            </w:r>
          </w:p>
        </w:tc>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Partly met — clarification C-2</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Avoidance of duplication of work, ready availability of references, and consistent content for multiple media</w:t>
            </w:r>
          </w:p>
        </w:tc>
        <w:tc>
          <w:tcPr>
            <w:tcW w:type="dxa" w:w="380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8 provides searchable history, work threads and reuse; Component 2 provides the knowledge base and retrieval</w:t>
            </w:r>
          </w:p>
        </w:tc>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Met</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6</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Reduction of dependence on specialised scriptwriters, translators, transcribers, voice-over artists and video editors</w:t>
            </w:r>
          </w:p>
        </w:tc>
        <w:tc>
          <w:tcPr>
            <w:tcW w:type="dxa" w:w="380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Components 2, 3 and 5 cover transcription, drafting, translation and narration; Component 5 covers video production</w:t>
            </w:r>
          </w:p>
        </w:tc>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Met</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7</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Reduction in the use of public AI applications and enhancement of AI capability controlled by the Directorate</w:t>
            </w:r>
          </w:p>
        </w:tc>
        <w:tc>
          <w:tcPr>
            <w:tcW w:type="dxa" w:w="380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Section 3.1 addresses this directly. The observation at objective 4 applies equally here</w:t>
            </w:r>
          </w:p>
        </w:tc>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Partly met — clarification C-2</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8</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Development of an AI model capable of integrating with the Government’s MahaAI, Sarvam, Indus and similar AI platforms</w:t>
            </w:r>
          </w:p>
        </w:tc>
        <w:tc>
          <w:tcPr>
            <w:tcW w:type="dxa" w:w="380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The proposal provides at Section 4.1 and Component 8 for approved integrations and for substitution of providers, but does not name MahaAI, Sarvam or Indus or describe an integration path for them</w:t>
            </w:r>
          </w:p>
        </w:tc>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Not addressed — clarification C-3</w:t>
            </w:r>
          </w:p>
        </w:tc>
      </w:tr>
    </w:tbl>
    <w:p>
      <w:r>
        <w:br w:type="page"/>
      </w:r>
    </w:p>
    <w:p>
      <w:pPr>
        <w:pStyle w:val="Heading1"/>
        <w:keepNext/>
        <w:pBdr>
          <w:bottom w:val="single" w:color="17365D" w:sz="8" w:space="6"/>
        </w:pBdr>
        <w:spacing w:after="160" w:before="0"/>
      </w:pPr>
      <w:r>
        <w:rPr>
          <w:rFonts w:ascii="Cambria" w:cs="Cambria" w:eastAsia="Cambria" w:hAnsi="Cambria"/>
          <w:b/>
          <w:bCs/>
          <w:color w:val="17365D"/>
          <w:sz w:val="26"/>
          <w:szCs w:val="26"/>
        </w:rPr>
        <w:t xml:space="preserve">6.  Stage II — Compliance with the Scope of Work</w:t>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The departmental note lists thirty items under “Scope of Work”. Each has been traced to the corresponding provision of the proposal. “Complied” means the item is covered by a named component with a described capability and an acceptance test. “Partly complied” means the item is addressed but the proposal is narrower than the note, or a dependency is placed on the department without a stated cost. “Clarification required” means the item cannot be assessed on the material available.</w:t>
      </w:r>
    </w:p>
    <w:p>
      <w:pPr>
        <w:spacing w:after="80"/>
      </w:pPr>
      <w:r>
        <w:rPr>
          <w:sz w:val="12"/>
          <w:szCs w:val="12"/>
        </w:rPr>
        <w:t xml:space="preserve"/>
      </w:r>
    </w:p>
    <w:tbl>
      <w:tblPr>
        <w:tblW w:type="dxa" w:w="9746"/>
        <w:tblBorders>
          <w:top w:val="single" w:color="B9C0C7" w:sz="4"/>
          <w:left w:val="single" w:color="B9C0C7" w:sz="4"/>
          <w:bottom w:val="single" w:color="B9C0C7" w:sz="4"/>
          <w:right w:val="single" w:color="B9C0C7" w:sz="4"/>
          <w:insideH w:val="single" w:color="B9C0C7" w:sz="4"/>
          <w:insideV w:val="single" w:color="B9C0C7" w:sz="4"/>
        </w:tblBorders>
        <w:tblLayout w:type="fixed"/>
      </w:tblPr>
      <w:tblGrid>
        <w:gridCol w:w="487"/>
        <w:gridCol w:w="2924"/>
        <w:gridCol w:w="4386"/>
        <w:gridCol w:w="1949"/>
      </w:tblGrid>
      <w:tr>
        <w:trPr>
          <w:cantSplit/>
          <w:tblHeader/>
        </w:trPr>
        <w:tc>
          <w:tcPr>
            <w:tcW w:type="dxa" w:w="487"/>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No.</w:t>
            </w:r>
          </w:p>
        </w:tc>
        <w:tc>
          <w:tcPr>
            <w:tcW w:type="dxa" w:w="2924"/>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Requirement in the departmental note</w:t>
            </w:r>
          </w:p>
        </w:tc>
        <w:tc>
          <w:tcPr>
            <w:tcW w:type="dxa" w:w="4386"/>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Provision in the proposal</w:t>
            </w:r>
          </w:p>
        </w:tc>
        <w:tc>
          <w:tcPr>
            <w:tcW w:type="dxa" w:w="1949"/>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Assessment</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Unified intake of government source material</w:t>
            </w:r>
          </w:p>
        </w:tc>
        <w:tc>
          <w:tcPr>
            <w:tcW w:type="dxa" w:w="4386"/>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2 — multi-format source intake</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Complied</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Controlled reading of long and scanned documents</w:t>
            </w:r>
          </w:p>
        </w:tc>
        <w:tc>
          <w:tcPr>
            <w:tcW w:type="dxa" w:w="4386"/>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2 — document parsing, page selection, Marathi OCR</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Complied</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3</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Audio and YouTube transcription workspace</w:t>
            </w:r>
          </w:p>
        </w:tc>
        <w:tc>
          <w:tcPr>
            <w:tcW w:type="dxa" w:w="4386"/>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2 — audio and YouTube transcription</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Complied</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4</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Meeting-to-article and document-to-article workflow</w:t>
            </w:r>
          </w:p>
        </w:tc>
        <w:tc>
          <w:tcPr>
            <w:tcW w:type="dxa" w:w="4386"/>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3 — Editorial Engine</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Complied</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Publication-ready Marathi articles and news reports</w:t>
            </w:r>
          </w:p>
        </w:tc>
        <w:tc>
          <w:tcPr>
            <w:tcW w:type="dxa" w:w="4386"/>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3 — publication-ready Marathi output and A4 export</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Complied</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6</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Historical Mahasamvad style intelligence</w:t>
            </w:r>
          </w:p>
        </w:tc>
        <w:tc>
          <w:tcPr>
            <w:tcW w:type="dxa" w:w="4386"/>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3 — Mahasamvad style intelligence; Component 2 — retrieval</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Complied</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7</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Person, designation and terminology review</w:t>
            </w:r>
          </w:p>
        </w:tc>
        <w:tc>
          <w:tcPr>
            <w:tcW w:type="dxa" w:w="4386"/>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3 — designation review</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Complied</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8</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Shared verified glossary</w:t>
            </w:r>
          </w:p>
        </w:tc>
        <w:tc>
          <w:tcPr>
            <w:tcW w:type="dxa" w:w="4386"/>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3 — shared verified glossary</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Complied</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9</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English and Hindi translation</w:t>
            </w:r>
          </w:p>
        </w:tc>
        <w:tc>
          <w:tcPr>
            <w:tcW w:type="dxa" w:w="4386"/>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3 — English and Hindi translation</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Complied</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10</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Marathi and English proofreading</w:t>
            </w:r>
          </w:p>
        </w:tc>
        <w:tc>
          <w:tcPr>
            <w:tcW w:type="dxa" w:w="4386"/>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3 — proofreading</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Complied</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11</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Social creatives, article posters and YouTube thumbnails</w:t>
            </w:r>
          </w:p>
        </w:tc>
        <w:tc>
          <w:tcPr>
            <w:tcW w:type="dxa" w:w="4386"/>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4 — Creatives Studio</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Complied</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12</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Controlled visual reference library</w:t>
            </w:r>
          </w:p>
        </w:tc>
        <w:tc>
          <w:tcPr>
            <w:tcW w:type="dxa" w:w="4386"/>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4 — template and reference libraries</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Complied</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13</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Government branding and channel-ready output</w:t>
            </w:r>
          </w:p>
        </w:tc>
        <w:tc>
          <w:tcPr>
            <w:tcW w:type="dxa" w:w="4386"/>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4 — official branding, channel-ready exports</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Complied</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14</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Caption creation and social publishing support</w:t>
            </w:r>
          </w:p>
        </w:tc>
        <w:tc>
          <w:tcPr>
            <w:tcW w:type="dxa" w:w="4386"/>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4 — caption creation and authorised publishing support</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Complied</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15</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Free-size poster feedback and version control</w:t>
            </w:r>
          </w:p>
        </w:tc>
        <w:tc>
          <w:tcPr>
            <w:tcW w:type="dxa" w:w="4386"/>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4 — visual feedback and version control</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Complied</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16</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Branded explainer video production</w:t>
            </w:r>
          </w:p>
        </w:tc>
        <w:tc>
          <w:tcPr>
            <w:tcW w:type="dxa" w:w="4386"/>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5 — branded Marathi explainer videos with approval gates</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Complied</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17</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Motion creative from approved posters</w:t>
            </w:r>
          </w:p>
        </w:tc>
        <w:tc>
          <w:tcPr>
            <w:tcW w:type="dxa" w:w="4386"/>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5 — poster-to-motion creatives</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Complied</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18</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General-purpose government work assistant</w:t>
            </w:r>
          </w:p>
        </w:tc>
        <w:tc>
          <w:tcPr>
            <w:tcW w:type="dxa" w:w="4386"/>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8 — governed work assistant</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Complied</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19</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Background task resilience and retry</w:t>
            </w:r>
          </w:p>
        </w:tc>
        <w:tc>
          <w:tcPr>
            <w:tcW w:type="dxa" w:w="4386"/>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1 — workflow orchestration and background jobs</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Complied</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20</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Search of history, related work threads and reuse</w:t>
            </w:r>
          </w:p>
        </w:tc>
        <w:tc>
          <w:tcPr>
            <w:tcW w:type="dxa" w:w="4386"/>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8 — searchable history, reuse and downloads</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Complied</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21</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Downloads and hand-off formats</w:t>
            </w:r>
          </w:p>
        </w:tc>
        <w:tc>
          <w:tcPr>
            <w:tcW w:type="dxa" w:w="4386"/>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8 — downloads; Component 4 — channel-ready exports</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Complied</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22</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Department-level usage analytics</w:t>
            </w:r>
          </w:p>
        </w:tc>
        <w:tc>
          <w:tcPr>
            <w:tcW w:type="dxa" w:w="4386"/>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8 — department analytics</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Complied</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23</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Marathi-first cross-device user experience</w:t>
            </w:r>
          </w:p>
        </w:tc>
        <w:tc>
          <w:tcPr>
            <w:tcW w:type="dxa" w:w="4386"/>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1 — Marathi-first web workspace; Component 7 — mobile application and cross-device continuity</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Complied — exceeds the note, which asked for a web and PWA experience</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24</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International multi-language translation</w:t>
            </w:r>
          </w:p>
        </w:tc>
        <w:tc>
          <w:tcPr>
            <w:tcW w:type="dxa" w:w="4386"/>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3 lists English and Hindi translation only. Annexure A4 of the note requires an architecture supporting the controlled addition of further Indian and international languages</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Partly complied — clarification C-4</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25</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Studio interview and anchor-video production</w:t>
            </w:r>
          </w:p>
        </w:tc>
        <w:tc>
          <w:tcPr>
            <w:tcW w:type="dxa" w:w="4386"/>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5 — studio pre-production, recording assistance, editing, branding, derivatives</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Complied. Studio premises and equipment are excluded at Section 9 of the proposal, consistent with the note, which asks for production assistance</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26</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Newspaper monitoring and media intelligence</w:t>
            </w:r>
          </w:p>
        </w:tc>
        <w:tc>
          <w:tcPr>
            <w:tcW w:type="dxa" w:w="4386"/>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6 — Media Intelligence</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Complied, subject to clarification C-6 on newspaper and e-paper licences, which the proposal excludes</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27</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Social-media campaign impact analysis</w:t>
            </w:r>
          </w:p>
        </w:tc>
        <w:tc>
          <w:tcPr>
            <w:tcW w:type="dxa" w:w="4386"/>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6 — campaign-impact analysis using authorised platform data</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Complied</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28</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Historical comparison and fact-checking using Mahasagar and official sources</w:t>
            </w:r>
          </w:p>
        </w:tc>
        <w:tc>
          <w:tcPr>
            <w:tcW w:type="dxa" w:w="4386"/>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The proposal treats Mahasagar as a departmental dependency at Section 9 and does not describe the workflow. Annexure A10 of the note places it within scope</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Partly complied — clarification C-5</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29</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AI-assisted PowerPoint presentation production</w:t>
            </w:r>
          </w:p>
        </w:tc>
        <w:tc>
          <w:tcPr>
            <w:tcW w:type="dxa" w:w="4386"/>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8 — presentations</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Complied</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30</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AI-assisted RFP drafting</w:t>
            </w:r>
          </w:p>
        </w:tc>
        <w:tc>
          <w:tcPr>
            <w:tcW w:type="dxa" w:w="4386"/>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8 — RFP drafting</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Complied</w:t>
            </w:r>
          </w:p>
        </w:tc>
      </w:tr>
    </w:tbl>
    <w:p>
      <w:pPr>
        <w:spacing w:after="140"/>
      </w:pPr>
      <w:r>
        <w:rPr>
          <w:sz w:val="12"/>
          <w:szCs w:val="12"/>
        </w:rPr>
        <w:t xml:space="preserve"/>
      </w:r>
    </w:p>
    <w:tbl>
      <w:tblPr>
        <w:tblW w:type="dxa" w:w="9746"/>
        <w:tblBorders>
          <w:top w:val="single" w:color="B9C0C7" w:sz="4"/>
          <w:left w:val="single" w:color="17365D" w:sz="18"/>
          <w:bottom w:val="single" w:color="B9C0C7" w:sz="4"/>
          <w:right w:val="single" w:color="B9C0C7" w:sz="4"/>
          <w:insideH w:val="none" w:color="FFFFFF" w:sz="0"/>
          <w:insideV w:val="none" w:color="FFFFFF" w:sz="0"/>
        </w:tblBorders>
        <w:tblLayout w:type="fixed"/>
      </w:tblPr>
      <w:tblGrid>
        <w:gridCol w:w="9746"/>
      </w:tblGrid>
      <w:tr>
        <w:trPr>
          <w:cantSplit w:val="false"/>
        </w:trPr>
        <w:tc>
          <w:tcPr>
            <w:tcW w:type="dxa" w:w="9746"/>
            <w:shd w:fill="F4F7F9" w:color="auto" w:val="clear"/>
            <w:tcMar>
              <w:top w:type="dxa" w:w="120"/>
              <w:left w:type="dxa" w:w="160"/>
              <w:bottom w:type="dxa" w:w="120"/>
              <w:right w:type="dxa" w:w="140"/>
            </w:tcMar>
          </w:tcPr>
          <w:p>
            <w:pPr>
              <w:spacing w:after="60"/>
            </w:pPr>
            <w:r>
              <w:rPr>
                <w:rFonts w:ascii="Calibri" w:cs="Calibri" w:eastAsia="Calibri" w:hAnsi="Calibri"/>
                <w:b/>
                <w:bCs/>
                <w:color w:val="17365D"/>
                <w:sz w:val="19"/>
                <w:szCs w:val="19"/>
              </w:rPr>
              <w:t xml:space="preserve">Result of the compliance examination</w:t>
            </w:r>
          </w:p>
          <w:p>
            <w:pPr>
              <w:spacing w:line="254"/>
              <w:jc w:val="both"/>
            </w:pPr>
            <w:r>
              <w:rPr>
                <w:rFonts w:ascii="Calibri" w:cs="Calibri" w:eastAsia="Calibri" w:hAnsi="Calibri"/>
                <w:color w:val="1A1A1A"/>
                <w:sz w:val="19"/>
                <w:szCs w:val="19"/>
              </w:rPr>
              <w:t xml:space="preserve">Twenty-seven of the thirty items of the scope of work are complied with, one of them (item 23) beyond what the note requires. Three items — 24, 26 and 28 — are partly complied with and are the subject of clarifications C-4, C-5 and C-6. No item of the scope of work is omitted from the proposal.</w:t>
            </w:r>
          </w:p>
        </w:tc>
      </w:tr>
    </w:tbl>
    <w:p>
      <w:r>
        <w:br w:type="page"/>
      </w:r>
    </w:p>
    <w:p>
      <w:pPr>
        <w:pStyle w:val="Heading1"/>
        <w:keepNext/>
        <w:pBdr>
          <w:bottom w:val="single" w:color="17365D" w:sz="8" w:space="6"/>
        </w:pBdr>
        <w:spacing w:after="160" w:before="0"/>
      </w:pPr>
      <w:r>
        <w:rPr>
          <w:rFonts w:ascii="Cambria" w:cs="Cambria" w:eastAsia="Cambria" w:hAnsi="Cambria"/>
          <w:b/>
          <w:bCs/>
          <w:color w:val="17365D"/>
          <w:sz w:val="26"/>
          <w:szCs w:val="26"/>
        </w:rPr>
        <w:t xml:space="preserve">7.  Mapping of the Annexure components to the proposal</w:t>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The departmental note sets out the development scope as twelve lines (Annexure A1 to A12) and the operating scope as eight lines (Annexure B1 to B8). The proposal restructures the development scope into eight product components and one consumption provision. The mapping and the resulting change in the internal allocation of cost are set out below. The totals are unchanged.</w:t>
      </w:r>
    </w:p>
    <w:p>
      <w:pPr>
        <w:spacing w:after="80"/>
      </w:pPr>
      <w:r>
        <w:rPr>
          <w:sz w:val="12"/>
          <w:szCs w:val="12"/>
        </w:rPr>
        <w:t xml:space="preserve"/>
      </w:r>
    </w:p>
    <w:p>
      <w:pPr>
        <w:pStyle w:val="Heading3"/>
        <w:keepNext/>
        <w:spacing w:after="80" w:before="200"/>
      </w:pPr>
      <w:r>
        <w:rPr>
          <w:rFonts w:ascii="Calibri" w:cs="Calibri" w:eastAsia="Calibri" w:hAnsi="Calibri"/>
          <w:b/>
          <w:bCs/>
          <w:color w:val="1A1A1A"/>
          <w:sz w:val="20"/>
          <w:szCs w:val="20"/>
        </w:rPr>
        <w:t xml:space="preserve">7.1  Development scope — Annexure A of the note against Part A of the proposal</w:t>
      </w:r>
    </w:p>
    <w:tbl>
      <w:tblPr>
        <w:tblW w:type="dxa" w:w="9746"/>
        <w:tblBorders>
          <w:top w:val="single" w:color="B9C0C7" w:sz="4"/>
          <w:left w:val="single" w:color="B9C0C7" w:sz="4"/>
          <w:bottom w:val="single" w:color="B9C0C7" w:sz="4"/>
          <w:right w:val="single" w:color="B9C0C7" w:sz="4"/>
          <w:insideH w:val="single" w:color="B9C0C7" w:sz="4"/>
          <w:insideV w:val="single" w:color="B9C0C7" w:sz="4"/>
        </w:tblBorders>
        <w:tblLayout w:type="fixed"/>
      </w:tblPr>
      <w:tblGrid>
        <w:gridCol w:w="2924"/>
        <w:gridCol w:w="1170"/>
        <w:gridCol w:w="2924"/>
        <w:gridCol w:w="1170"/>
        <w:gridCol w:w="1559"/>
      </w:tblGrid>
      <w:tr>
        <w:trPr>
          <w:cantSplit/>
          <w:tblHeader/>
        </w:trPr>
        <w:tc>
          <w:tcPr>
            <w:tcW w:type="dxa" w:w="2924"/>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Line in the departmental note</w:t>
            </w:r>
          </w:p>
        </w:tc>
        <w:tc>
          <w:tcPr>
            <w:tcW w:type="dxa" w:w="1170"/>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Note estimate</w:t>
            </w:r>
          </w:p>
        </w:tc>
        <w:tc>
          <w:tcPr>
            <w:tcW w:type="dxa" w:w="2924"/>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Corresponding provision in the proposal</w:t>
            </w:r>
          </w:p>
        </w:tc>
        <w:tc>
          <w:tcPr>
            <w:tcW w:type="dxa" w:w="1170"/>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Proposal estimate</w:t>
            </w:r>
          </w:p>
        </w:tc>
        <w:tc>
          <w:tcPr>
            <w:tcW w:type="dxa" w:w="1559"/>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Variation</w:t>
            </w:r>
          </w:p>
        </w:tc>
      </w:tr>
      <w:tr>
        <w:trPr>
          <w:cantSplit/>
          <w:tblHeader w:val="false"/>
        </w:trPr>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A1  Core platform, security and unified workflow</w:t>
            </w:r>
          </w:p>
        </w:tc>
        <w:tc>
          <w:tcPr>
            <w:tcW w:type="dxa" w:w="117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₹50 lakh</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1 — Core Platform, Security and Workflow Foundation</w:t>
            </w:r>
          </w:p>
        </w:tc>
        <w:tc>
          <w:tcPr>
            <w:tcW w:type="dxa" w:w="117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₹48 lakh</w:t>
            </w:r>
          </w:p>
        </w:tc>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 lakh</w:t>
            </w:r>
          </w:p>
        </w:tc>
      </w:tr>
      <w:tr>
        <w:trPr>
          <w:cantSplit/>
          <w:tblHeader w:val="false"/>
        </w:trPr>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A2  Source intake and document intelligence</w:t>
            </w:r>
          </w:p>
        </w:tc>
        <w:tc>
          <w:tcPr>
            <w:tcW w:type="dxa" w:w="117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₹30 lakh</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2 — Data and Document Intelligence</w:t>
            </w:r>
          </w:p>
        </w:tc>
        <w:tc>
          <w:tcPr>
            <w:tcW w:type="dxa" w:w="117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₹40 lakh</w:t>
            </w:r>
          </w:p>
        </w:tc>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+₹10 lakh</w:t>
            </w:r>
          </w:p>
        </w:tc>
      </w:tr>
      <w:tr>
        <w:trPr>
          <w:cantSplit/>
          <w:tblHeader w:val="false"/>
        </w:trPr>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A3  News, article and source-verification workflows</w:t>
            </w:r>
          </w:p>
          <w:p>
            <w:pPr>
              <w:spacing w:after="40" w:before="40" w:line="240"/>
              <w:jc w:val="left"/>
            </w:pPr>
            <w:r>
              <w:rPr>
                <w:rFonts w:ascii="Calibri" w:cs="Calibri" w:eastAsia="Calibri" w:hAnsi="Calibri"/>
                <w:b w:val="false"/>
                <w:bCs w:val="false"/>
                <w:i w:val="false"/>
                <w:iCs w:val="false"/>
                <w:color w:val="1A1A1A"/>
                <w:sz w:val="17"/>
                <w:szCs w:val="17"/>
              </w:rPr>
              <w:t xml:space="preserve">A4  Glossary, translation and proofreading</w:t>
            </w:r>
          </w:p>
        </w:tc>
        <w:tc>
          <w:tcPr>
            <w:tcW w:type="dxa" w:w="117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₹65 lakh</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3 — Editorial Engine</w:t>
            </w:r>
          </w:p>
        </w:tc>
        <w:tc>
          <w:tcPr>
            <w:tcW w:type="dxa" w:w="117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₹55 lakh</w:t>
            </w:r>
          </w:p>
        </w:tc>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−₹10 lakh</w:t>
            </w:r>
          </w:p>
        </w:tc>
      </w:tr>
      <w:tr>
        <w:trPr>
          <w:cantSplit/>
          <w:tblHeader w:val="false"/>
        </w:trPr>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A5  Creatives, posters, thumbnails and publishing support</w:t>
            </w:r>
          </w:p>
        </w:tc>
        <w:tc>
          <w:tcPr>
            <w:tcW w:type="dxa" w:w="117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₹30 lakh</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4 — Creatives Studio</w:t>
            </w:r>
          </w:p>
        </w:tc>
        <w:tc>
          <w:tcPr>
            <w:tcW w:type="dxa" w:w="117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₹38 lakh</w:t>
            </w:r>
          </w:p>
        </w:tc>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+₹8 lakh</w:t>
            </w:r>
          </w:p>
        </w:tc>
      </w:tr>
      <w:tr>
        <w:trPr>
          <w:cantSplit/>
          <w:tblHeader w:val="false"/>
        </w:trPr>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A6  Explainer videos and motion creatives</w:t>
            </w:r>
          </w:p>
          <w:p>
            <w:pPr>
              <w:spacing w:after="40" w:before="40" w:line="240"/>
              <w:jc w:val="left"/>
            </w:pPr>
            <w:r>
              <w:rPr>
                <w:rFonts w:ascii="Calibri" w:cs="Calibri" w:eastAsia="Calibri" w:hAnsi="Calibri"/>
                <w:b w:val="false"/>
                <w:bCs w:val="false"/>
                <w:i w:val="false"/>
                <w:iCs w:val="false"/>
                <w:color w:val="1A1A1A"/>
                <w:sz w:val="17"/>
                <w:szCs w:val="17"/>
              </w:rPr>
              <w:t xml:space="preserve">A7  Studio interview and anchor-video production</w:t>
            </w:r>
          </w:p>
        </w:tc>
        <w:tc>
          <w:tcPr>
            <w:tcW w:type="dxa" w:w="117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₹70 lakh</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5 — Video Production Suite</w:t>
            </w:r>
          </w:p>
        </w:tc>
        <w:tc>
          <w:tcPr>
            <w:tcW w:type="dxa" w:w="117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₹52 lakh</w:t>
            </w:r>
          </w:p>
        </w:tc>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−₹18 lakh</w:t>
            </w:r>
          </w:p>
        </w:tc>
      </w:tr>
      <w:tr>
        <w:trPr>
          <w:cantSplit/>
          <w:tblHeader w:val="false"/>
        </w:trPr>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A8  Newspaper monitoring and media intelligence</w:t>
            </w:r>
          </w:p>
        </w:tc>
        <w:tc>
          <w:tcPr>
            <w:tcW w:type="dxa" w:w="117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₹25 lakh</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6 — Media Intelligence</w:t>
            </w:r>
          </w:p>
        </w:tc>
        <w:tc>
          <w:tcPr>
            <w:tcW w:type="dxa" w:w="117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₹32 lakh</w:t>
            </w:r>
          </w:p>
        </w:tc>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+₹7 lakh</w:t>
            </w:r>
          </w:p>
        </w:tc>
      </w:tr>
      <w:tr>
        <w:trPr>
          <w:cantSplit/>
          <w:tblHeader w:val="false"/>
        </w:trPr>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A9  General-purpose work assistant</w:t>
            </w:r>
          </w:p>
          <w:p>
            <w:pPr>
              <w:spacing w:after="40" w:before="40" w:line="240"/>
              <w:jc w:val="left"/>
            </w:pPr>
            <w:r>
              <w:rPr>
                <w:rFonts w:ascii="Calibri" w:cs="Calibri" w:eastAsia="Calibri" w:hAnsi="Calibri"/>
                <w:b w:val="false"/>
                <w:bCs w:val="false"/>
                <w:i w:val="false"/>
                <w:iCs w:val="false"/>
                <w:color w:val="1A1A1A"/>
                <w:sz w:val="17"/>
                <w:szCs w:val="17"/>
              </w:rPr>
              <w:t xml:space="preserve">A10  History, reuse, downloads and analytics</w:t>
            </w:r>
          </w:p>
          <w:p>
            <w:pPr>
              <w:spacing w:after="40" w:before="40" w:line="240"/>
              <w:jc w:val="left"/>
            </w:pPr>
            <w:r>
              <w:rPr>
                <w:rFonts w:ascii="Calibri" w:cs="Calibri" w:eastAsia="Calibri" w:hAnsi="Calibri"/>
                <w:b w:val="false"/>
                <w:bCs w:val="false"/>
                <w:i w:val="false"/>
                <w:iCs w:val="false"/>
                <w:color w:val="1A1A1A"/>
                <w:sz w:val="17"/>
                <w:szCs w:val="17"/>
              </w:rPr>
              <w:t xml:space="preserve">A11  Integrations, administration and technical tooling</w:t>
            </w:r>
          </w:p>
        </w:tc>
        <w:tc>
          <w:tcPr>
            <w:tcW w:type="dxa" w:w="117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₹50 lakh</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8 — Administration, Integrations and Work Assistant</w:t>
            </w:r>
          </w:p>
        </w:tc>
        <w:tc>
          <w:tcPr>
            <w:tcW w:type="dxa" w:w="117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₹27 lakh</w:t>
            </w:r>
          </w:p>
        </w:tc>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−₹23 lakh</w:t>
            </w:r>
          </w:p>
        </w:tc>
      </w:tr>
      <w:tr>
        <w:trPr>
          <w:cantSplit/>
          <w:tblHeader w:val="false"/>
        </w:trPr>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(Cross-device experience, included within A1 of the note)</w:t>
            </w:r>
          </w:p>
        </w:tc>
        <w:tc>
          <w:tcPr>
            <w:tcW w:type="dxa" w:w="117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7 — Mobile Application and Cross-device Experience, offered as a separate priced component</w:t>
            </w:r>
          </w:p>
        </w:tc>
        <w:tc>
          <w:tcPr>
            <w:tcW w:type="dxa" w:w="117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₹28 lakh</w:t>
            </w:r>
          </w:p>
        </w:tc>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+₹28 lakh</w:t>
            </w:r>
          </w:p>
        </w:tc>
      </w:tr>
      <w:tr>
        <w:trPr>
          <w:cantSplit/>
          <w:tblHeader w:val="false"/>
        </w:trPr>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A12  AI APIs and metered technology services</w:t>
            </w:r>
          </w:p>
        </w:tc>
        <w:tc>
          <w:tcPr>
            <w:tcW w:type="dxa" w:w="117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₹55 lakh</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Provision 9 — AI compute and metered technology services</w:t>
            </w:r>
          </w:p>
        </w:tc>
        <w:tc>
          <w:tcPr>
            <w:tcW w:type="dxa" w:w="117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₹55 lakh</w:t>
            </w:r>
          </w:p>
        </w:tc>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Nil</w:t>
            </w:r>
          </w:p>
        </w:tc>
      </w:tr>
      <w:tr>
        <w:trPr>
          <w:cantSplit/>
          <w:tblHeader w:val="false"/>
        </w:trPr>
        <w:tc>
          <w:tcPr>
            <w:tcW w:type="dxa" w:w="2924"/>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Total — development</w:t>
            </w:r>
          </w:p>
        </w:tc>
        <w:tc>
          <w:tcPr>
            <w:tcW w:type="dxa" w:w="1170"/>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₹3.75 crore</w:t>
            </w:r>
          </w:p>
        </w:tc>
        <w:tc>
          <w:tcPr>
            <w:tcW w:type="dxa" w:w="2924"/>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Total — Part A</w:t>
            </w:r>
          </w:p>
        </w:tc>
        <w:tc>
          <w:tcPr>
            <w:tcW w:type="dxa" w:w="1170"/>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₹3.75 crore</w:t>
            </w:r>
          </w:p>
        </w:tc>
        <w:tc>
          <w:tcPr>
            <w:tcW w:type="dxa" w:w="1559"/>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Nil</w:t>
            </w:r>
          </w:p>
        </w:tc>
      </w:tr>
    </w:tbl>
    <w:p>
      <w:pPr>
        <w:spacing w:after="120"/>
      </w:pPr>
      <w:r>
        <w:rPr>
          <w:sz w:val="12"/>
          <w:szCs w:val="12"/>
        </w:rPr>
        <w:t xml:space="preserve"/>
      </w:r>
    </w:p>
    <w:p>
      <w:pPr>
        <w:keepNext w:val="false"/>
        <w:spacing w:after="120" w:before="0" w:line="264"/>
        <w:jc w:val="both"/>
      </w:pPr>
      <w:r>
        <w:rPr>
          <w:rFonts w:ascii="Calibri" w:cs="Calibri" w:eastAsia="Calibri" w:hAnsi="Calibri"/>
          <w:b/>
          <w:bCs/>
          <w:i w:val="false"/>
          <w:iCs w:val="false"/>
          <w:caps w:val="false"/>
          <w:color w:val="1A1A1A"/>
          <w:sz w:val="20"/>
          <w:szCs w:val="20"/>
        </w:rPr>
        <w:t xml:space="preserve">Observation. </w:t>
      </w:r>
      <w:r>
        <w:rPr>
          <w:rFonts w:ascii="Calibri" w:cs="Calibri" w:eastAsia="Calibri" w:hAnsi="Calibri"/>
          <w:b w:val="false"/>
          <w:bCs w:val="false"/>
          <w:i w:val="false"/>
          <w:iCs w:val="false"/>
          <w:caps w:val="false"/>
          <w:color w:val="1A1A1A"/>
          <w:sz w:val="20"/>
          <w:szCs w:val="20"/>
        </w:rPr>
        <w:t xml:space="preserve">The total is identical to the departmental estimate, but the internal allocation has been re-weighted. The two largest reductions fall on the video block (Annexure A6 and A7, reduced by ₹18 lakh) and on the assistant, history and administration block (Annexure A9, A10 and A11, reduced by ₹23 lakh); the largest addition is a separately priced mobile application at ₹28 lakh, which the note had treated as part of the core platform. The department should satisfy itself that the reductions do not narrow the delivered scope of Annexure A7 (studio and anchor-video production) and Annexure A11 (integrations, administration and technical tooling), both of which are described in the note at considerable length. This is taken up at clarification C-7.</w:t>
      </w:r>
    </w:p>
    <w:p>
      <w:pPr>
        <w:pStyle w:val="Heading3"/>
        <w:keepNext/>
        <w:spacing w:after="80" w:before="200"/>
      </w:pPr>
      <w:r>
        <w:rPr>
          <w:rFonts w:ascii="Calibri" w:cs="Calibri" w:eastAsia="Calibri" w:hAnsi="Calibri"/>
          <w:b/>
          <w:bCs/>
          <w:color w:val="1A1A1A"/>
          <w:sz w:val="20"/>
          <w:szCs w:val="20"/>
        </w:rPr>
        <w:t xml:space="preserve">7.2  Operating scope — Annexure B of the note against Part B of the proposal</w:t>
      </w:r>
    </w:p>
    <w:tbl>
      <w:tblPr>
        <w:tblW w:type="dxa" w:w="9746"/>
        <w:tblBorders>
          <w:top w:val="single" w:color="B9C0C7" w:sz="4"/>
          <w:left w:val="single" w:color="B9C0C7" w:sz="4"/>
          <w:bottom w:val="single" w:color="B9C0C7" w:sz="4"/>
          <w:right w:val="single" w:color="B9C0C7" w:sz="4"/>
          <w:insideH w:val="single" w:color="B9C0C7" w:sz="4"/>
          <w:insideV w:val="single" w:color="B9C0C7" w:sz="4"/>
        </w:tblBorders>
        <w:tblLayout w:type="fixed"/>
      </w:tblPr>
      <w:tblGrid>
        <w:gridCol w:w="4483"/>
        <w:gridCol w:w="1754"/>
        <w:gridCol w:w="1754"/>
        <w:gridCol w:w="1754"/>
      </w:tblGrid>
      <w:tr>
        <w:trPr>
          <w:cantSplit/>
          <w:tblHeader/>
        </w:trPr>
        <w:tc>
          <w:tcPr>
            <w:tcW w:type="dxa" w:w="4483"/>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Line in the departmental note</w:t>
            </w:r>
          </w:p>
        </w:tc>
        <w:tc>
          <w:tcPr>
            <w:tcW w:type="dxa" w:w="1754"/>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Note estimate</w:t>
            </w:r>
          </w:p>
        </w:tc>
        <w:tc>
          <w:tcPr>
            <w:tcW w:type="dxa" w:w="1754"/>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Proposal</w:t>
            </w:r>
          </w:p>
        </w:tc>
        <w:tc>
          <w:tcPr>
            <w:tcW w:type="dxa" w:w="1754"/>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Variation</w:t>
            </w:r>
          </w:p>
        </w:tc>
      </w:tr>
      <w:tr>
        <w:trPr>
          <w:cantSplit/>
          <w:tblHeader w:val="false"/>
        </w:trPr>
        <w:tc>
          <w:tcPr>
            <w:tcW w:type="dxa" w:w="448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B1  Feature development and DGIPR-specific configuration</w:t>
            </w:r>
          </w:p>
        </w:tc>
        <w:tc>
          <w:tcPr>
            <w:tcW w:type="dxa" w:w="175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₹20 lakh</w:t>
            </w:r>
          </w:p>
        </w:tc>
        <w:tc>
          <w:tcPr>
            <w:tcW w:type="dxa" w:w="175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₹20 lakh</w:t>
            </w:r>
          </w:p>
        </w:tc>
        <w:tc>
          <w:tcPr>
            <w:tcW w:type="dxa" w:w="175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Nil</w:t>
            </w:r>
          </w:p>
        </w:tc>
      </w:tr>
      <w:tr>
        <w:trPr>
          <w:cantSplit/>
          <w:tblHeader w:val="false"/>
        </w:trPr>
        <w:tc>
          <w:tcPr>
            <w:tcW w:type="dxa" w:w="448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B2  Production deployment and systems integration</w:t>
            </w:r>
          </w:p>
        </w:tc>
        <w:tc>
          <w:tcPr>
            <w:tcW w:type="dxa" w:w="175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₹12 lakh</w:t>
            </w:r>
          </w:p>
        </w:tc>
        <w:tc>
          <w:tcPr>
            <w:tcW w:type="dxa" w:w="175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₹12 lakh</w:t>
            </w:r>
          </w:p>
        </w:tc>
        <w:tc>
          <w:tcPr>
            <w:tcW w:type="dxa" w:w="175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Nil</w:t>
            </w:r>
          </w:p>
        </w:tc>
      </w:tr>
      <w:tr>
        <w:trPr>
          <w:cantSplit/>
          <w:tblHeader w:val="false"/>
        </w:trPr>
        <w:tc>
          <w:tcPr>
            <w:tcW w:type="dxa" w:w="448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B3  Central engineering and MLOps support</w:t>
            </w:r>
          </w:p>
        </w:tc>
        <w:tc>
          <w:tcPr>
            <w:tcW w:type="dxa" w:w="175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₹25 lakh</w:t>
            </w:r>
          </w:p>
        </w:tc>
        <w:tc>
          <w:tcPr>
            <w:tcW w:type="dxa" w:w="175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₹25 lakh</w:t>
            </w:r>
          </w:p>
        </w:tc>
        <w:tc>
          <w:tcPr>
            <w:tcW w:type="dxa" w:w="175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Nil</w:t>
            </w:r>
          </w:p>
        </w:tc>
      </w:tr>
      <w:tr>
        <w:trPr>
          <w:cantSplit/>
          <w:tblHeader w:val="false"/>
        </w:trPr>
        <w:tc>
          <w:tcPr>
            <w:tcW w:type="dxa" w:w="448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B4  Two on-site professionals with hardware equipment</w:t>
            </w:r>
          </w:p>
        </w:tc>
        <w:tc>
          <w:tcPr>
            <w:tcW w:type="dxa" w:w="175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₹23 lakh</w:t>
            </w:r>
          </w:p>
        </w:tc>
        <w:tc>
          <w:tcPr>
            <w:tcW w:type="dxa" w:w="175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₹23 lakh</w:t>
            </w:r>
          </w:p>
        </w:tc>
        <w:tc>
          <w:tcPr>
            <w:tcW w:type="dxa" w:w="175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Nil</w:t>
            </w:r>
          </w:p>
        </w:tc>
      </w:tr>
      <w:tr>
        <w:trPr>
          <w:cantSplit/>
          <w:tblHeader w:val="false"/>
        </w:trPr>
        <w:tc>
          <w:tcPr>
            <w:tcW w:type="dxa" w:w="448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B5  Maintenance and technical support</w:t>
            </w:r>
          </w:p>
        </w:tc>
        <w:tc>
          <w:tcPr>
            <w:tcW w:type="dxa" w:w="175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₹15 lakh</w:t>
            </w:r>
          </w:p>
        </w:tc>
        <w:tc>
          <w:tcPr>
            <w:tcW w:type="dxa" w:w="175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₹15 lakh</w:t>
            </w:r>
          </w:p>
        </w:tc>
        <w:tc>
          <w:tcPr>
            <w:tcW w:type="dxa" w:w="175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Nil</w:t>
            </w:r>
          </w:p>
        </w:tc>
      </w:tr>
      <w:tr>
        <w:trPr>
          <w:cantSplit/>
          <w:tblHeader w:val="false"/>
        </w:trPr>
        <w:tc>
          <w:tcPr>
            <w:tcW w:type="dxa" w:w="448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B6  Controlled upgrades and incremental improvements</w:t>
            </w:r>
          </w:p>
        </w:tc>
        <w:tc>
          <w:tcPr>
            <w:tcW w:type="dxa" w:w="175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₹10 lakh</w:t>
            </w:r>
          </w:p>
        </w:tc>
        <w:tc>
          <w:tcPr>
            <w:tcW w:type="dxa" w:w="175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₹10 lakh</w:t>
            </w:r>
          </w:p>
        </w:tc>
        <w:tc>
          <w:tcPr>
            <w:tcW w:type="dxa" w:w="175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Nil</w:t>
            </w:r>
          </w:p>
        </w:tc>
      </w:tr>
      <w:tr>
        <w:trPr>
          <w:cantSplit/>
          <w:tblHeader w:val="false"/>
        </w:trPr>
        <w:tc>
          <w:tcPr>
            <w:tcW w:type="dxa" w:w="448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B7  Continuing operational and production support</w:t>
            </w:r>
          </w:p>
        </w:tc>
        <w:tc>
          <w:tcPr>
            <w:tcW w:type="dxa" w:w="175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₹10 lakh</w:t>
            </w:r>
          </w:p>
        </w:tc>
        <w:tc>
          <w:tcPr>
            <w:tcW w:type="dxa" w:w="175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₹10 lakh</w:t>
            </w:r>
          </w:p>
        </w:tc>
        <w:tc>
          <w:tcPr>
            <w:tcW w:type="dxa" w:w="175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Nil</w:t>
            </w:r>
          </w:p>
        </w:tc>
      </w:tr>
      <w:tr>
        <w:trPr>
          <w:cantSplit/>
          <w:tblHeader w:val="false"/>
        </w:trPr>
        <w:tc>
          <w:tcPr>
            <w:tcW w:type="dxa" w:w="448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B8  Project management, training and coordination</w:t>
            </w:r>
          </w:p>
        </w:tc>
        <w:tc>
          <w:tcPr>
            <w:tcW w:type="dxa" w:w="175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₹10 lakh</w:t>
            </w:r>
          </w:p>
        </w:tc>
        <w:tc>
          <w:tcPr>
            <w:tcW w:type="dxa" w:w="175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₹10 lakh</w:t>
            </w:r>
          </w:p>
        </w:tc>
        <w:tc>
          <w:tcPr>
            <w:tcW w:type="dxa" w:w="175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Nil</w:t>
            </w:r>
          </w:p>
        </w:tc>
      </w:tr>
      <w:tr>
        <w:trPr>
          <w:cantSplit/>
          <w:tblHeader w:val="false"/>
        </w:trPr>
        <w:tc>
          <w:tcPr>
            <w:tcW w:type="dxa" w:w="4483"/>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Total — operations, training and changes</w:t>
            </w:r>
          </w:p>
        </w:tc>
        <w:tc>
          <w:tcPr>
            <w:tcW w:type="dxa" w:w="1754"/>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₹1.25 crore</w:t>
            </w:r>
          </w:p>
        </w:tc>
        <w:tc>
          <w:tcPr>
            <w:tcW w:type="dxa" w:w="1754"/>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₹1.25 crore</w:t>
            </w:r>
          </w:p>
        </w:tc>
        <w:tc>
          <w:tcPr>
            <w:tcW w:type="dxa" w:w="1754"/>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Nil</w:t>
            </w:r>
          </w:p>
        </w:tc>
      </w:tr>
    </w:tbl>
    <w:p>
      <w:pPr>
        <w:spacing w:after="120"/>
      </w:pPr>
      <w:r>
        <w:rPr>
          <w:sz w:val="12"/>
          <w:szCs w:val="12"/>
        </w:rPr>
        <w:t xml:space="preserve"/>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Part B of the proposal reproduces the department’s own eight service lines line for line and figure for figure. The department may note that this shows the proposal to have been prepared against the departmental note, and that no independent costing of the operating block is available from this proposal.</w:t>
      </w:r>
    </w:p>
    <w:p>
      <w:r>
        <w:br w:type="page"/>
      </w:r>
    </w:p>
    <w:p>
      <w:pPr>
        <w:pStyle w:val="Heading1"/>
        <w:keepNext/>
        <w:pBdr>
          <w:bottom w:val="single" w:color="17365D" w:sz="8" w:space="6"/>
        </w:pBdr>
        <w:spacing w:after="160" w:before="0"/>
      </w:pPr>
      <w:r>
        <w:rPr>
          <w:rFonts w:ascii="Cambria" w:cs="Cambria" w:eastAsia="Cambria" w:hAnsi="Cambria"/>
          <w:b/>
          <w:bCs/>
          <w:color w:val="17365D"/>
          <w:sz w:val="26"/>
          <w:szCs w:val="26"/>
        </w:rPr>
        <w:t xml:space="preserve">8.  Stage II — Technical marking</w:t>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The criteria, their weights and the basis of marking are set out at Annexure I. The marks below are the assessment of the evaluating officers on the documents at Section 3, and are placed before the competent authority for adoption.</w:t>
      </w:r>
    </w:p>
    <w:p>
      <w:pPr>
        <w:spacing w:after="80"/>
      </w:pPr>
      <w:r>
        <w:rPr>
          <w:sz w:val="12"/>
          <w:szCs w:val="12"/>
        </w:rPr>
        <w:t xml:space="preserve"/>
      </w:r>
    </w:p>
    <w:tbl>
      <w:tblPr>
        <w:tblW w:type="dxa" w:w="9746"/>
        <w:tblBorders>
          <w:top w:val="single" w:color="B9C0C7" w:sz="4"/>
          <w:left w:val="single" w:color="B9C0C7" w:sz="4"/>
          <w:bottom w:val="single" w:color="B9C0C7" w:sz="4"/>
          <w:right w:val="single" w:color="B9C0C7" w:sz="4"/>
          <w:insideH w:val="single" w:color="B9C0C7" w:sz="4"/>
          <w:insideV w:val="single" w:color="B9C0C7" w:sz="4"/>
        </w:tblBorders>
        <w:tblLayout w:type="fixed"/>
      </w:tblPr>
      <w:tblGrid>
        <w:gridCol w:w="487"/>
        <w:gridCol w:w="3314"/>
        <w:gridCol w:w="975"/>
        <w:gridCol w:w="1072"/>
        <w:gridCol w:w="3898"/>
      </w:tblGrid>
      <w:tr>
        <w:trPr>
          <w:cantSplit/>
          <w:tblHeader/>
        </w:trPr>
        <w:tc>
          <w:tcPr>
            <w:tcW w:type="dxa" w:w="487"/>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No.</w:t>
            </w:r>
          </w:p>
        </w:tc>
        <w:tc>
          <w:tcPr>
            <w:tcW w:type="dxa" w:w="3314"/>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Criterion</w:t>
            </w:r>
          </w:p>
        </w:tc>
        <w:tc>
          <w:tcPr>
            <w:tcW w:type="dxa" w:w="975"/>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Maximum</w:t>
            </w:r>
          </w:p>
        </w:tc>
        <w:tc>
          <w:tcPr>
            <w:tcW w:type="dxa" w:w="1072"/>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Assessed</w:t>
            </w:r>
          </w:p>
        </w:tc>
        <w:tc>
          <w:tcPr>
            <w:tcW w:type="dxa" w:w="3898"/>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Basis</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Compliance with the scope of work</w:t>
            </w:r>
          </w:p>
        </w:tc>
        <w:tc>
          <w:tcPr>
            <w:tcW w:type="dxa" w:w="97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30</w:t>
            </w:r>
          </w:p>
        </w:tc>
        <w:tc>
          <w:tcPr>
            <w:tcW w:type="dxa" w:w="107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27</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27 of 30 items fully complied with; 3 partly complied with (items 24, 26 and 28). No item omitted.</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B</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Solution architecture, data sovereignty and information security</w:t>
            </w:r>
          </w:p>
        </w:tc>
        <w:tc>
          <w:tcPr>
            <w:tcW w:type="dxa" w:w="97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15</w:t>
            </w:r>
          </w:p>
        </w:tc>
        <w:tc>
          <w:tcPr>
            <w:tcW w:type="dxa" w:w="107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12</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 private model environment, role-based access, encryption, audit logging, source-to-output lineage and an MLOps layer are described. Marks withheld because the boundary between departmental infrastructure and the metered external services under Provision 9 is not stated, and no data-processing position is given for those services.</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Marathi-first language capability and editorial fidelity</w:t>
            </w:r>
          </w:p>
        </w:tc>
        <w:tc>
          <w:tcPr>
            <w:tcW w:type="dxa" w:w="97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12</w:t>
            </w:r>
          </w:p>
        </w:tc>
        <w:tc>
          <w:tcPr>
            <w:tcW w:type="dxa" w:w="107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11</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 verified glossary, deterministic application of designations, Devanagari typesetting composited in code rather than generated, scheme-name protection and a fact-check section are described. One mark withheld for the limitation at item 24.</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D</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Delivery approach and go-live within one month</w:t>
            </w:r>
          </w:p>
        </w:tc>
        <w:tc>
          <w:tcPr>
            <w:tcW w:type="dxa" w:w="97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10</w:t>
            </w:r>
          </w:p>
        </w:tc>
        <w:tc>
          <w:tcPr>
            <w:tcW w:type="dxa" w:w="107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8</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Four releases with a stated content for each, and go-live in Month 1 as the note requires. Marks withheld because Release 1 delivers Components 1, 2, 3, 7 and 8 only in part, while the approved payment structure would release 75 per cent of the value on acceptance at the end of Month 1.</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E</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Operations, on-site support and training</w:t>
            </w:r>
          </w:p>
        </w:tc>
        <w:tc>
          <w:tcPr>
            <w:tcW w:type="dxa" w:w="97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10</w:t>
            </w:r>
          </w:p>
        </w:tc>
        <w:tc>
          <w:tcPr>
            <w:tcW w:type="dxa" w:w="107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9</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Two full-time professionals at headquarters for the term with their equipment, continuing training, production support and output-quality checks before work reaches the responsible officer. One mark withheld pending the personnel profiles at clarification C-9.</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F</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Methodology, quality assurance and acceptance</w:t>
            </w:r>
          </w:p>
        </w:tc>
        <w:tc>
          <w:tcPr>
            <w:tcW w:type="dxa" w:w="97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8</w:t>
            </w:r>
          </w:p>
        </w:tc>
        <w:tc>
          <w:tcPr>
            <w:tcW w:type="dxa" w:w="107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7</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 component-wise acceptance summary stating the condition on which each component is to be accepted is a material strength and is recommended for adoption in the contract. Marks withheld because measurable service levels are not stated.</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G</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Experience and demonstrated capability of the institution</w:t>
            </w:r>
          </w:p>
        </w:tc>
        <w:tc>
          <w:tcPr>
            <w:tcW w:type="dxa" w:w="97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10</w:t>
            </w:r>
          </w:p>
        </w:tc>
        <w:tc>
          <w:tcPr>
            <w:tcW w:type="dxa" w:w="107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Not scored</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Cannot be marked until the documents at Section 4 are examined and the demonstration at paragraph 11.3 is held.</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H</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Risk management, transition and exit</w:t>
            </w:r>
          </w:p>
        </w:tc>
        <w:tc>
          <w:tcPr>
            <w:tcW w:type="dxa" w:w="97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w:t>
            </w:r>
          </w:p>
        </w:tc>
        <w:tc>
          <w:tcPr>
            <w:tcW w:type="dxa" w:w="107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3</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Backup, recovery and business continuity are provided for. Marks withheld because ownership of source code, model configuration, prompts, glossary and data, and the arrangements for transition and exit at the end of the term, are not stated.</w:t>
            </w:r>
          </w:p>
        </w:tc>
      </w:tr>
      <w:tr>
        <w:trPr>
          <w:cantSplit/>
          <w:tblHeader w:val="false"/>
        </w:trPr>
        <w:tc>
          <w:tcPr>
            <w:tcW w:type="dxa" w:w="487"/>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
            </w:r>
          </w:p>
        </w:tc>
        <w:tc>
          <w:tcPr>
            <w:tcW w:type="dxa" w:w="3314"/>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Total assessed</w:t>
            </w:r>
          </w:p>
        </w:tc>
        <w:tc>
          <w:tcPr>
            <w:tcW w:type="dxa" w:w="975"/>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90</w:t>
            </w:r>
          </w:p>
        </w:tc>
        <w:tc>
          <w:tcPr>
            <w:tcW w:type="dxa" w:w="1072"/>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77</w:t>
            </w:r>
          </w:p>
        </w:tc>
        <w:tc>
          <w:tcPr>
            <w:tcW w:type="dxa" w:w="3898"/>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Out of the 90 marks presently assessable. Criterion G, carrying 10 marks, remains to be scored.</w:t>
            </w:r>
          </w:p>
        </w:tc>
      </w:tr>
    </w:tbl>
    <w:p>
      <w:pPr>
        <w:spacing w:after="140"/>
      </w:pPr>
      <w:r>
        <w:rPr>
          <w:sz w:val="12"/>
          <w:szCs w:val="12"/>
        </w:rPr>
        <w:t xml:space="preserve"/>
      </w:r>
    </w:p>
    <w:tbl>
      <w:tblPr>
        <w:tblW w:type="dxa" w:w="9746"/>
        <w:tblBorders>
          <w:top w:val="single" w:color="B9C0C7" w:sz="4"/>
          <w:left w:val="single" w:color="17365D" w:sz="18"/>
          <w:bottom w:val="single" w:color="B9C0C7" w:sz="4"/>
          <w:right w:val="single" w:color="B9C0C7" w:sz="4"/>
          <w:insideH w:val="none" w:color="FFFFFF" w:sz="0"/>
          <w:insideV w:val="none" w:color="FFFFFF" w:sz="0"/>
        </w:tblBorders>
        <w:tblLayout w:type="fixed"/>
      </w:tblPr>
      <w:tblGrid>
        <w:gridCol w:w="9746"/>
      </w:tblGrid>
      <w:tr>
        <w:trPr>
          <w:cantSplit w:val="false"/>
        </w:trPr>
        <w:tc>
          <w:tcPr>
            <w:tcW w:type="dxa" w:w="9746"/>
            <w:shd w:fill="F4F7F9" w:color="auto" w:val="clear"/>
            <w:tcMar>
              <w:top w:type="dxa" w:w="120"/>
              <w:left w:type="dxa" w:w="160"/>
              <w:bottom w:type="dxa" w:w="120"/>
              <w:right w:type="dxa" w:w="140"/>
            </w:tcMar>
          </w:tcPr>
          <w:p>
            <w:pPr>
              <w:spacing w:after="60"/>
            </w:pPr>
            <w:r>
              <w:rPr>
                <w:rFonts w:ascii="Calibri" w:cs="Calibri" w:eastAsia="Calibri" w:hAnsi="Calibri"/>
                <w:b/>
                <w:bCs/>
                <w:color w:val="17365D"/>
                <w:sz w:val="19"/>
                <w:szCs w:val="19"/>
              </w:rPr>
              <w:t xml:space="preserve">Position on the technical marking</w:t>
            </w:r>
          </w:p>
          <w:p>
            <w:pPr>
              <w:spacing w:line="254"/>
              <w:jc w:val="both"/>
            </w:pPr>
            <w:r>
              <w:rPr>
                <w:rFonts w:ascii="Calibri" w:cs="Calibri" w:eastAsia="Calibri" w:hAnsi="Calibri"/>
                <w:color w:val="1A1A1A"/>
                <w:sz w:val="19"/>
                <w:szCs w:val="19"/>
              </w:rPr>
              <w:t xml:space="preserve">The proposal secures 77 of the 90 marks presently assessable, which is above the recommended qualifying score of 70 out of 100 even before criterion G is taken into account. The proposal is accordingly assessed as technically responsive, subject to the clarifications at Section 10 and to completion of Stage I.</w:t>
            </w:r>
          </w:p>
        </w:tc>
      </w:tr>
    </w:tbl>
    <w:p>
      <w:r>
        <w:br w:type="page"/>
      </w:r>
    </w:p>
    <w:p>
      <w:pPr>
        <w:pStyle w:val="Heading1"/>
        <w:keepNext/>
        <w:pBdr>
          <w:bottom w:val="single" w:color="17365D" w:sz="8" w:space="6"/>
        </w:pBdr>
        <w:spacing w:after="160" w:before="0"/>
      </w:pPr>
      <w:r>
        <w:rPr>
          <w:rFonts w:ascii="Cambria" w:cs="Cambria" w:eastAsia="Cambria" w:hAnsi="Cambria"/>
          <w:b/>
          <w:bCs/>
          <w:color w:val="17365D"/>
          <w:sz w:val="26"/>
          <w:szCs w:val="26"/>
        </w:rPr>
        <w:t xml:space="preserve">9.  Stage III — Commercial examination</w:t>
      </w:r>
    </w:p>
    <w:p>
      <w:pPr>
        <w:pStyle w:val="Heading3"/>
        <w:keepNext/>
        <w:spacing w:after="80" w:before="200"/>
      </w:pPr>
      <w:r>
        <w:rPr>
          <w:rFonts w:ascii="Calibri" w:cs="Calibri" w:eastAsia="Calibri" w:hAnsi="Calibri"/>
          <w:b/>
          <w:bCs/>
          <w:color w:val="1A1A1A"/>
          <w:sz w:val="20"/>
          <w:szCs w:val="20"/>
        </w:rPr>
        <w:t xml:space="preserve">9.1  The offer against the departmental estimate</w:t>
      </w:r>
    </w:p>
    <w:tbl>
      <w:tblPr>
        <w:tblW w:type="dxa" w:w="9746"/>
        <w:tblBorders>
          <w:top w:val="single" w:color="B9C0C7" w:sz="4"/>
          <w:left w:val="single" w:color="B9C0C7" w:sz="4"/>
          <w:bottom w:val="single" w:color="B9C0C7" w:sz="4"/>
          <w:right w:val="single" w:color="B9C0C7" w:sz="4"/>
          <w:insideH w:val="single" w:color="B9C0C7" w:sz="4"/>
          <w:insideV w:val="single" w:color="B9C0C7" w:sz="4"/>
        </w:tblBorders>
        <w:tblLayout w:type="fixed"/>
      </w:tblPr>
      <w:tblGrid>
        <w:gridCol w:w="4483"/>
        <w:gridCol w:w="2631"/>
        <w:gridCol w:w="2631"/>
      </w:tblGrid>
      <w:tr>
        <w:trPr>
          <w:cantSplit/>
          <w:tblHeader/>
        </w:trPr>
        <w:tc>
          <w:tcPr>
            <w:tcW w:type="dxa" w:w="4483"/>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Particulars</w:t>
            </w:r>
          </w:p>
        </w:tc>
        <w:tc>
          <w:tcPr>
            <w:tcW w:type="dxa" w:w="2631"/>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Departmental estimate</w:t>
            </w:r>
          </w:p>
        </w:tc>
        <w:tc>
          <w:tcPr>
            <w:tcW w:type="dxa" w:w="2631"/>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Offer received</w:t>
            </w:r>
          </w:p>
        </w:tc>
      </w:tr>
      <w:tr>
        <w:trPr>
          <w:cantSplit/>
          <w:tblHeader w:val="false"/>
        </w:trPr>
        <w:tc>
          <w:tcPr>
            <w:tcW w:type="dxa" w:w="448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Platform development and product components (Part A)</w:t>
            </w:r>
          </w:p>
        </w:tc>
        <w:tc>
          <w:tcPr>
            <w:tcW w:type="dxa" w:w="263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₹3.75 crore</w:t>
            </w:r>
          </w:p>
        </w:tc>
        <w:tc>
          <w:tcPr>
            <w:tcW w:type="dxa" w:w="263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₹3.75 crore</w:t>
            </w:r>
          </w:p>
        </w:tc>
      </w:tr>
      <w:tr>
        <w:trPr>
          <w:cantSplit/>
          <w:tblHeader w:val="false"/>
        </w:trPr>
        <w:tc>
          <w:tcPr>
            <w:tcW w:type="dxa" w:w="448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Training, operations, support and changes (Part B)</w:t>
            </w:r>
          </w:p>
        </w:tc>
        <w:tc>
          <w:tcPr>
            <w:tcW w:type="dxa" w:w="263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₹1.25 crore</w:t>
            </w:r>
          </w:p>
        </w:tc>
        <w:tc>
          <w:tcPr>
            <w:tcW w:type="dxa" w:w="263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₹1.25 crore</w:t>
            </w:r>
          </w:p>
        </w:tc>
      </w:tr>
      <w:tr>
        <w:trPr>
          <w:cantSplit/>
          <w:tblHeader w:val="false"/>
        </w:trPr>
        <w:tc>
          <w:tcPr>
            <w:tcW w:type="dxa" w:w="448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Value before tax</w:t>
            </w:r>
          </w:p>
        </w:tc>
        <w:tc>
          <w:tcPr>
            <w:tcW w:type="dxa" w:w="263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₹5.00 crore</w:t>
            </w:r>
          </w:p>
        </w:tc>
        <w:tc>
          <w:tcPr>
            <w:tcW w:type="dxa" w:w="263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₹5.00 crore</w:t>
            </w:r>
          </w:p>
        </w:tc>
      </w:tr>
      <w:tr>
        <w:trPr>
          <w:cantSplit/>
          <w:tblHeader w:val="false"/>
        </w:trPr>
        <w:tc>
          <w:tcPr>
            <w:tcW w:type="dxa" w:w="448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Goods and Services Tax at 18 per cent</w:t>
            </w:r>
          </w:p>
        </w:tc>
        <w:tc>
          <w:tcPr>
            <w:tcW w:type="dxa" w:w="263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₹0.90 crore</w:t>
            </w:r>
          </w:p>
        </w:tc>
        <w:tc>
          <w:tcPr>
            <w:tcW w:type="dxa" w:w="263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Not stated in the proposal — see clarification C-1</w:t>
            </w:r>
          </w:p>
        </w:tc>
      </w:tr>
      <w:tr>
        <w:trPr>
          <w:cantSplit/>
          <w:tblHeader w:val="false"/>
        </w:trPr>
        <w:tc>
          <w:tcPr>
            <w:tcW w:type="dxa" w:w="4483"/>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Total</w:t>
            </w:r>
          </w:p>
        </w:tc>
        <w:tc>
          <w:tcPr>
            <w:tcW w:type="dxa" w:w="2631"/>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₹5.90 crore</w:t>
            </w:r>
          </w:p>
        </w:tc>
        <w:tc>
          <w:tcPr>
            <w:tcW w:type="dxa" w:w="2631"/>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₹5.90 crore if the offer is exclusive of tax</w:t>
            </w:r>
          </w:p>
        </w:tc>
      </w:tr>
      <w:tr>
        <w:trPr>
          <w:cantSplit/>
          <w:tblHeader w:val="false"/>
        </w:trPr>
        <w:tc>
          <w:tcPr>
            <w:tcW w:type="dxa" w:w="448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Ratio of development to operations</w:t>
            </w:r>
          </w:p>
        </w:tc>
        <w:tc>
          <w:tcPr>
            <w:tcW w:type="dxa" w:w="263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75 : 25</w:t>
            </w:r>
          </w:p>
        </w:tc>
        <w:tc>
          <w:tcPr>
            <w:tcW w:type="dxa" w:w="263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75 : 25</w:t>
            </w:r>
          </w:p>
        </w:tc>
      </w:tr>
    </w:tbl>
    <w:p>
      <w:pPr>
        <w:spacing w:after="120"/>
      </w:pPr>
      <w:r>
        <w:rPr>
          <w:sz w:val="12"/>
          <w:szCs w:val="12"/>
        </w:rPr>
        <w:t xml:space="preserve"/>
      </w:r>
    </w:p>
    <w:p>
      <w:pPr>
        <w:keepNext w:val="false"/>
        <w:spacing w:after="120" w:before="0" w:line="264"/>
        <w:jc w:val="both"/>
      </w:pPr>
      <w:r>
        <w:rPr>
          <w:rFonts w:ascii="Calibri" w:cs="Calibri" w:eastAsia="Calibri" w:hAnsi="Calibri"/>
          <w:b/>
          <w:bCs/>
          <w:i w:val="false"/>
          <w:iCs w:val="false"/>
          <w:caps w:val="false"/>
          <w:color w:val="1A1A1A"/>
          <w:sz w:val="20"/>
          <w:szCs w:val="20"/>
        </w:rPr>
        <w:t xml:space="preserve">Observation. </w:t>
      </w:r>
      <w:r>
        <w:rPr>
          <w:rFonts w:ascii="Calibri" w:cs="Calibri" w:eastAsia="Calibri" w:hAnsi="Calibri"/>
          <w:b w:val="false"/>
          <w:bCs w:val="false"/>
          <w:i w:val="false"/>
          <w:iCs w:val="false"/>
          <w:caps w:val="false"/>
          <w:color w:val="1A1A1A"/>
          <w:sz w:val="20"/>
          <w:szCs w:val="20"/>
        </w:rPr>
        <w:t xml:space="preserve">The offer is equal to the departmental estimate. There is no variation whatever, either in the total, in the division between the two parts, or in any of the eight service lines of Part B. The department should record this expressly. A single proposal at exactly the estimated figure gives the department no evidence of the market price for this work and no price discovery. This does not reflect on the merit of the proposal, which has been separately assessed at Section 8; it is a reason for following the e-tender process which the departmental note itself provides for, and for treating this proposal as one input to the estimate rather than as a basis for award.</w:t>
      </w:r>
    </w:p>
    <w:p>
      <w:pPr>
        <w:pStyle w:val="Heading3"/>
        <w:keepNext/>
        <w:spacing w:after="80" w:before="200"/>
      </w:pPr>
      <w:r>
        <w:rPr>
          <w:rFonts w:ascii="Calibri" w:cs="Calibri" w:eastAsia="Calibri" w:hAnsi="Calibri"/>
          <w:b/>
          <w:bCs/>
          <w:color w:val="1A1A1A"/>
          <w:sz w:val="20"/>
          <w:szCs w:val="20"/>
        </w:rPr>
        <w:t xml:space="preserve">9.2  Treatment of tax</w:t>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The proposal states a value of ₹5.00 crore and states at Section 9 that all amounts are in Indian Rupees, but does not state whether the figure is inclusive or exclusive of the goods-and-services tax. The departmental estimate of ₹5.90 crore is arrived at as ₹5.00 crore plus 18 per cent. If the offer is inclusive of tax the department would obtain the work for ₹5.00 crore against a sanctioned ₹5.90 crore; if exclusive, the figures coincide. This must be settled in writing before any commitment. It is taken up at clarification C-1.</w:t>
      </w:r>
    </w:p>
    <w:p>
      <w:pPr>
        <w:pStyle w:val="Heading3"/>
        <w:keepNext/>
        <w:spacing w:after="80" w:before="200"/>
      </w:pPr>
      <w:r>
        <w:rPr>
          <w:rFonts w:ascii="Calibri" w:cs="Calibri" w:eastAsia="Calibri" w:hAnsi="Calibri"/>
          <w:b/>
          <w:bCs/>
          <w:color w:val="1A1A1A"/>
          <w:sz w:val="20"/>
          <w:szCs w:val="20"/>
        </w:rPr>
        <w:t xml:space="preserve">9.3  Payment structure</w:t>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The departmental note provides that the bill for development of the web and application may be paid after it is developed within one month, and that the bill for training the model and making changes may be submitted every month thereafter. Applied to the values offered, this would release ₹3.75 crore — 75 per cent of the contract value — at the end of Month 1.</w:t>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The proposal’s own release plan shows that at the end of Month 1 the department will have Components 1 and 7 and 8 at baseline, Component 2 in its intake and transcription functions and Component 3 in its news and article functions. Component 4 arrives by Month 4, Components 5 and 6 between Months 5 and 12. On the proposal’s own component values, capability worth approximately ₹1.22 crore of the ₹3.20 crore product value — Components 4, 5 and 6 — is not available at the point at which 75 per cent of the contract value would fall due.</w:t>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The proposal anticipates this and offers, at paragraph 8.1, to invoice Part A against acceptance of the four scheduled releases instead of a single payment at the end of Month 1. That alternative is materially better for the department and is recommended.</w:t>
      </w:r>
    </w:p>
    <w:p>
      <w:pPr>
        <w:spacing w:after="60"/>
      </w:pPr>
      <w:r>
        <w:rPr>
          <w:sz w:val="12"/>
          <w:szCs w:val="12"/>
        </w:rPr>
        <w:t xml:space="preserve"/>
      </w:r>
    </w:p>
    <w:tbl>
      <w:tblPr>
        <w:tblW w:type="dxa" w:w="9746"/>
        <w:tblBorders>
          <w:top w:val="single" w:color="B9C0C7" w:sz="4"/>
          <w:left w:val="single" w:color="B9C0C7" w:sz="4"/>
          <w:bottom w:val="single" w:color="B9C0C7" w:sz="4"/>
          <w:right w:val="single" w:color="B9C0C7" w:sz="4"/>
          <w:insideH w:val="single" w:color="B9C0C7" w:sz="4"/>
          <w:insideV w:val="single" w:color="B9C0C7" w:sz="4"/>
        </w:tblBorders>
        <w:tblLayout w:type="fixed"/>
      </w:tblPr>
      <w:tblGrid>
        <w:gridCol w:w="1559"/>
        <w:gridCol w:w="4288"/>
        <w:gridCol w:w="1949"/>
        <w:gridCol w:w="1949"/>
      </w:tblGrid>
      <w:tr>
        <w:trPr>
          <w:cantSplit/>
          <w:tblHeader/>
        </w:trPr>
        <w:tc>
          <w:tcPr>
            <w:tcW w:type="dxa" w:w="1559"/>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Stage</w:t>
            </w:r>
          </w:p>
        </w:tc>
        <w:tc>
          <w:tcPr>
            <w:tcW w:type="dxa" w:w="4288"/>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Trigger recommended</w:t>
            </w:r>
          </w:p>
        </w:tc>
        <w:tc>
          <w:tcPr>
            <w:tcW w:type="dxa" w:w="1949"/>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Proportion</w:t>
            </w:r>
          </w:p>
        </w:tc>
        <w:tc>
          <w:tcPr>
            <w:tcW w:type="dxa" w:w="1949"/>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Amount</w:t>
            </w:r>
          </w:p>
        </w:tc>
      </w:tr>
      <w:tr>
        <w:trPr>
          <w:cantSplit/>
          <w:tblHeader w:val="false"/>
        </w:trPr>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Release 1</w:t>
            </w:r>
          </w:p>
        </w:tc>
        <w:tc>
          <w:tcPr>
            <w:tcW w:type="dxa" w:w="428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Acceptance of the web and mobile workspace at the end of Month 1, against the acceptance conditions for Components 1, 2, 3, 7 and 8</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40% of Part A</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₹1.50 crore</w:t>
            </w:r>
          </w:p>
        </w:tc>
      </w:tr>
      <w:tr>
        <w:trPr>
          <w:cantSplit/>
          <w:tblHeader w:val="false"/>
        </w:trPr>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Release 2</w:t>
            </w:r>
          </w:p>
        </w:tc>
        <w:tc>
          <w:tcPr>
            <w:tcW w:type="dxa" w:w="428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Acceptance of Components 2, 3, 7 and 8 as completed and Component 4 as delivered</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20% of Part A</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₹0.75 crore</w:t>
            </w:r>
          </w:p>
        </w:tc>
      </w:tr>
      <w:tr>
        <w:trPr>
          <w:cantSplit/>
          <w:tblHeader w:val="false"/>
        </w:trPr>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Release 3</w:t>
            </w:r>
          </w:p>
        </w:tc>
        <w:tc>
          <w:tcPr>
            <w:tcW w:type="dxa" w:w="428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Acceptance of Component 5 (explainer and motion) and Component 6 (monitoring and archive)</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20% of Part A</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₹0.75 crore</w:t>
            </w:r>
          </w:p>
        </w:tc>
      </w:tr>
      <w:tr>
        <w:trPr>
          <w:cantSplit/>
          <w:tblHeader w:val="false"/>
        </w:trPr>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Release 4</w:t>
            </w:r>
          </w:p>
        </w:tc>
        <w:tc>
          <w:tcPr>
            <w:tcW w:type="dxa" w:w="428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Acceptance of Component 5 (studio and anchor), Component 6 (impact analysis) and completion of hardening and rollout</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20% of Part A</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₹0.75 crore</w:t>
            </w:r>
          </w:p>
        </w:tc>
      </w:tr>
      <w:tr>
        <w:trPr>
          <w:cantSplit/>
          <w:tblHeader w:val="false"/>
        </w:trPr>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Part B</w:t>
            </w:r>
          </w:p>
        </w:tc>
        <w:tc>
          <w:tcPr>
            <w:tcW w:type="dxa" w:w="428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Monthly, on submission of the monthly work and consumption report, Months 2 to 12</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Eleven equal instalments</w:t>
            </w:r>
          </w:p>
        </w:tc>
        <w:tc>
          <w:tcPr>
            <w:tcW w:type="dxa" w:w="194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₹1.25 crore</w:t>
            </w:r>
          </w:p>
        </w:tc>
      </w:tr>
      <w:tr>
        <w:trPr>
          <w:cantSplit/>
          <w:tblHeader w:val="false"/>
        </w:trPr>
        <w:tc>
          <w:tcPr>
            <w:tcW w:type="dxa" w:w="1559"/>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Total</w:t>
            </w:r>
          </w:p>
        </w:tc>
        <w:tc>
          <w:tcPr>
            <w:tcW w:type="dxa" w:w="4288"/>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
            </w:r>
          </w:p>
        </w:tc>
        <w:tc>
          <w:tcPr>
            <w:tcW w:type="dxa" w:w="1949"/>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
            </w:r>
          </w:p>
        </w:tc>
        <w:tc>
          <w:tcPr>
            <w:tcW w:type="dxa" w:w="1949"/>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₹5.00 crore plus tax as applicable</w:t>
            </w:r>
          </w:p>
        </w:tc>
      </w:tr>
    </w:tbl>
    <w:p>
      <w:pPr>
        <w:spacing w:after="100"/>
      </w:pPr>
      <w:r>
        <w:rPr>
          <w:sz w:val="12"/>
          <w:szCs w:val="12"/>
        </w:rPr>
        <w:t xml:space="preserve"/>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The proportions above are illustrative and are placed for the department’s decision. Whatever proportions are adopted, it is recommended that no payment be released against a release which has not been accepted against the acceptance conditions in the Annexure to the proposal, and that the amount attributable to Provision 9 be paid against metered consumption actually reported rather than in advance.</w:t>
      </w:r>
    </w:p>
    <w:p>
      <w:pPr>
        <w:pStyle w:val="Heading3"/>
        <w:keepNext/>
        <w:spacing w:after="80" w:before="200"/>
      </w:pPr>
      <w:r>
        <w:rPr>
          <w:rFonts w:ascii="Calibri" w:cs="Calibri" w:eastAsia="Calibri" w:hAnsi="Calibri"/>
          <w:b/>
          <w:bCs/>
          <w:color w:val="1A1A1A"/>
          <w:sz w:val="20"/>
          <w:szCs w:val="20"/>
        </w:rPr>
        <w:t xml:space="preserve">9.4  The metered-services provision</w:t>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Provision 9 of the proposal, at ₹55 lakh, is a ceiling for consumption of external metered services over twelve months and is not a development component. The department should record that this amount is payable against metered consumption reported and certified, that any unconsumed balance is not payable, and that consumption above the ceiling requires prior approval. The proposal offers metering, task-level cost attribution and budget ceilings, which supports this treatment. It is taken up at clarification C-12.</w:t>
      </w:r>
    </w:p>
    <w:p>
      <w:pPr>
        <w:pStyle w:val="Heading3"/>
        <w:keepNext/>
        <w:spacing w:after="80" w:before="200"/>
      </w:pPr>
      <w:r>
        <w:rPr>
          <w:rFonts w:ascii="Calibri" w:cs="Calibri" w:eastAsia="Calibri" w:hAnsi="Calibri"/>
          <w:b/>
          <w:bCs/>
          <w:color w:val="1A1A1A"/>
          <w:sz w:val="20"/>
          <w:szCs w:val="20"/>
        </w:rPr>
        <w:t xml:space="preserve">9.5  Exclusions carrying a cost to the department</w:t>
      </w:r>
    </w:p>
    <w:tbl>
      <w:tblPr>
        <w:tblW w:type="dxa" w:w="9746"/>
        <w:tblBorders>
          <w:top w:val="single" w:color="B9C0C7" w:sz="4"/>
          <w:left w:val="single" w:color="B9C0C7" w:sz="4"/>
          <w:bottom w:val="single" w:color="B9C0C7" w:sz="4"/>
          <w:right w:val="single" w:color="B9C0C7" w:sz="4"/>
          <w:insideH w:val="single" w:color="B9C0C7" w:sz="4"/>
          <w:insideV w:val="single" w:color="B9C0C7" w:sz="4"/>
        </w:tblBorders>
        <w:tblLayout w:type="fixed"/>
      </w:tblPr>
      <w:tblGrid>
        <w:gridCol w:w="3898"/>
        <w:gridCol w:w="3314"/>
        <w:gridCol w:w="2534"/>
      </w:tblGrid>
      <w:tr>
        <w:trPr>
          <w:cantSplit/>
          <w:tblHeader/>
        </w:trPr>
        <w:tc>
          <w:tcPr>
            <w:tcW w:type="dxa" w:w="3898"/>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Excluded by the proposal</w:t>
            </w:r>
          </w:p>
        </w:tc>
        <w:tc>
          <w:tcPr>
            <w:tcW w:type="dxa" w:w="3314"/>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Effect on the department</w:t>
            </w:r>
          </w:p>
        </w:tc>
        <w:tc>
          <w:tcPr>
            <w:tcW w:type="dxa" w:w="2534"/>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Action recommended</w:t>
            </w:r>
          </w:p>
        </w:tc>
      </w:tr>
      <w:tr>
        <w:trPr>
          <w:cantSplit/>
          <w:tblHeader w:val="false"/>
        </w:trPr>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GPU compute, storage, networking, power protection and cooling</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To be provided through the Electronics, Information Technology and Artificial Intelligence Department, as the departmental note itself provides</w:t>
            </w:r>
          </w:p>
        </w:tc>
        <w:tc>
          <w:tcPr>
            <w:tcW w:type="dxa" w:w="253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Confirm availability and timing in writing before the work order, as Release 1 depends on it</w:t>
            </w:r>
          </w:p>
        </w:tc>
      </w:tr>
      <w:tr>
        <w:trPr>
          <w:cantSplit/>
          <w:tblHeader w:val="false"/>
        </w:trPr>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Newspaper subscriptions, e-paper licences and third-party content licensing</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6 cannot operate without them; the cost is not in the ₹5.90 crore</w:t>
            </w:r>
          </w:p>
        </w:tc>
        <w:tc>
          <w:tcPr>
            <w:tcW w:type="dxa" w:w="253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Obtain an estimate of the annual licence cost and the sources required — clarification C-6</w:t>
            </w:r>
          </w:p>
        </w:tc>
      </w:tr>
      <w:tr>
        <w:trPr>
          <w:cantSplit/>
          <w:tblHeader w:val="false"/>
        </w:trPr>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Studio premises, cameras, lighting and recording equipment</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5 provides production assistance only</w:t>
            </w:r>
          </w:p>
        </w:tc>
        <w:tc>
          <w:tcPr>
            <w:tcW w:type="dxa" w:w="253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Consistent with Annexure A7 of the note; no action, but record it</w:t>
            </w:r>
          </w:p>
        </w:tc>
      </w:tr>
    </w:tbl>
    <w:p>
      <w:r>
        <w:br w:type="page"/>
      </w:r>
    </w:p>
    <w:p>
      <w:pPr>
        <w:pStyle w:val="Heading1"/>
        <w:keepNext/>
        <w:pBdr>
          <w:bottom w:val="single" w:color="17365D" w:sz="8" w:space="6"/>
        </w:pBdr>
        <w:spacing w:after="160" w:before="0"/>
      </w:pPr>
      <w:r>
        <w:rPr>
          <w:rFonts w:ascii="Cambria" w:cs="Cambria" w:eastAsia="Cambria" w:hAnsi="Cambria"/>
          <w:b/>
          <w:bCs/>
          <w:color w:val="17365D"/>
          <w:sz w:val="26"/>
          <w:szCs w:val="26"/>
        </w:rPr>
        <w:t xml:space="preserve">10.  Clarifications required before any commitment</w:t>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The following are to be obtained in writing. Each is referred to at the point in this report at which it arises.</w:t>
      </w:r>
    </w:p>
    <w:p>
      <w:pPr>
        <w:spacing w:after="80"/>
      </w:pPr>
      <w:r>
        <w:rPr>
          <w:sz w:val="12"/>
          <w:szCs w:val="12"/>
        </w:rPr>
        <w:t xml:space="preserve"/>
      </w:r>
    </w:p>
    <w:tbl>
      <w:tblPr>
        <w:tblW w:type="dxa" w:w="9746"/>
        <w:tblBorders>
          <w:top w:val="single" w:color="B9C0C7" w:sz="4"/>
          <w:left w:val="single" w:color="B9C0C7" w:sz="4"/>
          <w:bottom w:val="single" w:color="B9C0C7" w:sz="4"/>
          <w:right w:val="single" w:color="B9C0C7" w:sz="4"/>
          <w:insideH w:val="single" w:color="B9C0C7" w:sz="4"/>
          <w:insideV w:val="single" w:color="B9C0C7" w:sz="4"/>
        </w:tblBorders>
        <w:tblLayout w:type="fixed"/>
      </w:tblPr>
      <w:tblGrid>
        <w:gridCol w:w="780"/>
        <w:gridCol w:w="1170"/>
        <w:gridCol w:w="7797"/>
      </w:tblGrid>
      <w:tr>
        <w:trPr>
          <w:cantSplit/>
          <w:tblHeader/>
        </w:trPr>
        <w:tc>
          <w:tcPr>
            <w:tcW w:type="dxa" w:w="780"/>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No.</w:t>
            </w:r>
          </w:p>
        </w:tc>
        <w:tc>
          <w:tcPr>
            <w:tcW w:type="dxa" w:w="1170"/>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Arises at</w:t>
            </w:r>
          </w:p>
        </w:tc>
        <w:tc>
          <w:tcPr>
            <w:tcW w:type="dxa" w:w="7797"/>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Clarification sought</w:t>
            </w:r>
          </w:p>
        </w:tc>
      </w:tr>
      <w:tr>
        <w:trPr>
          <w:cantSplit/>
          <w:tblHeader w:val="false"/>
        </w:trPr>
        <w:tc>
          <w:tcPr>
            <w:tcW w:type="dxa" w:w="78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C-1</w:t>
            </w:r>
          </w:p>
        </w:tc>
        <w:tc>
          <w:tcPr>
            <w:tcW w:type="dxa" w:w="117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9.2</w:t>
            </w:r>
          </w:p>
        </w:tc>
        <w:tc>
          <w:tcPr>
            <w:tcW w:type="dxa" w:w="779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Confirm whether the offer of ₹5.00 crore is inclusive or exclusive of the goods-and-services tax, and state the total payable including tax.</w:t>
            </w:r>
          </w:p>
        </w:tc>
      </w:tr>
      <w:tr>
        <w:trPr>
          <w:cantSplit/>
          <w:tblHeader w:val="false"/>
        </w:trPr>
        <w:tc>
          <w:tcPr>
            <w:tcW w:type="dxa" w:w="78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C-2</w:t>
            </w:r>
          </w:p>
        </w:tc>
        <w:tc>
          <w:tcPr>
            <w:tcW w:type="dxa" w:w="117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 8-B</w:t>
            </w:r>
          </w:p>
        </w:tc>
        <w:tc>
          <w:tcPr>
            <w:tcW w:type="dxa" w:w="779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State precisely which processing is performed on infrastructure controlled by the department and which is sent to external metered services under Provision 9; and give, for each external service, the data that leaves departmental control, where it is processed, how long it is retained and the contractual position on its use for model training.</w:t>
            </w:r>
          </w:p>
        </w:tc>
      </w:tr>
      <w:tr>
        <w:trPr>
          <w:cantSplit/>
          <w:tblHeader w:val="false"/>
        </w:trPr>
        <w:tc>
          <w:tcPr>
            <w:tcW w:type="dxa" w:w="78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C-3</w:t>
            </w:r>
          </w:p>
        </w:tc>
        <w:tc>
          <w:tcPr>
            <w:tcW w:type="dxa" w:w="117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w:t>
            </w:r>
          </w:p>
        </w:tc>
        <w:tc>
          <w:tcPr>
            <w:tcW w:type="dxa" w:w="779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State how the platform will integrate with the Government’s MahaAI, Sarvam and Indus platforms, as objective 8 of the departmental note requires, and whether such integration is within the offered value.</w:t>
            </w:r>
          </w:p>
        </w:tc>
      </w:tr>
      <w:tr>
        <w:trPr>
          <w:cantSplit/>
          <w:tblHeader w:val="false"/>
        </w:trPr>
        <w:tc>
          <w:tcPr>
            <w:tcW w:type="dxa" w:w="78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C-4</w:t>
            </w:r>
          </w:p>
        </w:tc>
        <w:tc>
          <w:tcPr>
            <w:tcW w:type="dxa" w:w="117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6 (item 24)</w:t>
            </w:r>
          </w:p>
        </w:tc>
        <w:tc>
          <w:tcPr>
            <w:tcW w:type="dxa" w:w="779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Component 3 offers English and Hindi translation. State the further Indian and international languages that can be added, the quality validation proposed for each, and whether their addition is within the offered value or is a separately chargeable change.</w:t>
            </w:r>
          </w:p>
        </w:tc>
      </w:tr>
      <w:tr>
        <w:trPr>
          <w:cantSplit/>
          <w:tblHeader w:val="false"/>
        </w:trPr>
        <w:tc>
          <w:tcPr>
            <w:tcW w:type="dxa" w:w="78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C-5</w:t>
            </w:r>
          </w:p>
        </w:tc>
        <w:tc>
          <w:tcPr>
            <w:tcW w:type="dxa" w:w="117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6 (item 28)</w:t>
            </w:r>
          </w:p>
        </w:tc>
        <w:tc>
          <w:tcPr>
            <w:tcW w:type="dxa" w:w="779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State whether historical comparison and fact-checking against Mahasagar and other official sources is within scope, what departmental access is required for it, and in which release it is delivered.</w:t>
            </w:r>
          </w:p>
        </w:tc>
      </w:tr>
      <w:tr>
        <w:trPr>
          <w:cantSplit/>
          <w:tblHeader w:val="false"/>
        </w:trPr>
        <w:tc>
          <w:tcPr>
            <w:tcW w:type="dxa" w:w="78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C-6</w:t>
            </w:r>
          </w:p>
        </w:tc>
        <w:tc>
          <w:tcPr>
            <w:tcW w:type="dxa" w:w="117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6 (item 26), 9.5</w:t>
            </w:r>
          </w:p>
        </w:tc>
        <w:tc>
          <w:tcPr>
            <w:tcW w:type="dxa" w:w="779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State the newspaper, e-paper and clipping sources required for Component 6, the estimated annual licensing cost of each, and the minimum set required for the component to be accepted.</w:t>
            </w:r>
          </w:p>
        </w:tc>
      </w:tr>
      <w:tr>
        <w:trPr>
          <w:cantSplit/>
          <w:tblHeader w:val="false"/>
        </w:trPr>
        <w:tc>
          <w:tcPr>
            <w:tcW w:type="dxa" w:w="78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C-7</w:t>
            </w:r>
          </w:p>
        </w:tc>
        <w:tc>
          <w:tcPr>
            <w:tcW w:type="dxa" w:w="117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7.1</w:t>
            </w:r>
          </w:p>
        </w:tc>
        <w:tc>
          <w:tcPr>
            <w:tcW w:type="dxa" w:w="779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Explain how the reduction of ₹18 lakh against the video block and ₹23 lakh against the assistant, history and administration block is achieved without narrowing the scope described at Annexure A6, A7, A9, A10 and A11 of the departmental note; and confirm that the whole of that Annexure scope is delivered at the offered value.</w:t>
            </w:r>
          </w:p>
        </w:tc>
      </w:tr>
      <w:tr>
        <w:trPr>
          <w:cantSplit/>
          <w:tblHeader w:val="false"/>
        </w:trPr>
        <w:tc>
          <w:tcPr>
            <w:tcW w:type="dxa" w:w="78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C-8</w:t>
            </w:r>
          </w:p>
        </w:tc>
        <w:tc>
          <w:tcPr>
            <w:tcW w:type="dxa" w:w="117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9.3</w:t>
            </w:r>
          </w:p>
        </w:tc>
        <w:tc>
          <w:tcPr>
            <w:tcW w:type="dxa" w:w="779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Confirm acceptance of payment against acceptance of the four scheduled releases in place of a single payment at the end of Month 1.</w:t>
            </w:r>
          </w:p>
        </w:tc>
      </w:tr>
      <w:tr>
        <w:trPr>
          <w:cantSplit/>
          <w:tblHeader w:val="false"/>
        </w:trPr>
        <w:tc>
          <w:tcPr>
            <w:tcW w:type="dxa" w:w="78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C-9</w:t>
            </w:r>
          </w:p>
        </w:tc>
        <w:tc>
          <w:tcPr>
            <w:tcW w:type="dxa" w:w="117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8-E</w:t>
            </w:r>
          </w:p>
        </w:tc>
        <w:tc>
          <w:tcPr>
            <w:tcW w:type="dxa" w:w="779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Provide the curricula vitae of the two professionals proposed for deployment at headquarters, the equipment to be provided with them, the notice period for replacement, and the qualifications that a replacement must meet.</w:t>
            </w:r>
          </w:p>
        </w:tc>
      </w:tr>
      <w:tr>
        <w:trPr>
          <w:cantSplit/>
          <w:tblHeader w:val="false"/>
        </w:trPr>
        <w:tc>
          <w:tcPr>
            <w:tcW w:type="dxa" w:w="78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C-10</w:t>
            </w:r>
          </w:p>
        </w:tc>
        <w:tc>
          <w:tcPr>
            <w:tcW w:type="dxa" w:w="117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7.2</w:t>
            </w:r>
          </w:p>
        </w:tc>
        <w:tc>
          <w:tcPr>
            <w:tcW w:type="dxa" w:w="779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State the minimum standing engineering strength maintained against the central engineering and MLOps line of ₹25 lakh, and the response and escalation arrangement for matters referred by the on-site team.</w:t>
            </w:r>
          </w:p>
        </w:tc>
      </w:tr>
      <w:tr>
        <w:trPr>
          <w:cantSplit/>
          <w:tblHeader w:val="false"/>
        </w:trPr>
        <w:tc>
          <w:tcPr>
            <w:tcW w:type="dxa" w:w="78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C-11</w:t>
            </w:r>
          </w:p>
        </w:tc>
        <w:tc>
          <w:tcPr>
            <w:tcW w:type="dxa" w:w="117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8-H</w:t>
            </w:r>
          </w:p>
        </w:tc>
        <w:tc>
          <w:tcPr>
            <w:tcW w:type="dxa" w:w="779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State the ownership of the source code, model configurations, prompts, evaluation datasets, glossary, templates, embeddings and all departmental data; the licence granted to the department; and the arrangements for transition, handover and continued departmental use at the end of the term or on earlier termination.</w:t>
            </w:r>
          </w:p>
        </w:tc>
      </w:tr>
      <w:tr>
        <w:trPr>
          <w:cantSplit/>
          <w:tblHeader w:val="false"/>
        </w:trPr>
        <w:tc>
          <w:tcPr>
            <w:tcW w:type="dxa" w:w="78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C-12</w:t>
            </w:r>
          </w:p>
        </w:tc>
        <w:tc>
          <w:tcPr>
            <w:tcW w:type="dxa" w:w="117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8-F, 9.4</w:t>
            </w:r>
          </w:p>
        </w:tc>
        <w:tc>
          <w:tcPr>
            <w:tcW w:type="dxa" w:w="779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State measurable service levels — availability, response and resolution times by severity, and turnaround for each class of output — with the deductions applicable on failure; and confirm that the amount under Provision 9 is payable only against metered consumption reported and certified, that any unconsumed balance is not payable, and that consumption above the ceiling requires prior written approval.</w:t>
            </w:r>
          </w:p>
        </w:tc>
      </w:tr>
    </w:tbl>
    <w:p>
      <w:r>
        <w:br w:type="page"/>
      </w:r>
    </w:p>
    <w:p>
      <w:pPr>
        <w:pStyle w:val="Heading1"/>
        <w:keepNext/>
        <w:pBdr>
          <w:bottom w:val="single" w:color="17365D" w:sz="8" w:space="6"/>
        </w:pBdr>
        <w:spacing w:after="160" w:before="0"/>
      </w:pPr>
      <w:r>
        <w:rPr>
          <w:rFonts w:ascii="Cambria" w:cs="Cambria" w:eastAsia="Cambria" w:hAnsi="Cambria"/>
          <w:b/>
          <w:bCs/>
          <w:color w:val="17365D"/>
          <w:sz w:val="26"/>
          <w:szCs w:val="26"/>
        </w:rPr>
        <w:t xml:space="preserve">11.  Findings</w:t>
      </w:r>
    </w:p>
    <w:p>
      <w:pPr>
        <w:pStyle w:val="ListParagraph"/>
        <w:numPr>
          <w:ilvl w:val="0"/>
          <w:numId w:val="2"/>
        </w:numPr>
        <w:spacing w:after="100" w:line="264"/>
        <w:jc w:val="both"/>
      </w:pPr>
      <w:r>
        <w:rPr>
          <w:rFonts w:ascii="Calibri" w:cs="Calibri" w:eastAsia="Calibri" w:hAnsi="Calibri"/>
          <w:b w:val="false"/>
          <w:bCs w:val="false"/>
          <w:i w:val="false"/>
          <w:iCs w:val="false"/>
          <w:color w:val="1A1A1A"/>
          <w:sz w:val="20"/>
          <w:szCs w:val="20"/>
        </w:rPr>
        <w:t xml:space="preserve">The proposal addresses every one of the thirty items of the scope of work in the departmental note. Twenty-seven are fully complied with and three are partly complied with. No requirement is omitted.</w:t>
      </w:r>
    </w:p>
    <w:p>
      <w:pPr>
        <w:pStyle w:val="ListParagraph"/>
        <w:numPr>
          <w:ilvl w:val="0"/>
          <w:numId w:val="2"/>
        </w:numPr>
        <w:spacing w:after="100" w:line="264"/>
        <w:jc w:val="both"/>
      </w:pPr>
      <w:r>
        <w:rPr>
          <w:rFonts w:ascii="Calibri" w:cs="Calibri" w:eastAsia="Calibri" w:hAnsi="Calibri"/>
          <w:b w:val="false"/>
          <w:bCs w:val="false"/>
          <w:i w:val="false"/>
          <w:iCs w:val="false"/>
          <w:color w:val="1A1A1A"/>
          <w:sz w:val="20"/>
          <w:szCs w:val="20"/>
        </w:rPr>
        <w:t xml:space="preserve">On the criteria at Annexure I the proposal secures 77 of the 90 marks presently assessable, which is above the recommended qualifying score. It is assessed as technically responsive, subject to the clarifications at Section 10.</w:t>
      </w:r>
    </w:p>
    <w:p>
      <w:pPr>
        <w:pStyle w:val="ListParagraph"/>
        <w:numPr>
          <w:ilvl w:val="0"/>
          <w:numId w:val="2"/>
        </w:numPr>
        <w:spacing w:after="100" w:line="264"/>
        <w:jc w:val="both"/>
      </w:pPr>
      <w:r>
        <w:rPr>
          <w:rFonts w:ascii="Calibri" w:cs="Calibri" w:eastAsia="Calibri" w:hAnsi="Calibri"/>
          <w:b w:val="false"/>
          <w:bCs w:val="false"/>
          <w:i w:val="false"/>
          <w:iCs w:val="false"/>
          <w:color w:val="1A1A1A"/>
          <w:sz w:val="20"/>
          <w:szCs w:val="20"/>
        </w:rPr>
        <w:t xml:space="preserve">The proposal offers a mobile application on Android and iOS as a separately priced component. The departmental note asked for a responsive web and installable progressive web application. To this extent the offer exceeds the requirement.</w:t>
      </w:r>
    </w:p>
    <w:p>
      <w:pPr>
        <w:pStyle w:val="ListParagraph"/>
        <w:numPr>
          <w:ilvl w:val="0"/>
          <w:numId w:val="2"/>
        </w:numPr>
        <w:spacing w:after="100" w:line="264"/>
        <w:jc w:val="both"/>
      </w:pPr>
      <w:r>
        <w:rPr>
          <w:rFonts w:ascii="Calibri" w:cs="Calibri" w:eastAsia="Calibri" w:hAnsi="Calibri"/>
          <w:b w:val="false"/>
          <w:bCs w:val="false"/>
          <w:i w:val="false"/>
          <w:iCs w:val="false"/>
          <w:color w:val="1A1A1A"/>
          <w:sz w:val="20"/>
          <w:szCs w:val="20"/>
        </w:rPr>
        <w:t xml:space="preserve">The component-wise acceptance summary annexed to the proposal states the condition on which each component is to be accepted. This is a material strength and is recommended for adoption, unaltered, as the acceptance schedule of the contract.</w:t>
      </w:r>
    </w:p>
    <w:p>
      <w:pPr>
        <w:pStyle w:val="ListParagraph"/>
        <w:numPr>
          <w:ilvl w:val="0"/>
          <w:numId w:val="2"/>
        </w:numPr>
        <w:spacing w:after="100" w:line="264"/>
        <w:jc w:val="both"/>
      </w:pPr>
      <w:r>
        <w:rPr>
          <w:rFonts w:ascii="Calibri" w:cs="Calibri" w:eastAsia="Calibri" w:hAnsi="Calibri"/>
          <w:b w:val="false"/>
          <w:bCs w:val="false"/>
          <w:i w:val="false"/>
          <w:iCs w:val="false"/>
          <w:color w:val="1A1A1A"/>
          <w:sz w:val="20"/>
          <w:szCs w:val="20"/>
        </w:rPr>
        <w:t xml:space="preserve">The financial offer is equal to the departmental estimate in every particular. This gives the department no evidence of the market price and no price discovery, and is a reason for following the e-tender process which the departmental note provides for.</w:t>
      </w:r>
    </w:p>
    <w:p>
      <w:pPr>
        <w:pStyle w:val="ListParagraph"/>
        <w:numPr>
          <w:ilvl w:val="0"/>
          <w:numId w:val="2"/>
        </w:numPr>
        <w:spacing w:after="100" w:line="264"/>
        <w:jc w:val="both"/>
      </w:pPr>
      <w:r>
        <w:rPr>
          <w:rFonts w:ascii="Calibri" w:cs="Calibri" w:eastAsia="Calibri" w:hAnsi="Calibri"/>
          <w:b w:val="false"/>
          <w:bCs w:val="false"/>
          <w:i w:val="false"/>
          <w:iCs w:val="false"/>
          <w:color w:val="1A1A1A"/>
          <w:sz w:val="20"/>
          <w:szCs w:val="20"/>
        </w:rPr>
        <w:t xml:space="preserve">The approved payment structure would release 75 per cent of the contract value at the end of Month 1, at which point three of the eight product components have not been delivered. The proposal itself offers a release-linked alternative, which should be adopted.</w:t>
      </w:r>
    </w:p>
    <w:p>
      <w:pPr>
        <w:pStyle w:val="ListParagraph"/>
        <w:numPr>
          <w:ilvl w:val="0"/>
          <w:numId w:val="2"/>
        </w:numPr>
        <w:spacing w:after="100" w:line="264"/>
        <w:jc w:val="both"/>
      </w:pPr>
      <w:r>
        <w:rPr>
          <w:rFonts w:ascii="Calibri" w:cs="Calibri" w:eastAsia="Calibri" w:hAnsi="Calibri"/>
          <w:b w:val="false"/>
          <w:bCs w:val="false"/>
          <w:i w:val="false"/>
          <w:iCs w:val="false"/>
          <w:color w:val="1A1A1A"/>
          <w:sz w:val="20"/>
          <w:szCs w:val="20"/>
        </w:rPr>
        <w:t xml:space="preserve">The boundary between processing performed on departmental infrastructure and processing sent to external metered services is not stated. Since objectives 1, 4 and 7 of the departmental note are directed precisely at this question, it must be settled in writing before any commitment.</w:t>
      </w:r>
    </w:p>
    <w:p>
      <w:pPr>
        <w:pStyle w:val="ListParagraph"/>
        <w:numPr>
          <w:ilvl w:val="0"/>
          <w:numId w:val="2"/>
        </w:numPr>
        <w:spacing w:after="100" w:line="264"/>
        <w:jc w:val="both"/>
      </w:pPr>
      <w:r>
        <w:rPr>
          <w:rFonts w:ascii="Calibri" w:cs="Calibri" w:eastAsia="Calibri" w:hAnsi="Calibri"/>
          <w:b w:val="false"/>
          <w:bCs w:val="false"/>
          <w:i w:val="false"/>
          <w:iCs w:val="false"/>
          <w:color w:val="1A1A1A"/>
          <w:sz w:val="20"/>
          <w:szCs w:val="20"/>
        </w:rPr>
        <w:t xml:space="preserve">Ownership of source code, model configuration, glossary and data, and the arrangements for transition and exit, are not stated and must be settled at contracting.</w:t>
      </w:r>
    </w:p>
    <w:p>
      <w:pPr>
        <w:pStyle w:val="ListParagraph"/>
        <w:numPr>
          <w:ilvl w:val="0"/>
          <w:numId w:val="2"/>
        </w:numPr>
        <w:spacing w:after="100" w:line="264"/>
        <w:jc w:val="both"/>
      </w:pPr>
      <w:r>
        <w:rPr>
          <w:rFonts w:ascii="Calibri" w:cs="Calibri" w:eastAsia="Calibri" w:hAnsi="Calibri"/>
          <w:b w:val="false"/>
          <w:bCs w:val="false"/>
          <w:i w:val="false"/>
          <w:iCs w:val="false"/>
          <w:color w:val="1A1A1A"/>
          <w:sz w:val="20"/>
          <w:szCs w:val="20"/>
        </w:rPr>
        <w:t xml:space="preserve">Component 6 depends on newspaper and e-paper licences which the proposal excludes and which are not provided for in the estimate of ₹5.90 crore.</w:t>
      </w:r>
    </w:p>
    <w:p>
      <w:pPr>
        <w:pStyle w:val="ListParagraph"/>
        <w:numPr>
          <w:ilvl w:val="0"/>
          <w:numId w:val="2"/>
        </w:numPr>
        <w:spacing w:after="100" w:line="264"/>
        <w:jc w:val="both"/>
      </w:pPr>
      <w:r>
        <w:rPr>
          <w:rFonts w:ascii="Calibri" w:cs="Calibri" w:eastAsia="Calibri" w:hAnsi="Calibri"/>
          <w:b w:val="false"/>
          <w:bCs w:val="false"/>
          <w:i w:val="false"/>
          <w:iCs w:val="false"/>
          <w:color w:val="1A1A1A"/>
          <w:sz w:val="20"/>
          <w:szCs w:val="20"/>
        </w:rPr>
        <w:t xml:space="preserve">Stage I qualification cannot be concluded on the material available. The documents at Section 4 are required.</w:t>
      </w:r>
    </w:p>
    <w:p>
      <w:pPr>
        <w:pStyle w:val="Heading1"/>
        <w:keepNext/>
        <w:pBdr>
          <w:bottom w:val="single" w:color="17365D" w:sz="8" w:space="6"/>
        </w:pBdr>
        <w:spacing w:after="160" w:before="360"/>
      </w:pPr>
      <w:r>
        <w:rPr>
          <w:rFonts w:ascii="Cambria" w:cs="Cambria" w:eastAsia="Cambria" w:hAnsi="Cambria"/>
          <w:b/>
          <w:bCs/>
          <w:color w:val="17365D"/>
          <w:sz w:val="26"/>
          <w:szCs w:val="26"/>
        </w:rPr>
        <w:t xml:space="preserve">12.  Recommendation</w:t>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It is respectfully submitted that the competent authority may be pleased to consider the following.</w:t>
      </w:r>
    </w:p>
    <w:p>
      <w:pPr>
        <w:pStyle w:val="ListParagraph"/>
        <w:numPr>
          <w:ilvl w:val="0"/>
          <w:numId w:val="3"/>
        </w:numPr>
        <w:spacing w:after="100" w:line="264"/>
        <w:jc w:val="both"/>
      </w:pPr>
      <w:r>
        <w:rPr>
          <w:rFonts w:ascii="Calibri" w:cs="Calibri" w:eastAsia="Calibri" w:hAnsi="Calibri"/>
          <w:b w:val="false"/>
          <w:bCs w:val="false"/>
          <w:i w:val="false"/>
          <w:iCs w:val="false"/>
          <w:color w:val="1A1A1A"/>
          <w:sz w:val="20"/>
          <w:szCs w:val="20"/>
        </w:rPr>
        <w:t xml:space="preserve">Adopt this evaluation as the department’s technical examination of the proposal received, and record that the proposal is technically responsive, subject to Section 10 and to completion of Stage I.</w:t>
      </w:r>
    </w:p>
    <w:p>
      <w:pPr>
        <w:pStyle w:val="ListParagraph"/>
        <w:numPr>
          <w:ilvl w:val="0"/>
          <w:numId w:val="3"/>
        </w:numPr>
        <w:spacing w:after="100" w:line="264"/>
        <w:jc w:val="both"/>
      </w:pPr>
      <w:r>
        <w:rPr>
          <w:rFonts w:ascii="Calibri" w:cs="Calibri" w:eastAsia="Calibri" w:hAnsi="Calibri"/>
          <w:b w:val="false"/>
          <w:bCs w:val="false"/>
          <w:i w:val="false"/>
          <w:iCs w:val="false"/>
          <w:color w:val="1A1A1A"/>
          <w:sz w:val="20"/>
          <w:szCs w:val="20"/>
        </w:rPr>
        <w:t xml:space="preserve">Proceed with the e-tender process on a quality-and-cost basis as the departmental note provides, using the qualification requirements at Section 4, the criteria and weights at Annexure I, and the acceptance conditions at Annexure II of the proposal as the basis of the tender document. This evaluation may be treated as validating the departmental estimate of ₹5.90 crore.</w:t>
      </w:r>
    </w:p>
    <w:p>
      <w:pPr>
        <w:pStyle w:val="ListParagraph"/>
        <w:numPr>
          <w:ilvl w:val="0"/>
          <w:numId w:val="3"/>
        </w:numPr>
        <w:spacing w:after="100" w:line="264"/>
        <w:jc w:val="both"/>
      </w:pPr>
      <w:r>
        <w:rPr>
          <w:rFonts w:ascii="Calibri" w:cs="Calibri" w:eastAsia="Calibri" w:hAnsi="Calibri"/>
          <w:b w:val="false"/>
          <w:bCs w:val="false"/>
          <w:i w:val="false"/>
          <w:iCs w:val="false"/>
          <w:color w:val="1A1A1A"/>
          <w:sz w:val="20"/>
          <w:szCs w:val="20"/>
        </w:rPr>
        <w:t xml:space="preserve">Hold a working demonstration of the platform on the department’s own material — a meeting recording, a scanned Government Resolution and a press note — before the technical marks under criterion G are finally recorded. A demonstration on the department’s own material, rather than on prepared examples, is the only reliable test of the Marathi capability on which this procurement turns.</w:t>
      </w:r>
    </w:p>
    <w:p>
      <w:pPr>
        <w:pStyle w:val="ListParagraph"/>
        <w:numPr>
          <w:ilvl w:val="0"/>
          <w:numId w:val="3"/>
        </w:numPr>
        <w:spacing w:after="100" w:line="264"/>
        <w:jc w:val="both"/>
      </w:pPr>
      <w:r>
        <w:rPr>
          <w:rFonts w:ascii="Calibri" w:cs="Calibri" w:eastAsia="Calibri" w:hAnsi="Calibri"/>
          <w:b w:val="false"/>
          <w:bCs w:val="false"/>
          <w:i w:val="false"/>
          <w:iCs w:val="false"/>
          <w:color w:val="1A1A1A"/>
          <w:sz w:val="20"/>
          <w:szCs w:val="20"/>
        </w:rPr>
        <w:t xml:space="preserve">Obtain the clarifications C-1 to C-12 at Section 10 in writing, and place them on record with this report.</w:t>
      </w:r>
    </w:p>
    <w:p>
      <w:pPr>
        <w:pStyle w:val="ListParagraph"/>
        <w:numPr>
          <w:ilvl w:val="0"/>
          <w:numId w:val="3"/>
        </w:numPr>
        <w:spacing w:after="100" w:line="264"/>
        <w:jc w:val="both"/>
      </w:pPr>
      <w:r>
        <w:rPr>
          <w:rFonts w:ascii="Calibri" w:cs="Calibri" w:eastAsia="Calibri" w:hAnsi="Calibri"/>
          <w:b w:val="false"/>
          <w:bCs w:val="false"/>
          <w:i w:val="false"/>
          <w:iCs w:val="false"/>
          <w:color w:val="1A1A1A"/>
          <w:sz w:val="20"/>
          <w:szCs w:val="20"/>
        </w:rPr>
        <w:t xml:space="preserve">Adopt payment against acceptance of the four scheduled releases in place of a single payment at the end of Month 1, and provide that the amount attributable to Provision 9 is payable only against metered consumption reported and certified.</w:t>
      </w:r>
    </w:p>
    <w:p>
      <w:pPr>
        <w:pStyle w:val="ListParagraph"/>
        <w:numPr>
          <w:ilvl w:val="0"/>
          <w:numId w:val="3"/>
        </w:numPr>
        <w:spacing w:after="100" w:line="264"/>
        <w:jc w:val="both"/>
      </w:pPr>
      <w:r>
        <w:rPr>
          <w:rFonts w:ascii="Calibri" w:cs="Calibri" w:eastAsia="Calibri" w:hAnsi="Calibri"/>
          <w:b w:val="false"/>
          <w:bCs w:val="false"/>
          <w:i w:val="false"/>
          <w:iCs w:val="false"/>
          <w:color w:val="1A1A1A"/>
          <w:sz w:val="20"/>
          <w:szCs w:val="20"/>
        </w:rPr>
        <w:t xml:space="preserve">Obtain a performance security of five to ten per cent of the contract value, valid through the term and for three months beyond it, and provide for measurable service levels with deductions.</w:t>
      </w:r>
    </w:p>
    <w:p>
      <w:pPr>
        <w:pStyle w:val="ListParagraph"/>
        <w:numPr>
          <w:ilvl w:val="0"/>
          <w:numId w:val="3"/>
        </w:numPr>
        <w:spacing w:after="100" w:line="264"/>
        <w:jc w:val="both"/>
      </w:pPr>
      <w:r>
        <w:rPr>
          <w:rFonts w:ascii="Calibri" w:cs="Calibri" w:eastAsia="Calibri" w:hAnsi="Calibri"/>
          <w:b w:val="false"/>
          <w:bCs w:val="false"/>
          <w:i w:val="false"/>
          <w:iCs w:val="false"/>
          <w:color w:val="1A1A1A"/>
          <w:sz w:val="20"/>
          <w:szCs w:val="20"/>
        </w:rPr>
        <w:t xml:space="preserve">Obtain, before the work order, written confirmation from the Electronics, Information Technology and Artificial Intelligence Department of the availability and timing of the GPU compute, storage, networking, power-protection and cooling infrastructure, since Release 1 in Month 1 depends entirely upon it.</w:t>
      </w:r>
    </w:p>
    <w:p>
      <w:pPr>
        <w:pStyle w:val="ListParagraph"/>
        <w:numPr>
          <w:ilvl w:val="0"/>
          <w:numId w:val="3"/>
        </w:numPr>
        <w:spacing w:after="100" w:line="264"/>
        <w:jc w:val="both"/>
      </w:pPr>
      <w:r>
        <w:rPr>
          <w:rFonts w:ascii="Calibri" w:cs="Calibri" w:eastAsia="Calibri" w:hAnsi="Calibri"/>
          <w:b w:val="false"/>
          <w:bCs w:val="false"/>
          <w:i w:val="false"/>
          <w:iCs w:val="false"/>
          <w:color w:val="1A1A1A"/>
          <w:sz w:val="20"/>
          <w:szCs w:val="20"/>
        </w:rPr>
        <w:t xml:space="preserve">Provide expressly in the contract that departmental information shall not be used to train any publicly available model, that final editorial and publication authority shall remain with authorised officers of the Directorate, and that the department shall own the source code, model configuration, glossary, templates and all data, with a perpetual right of use on expiry or termination.</w:t>
      </w:r>
    </w:p>
    <w:p>
      <w:pPr>
        <w:pStyle w:val="ListParagraph"/>
        <w:numPr>
          <w:ilvl w:val="0"/>
          <w:numId w:val="3"/>
        </w:numPr>
        <w:spacing w:after="100" w:line="264"/>
        <w:jc w:val="both"/>
      </w:pPr>
      <w:r>
        <w:rPr>
          <w:rFonts w:ascii="Calibri" w:cs="Calibri" w:eastAsia="Calibri" w:hAnsi="Calibri"/>
          <w:b w:val="false"/>
          <w:bCs w:val="false"/>
          <w:i w:val="false"/>
          <w:iCs w:val="false"/>
          <w:color w:val="1A1A1A"/>
          <w:sz w:val="20"/>
          <w:szCs w:val="20"/>
        </w:rPr>
        <w:t xml:space="preserve">Obtain an estimate of the newspaper and e-paper licensing cost for Component 6 and provide for it separately, or exclude the component from the first year of the engagement.</w:t>
      </w:r>
    </w:p>
    <w:p>
      <w:pPr>
        <w:spacing w:after="240"/>
      </w:pPr>
      <w:r>
        <w:rPr>
          <w:sz w:val="12"/>
          <w:szCs w:val="12"/>
        </w:rPr>
        <w:t xml:space="preserve"/>
      </w:r>
    </w:p>
    <w:p>
      <w:pPr>
        <w:keepNext w:val="false"/>
        <w:spacing w:after="120" w:before="0" w:line="264"/>
        <w:jc w:val="both"/>
      </w:pPr>
      <w:r>
        <w:rPr>
          <w:rFonts w:ascii="Calibri" w:cs="Calibri" w:eastAsia="Calibri" w:hAnsi="Calibri"/>
          <w:b/>
          <w:bCs/>
          <w:i w:val="false"/>
          <w:iCs w:val="false"/>
          <w:caps w:val="false"/>
          <w:color w:val="1A1A1A"/>
          <w:sz w:val="20"/>
          <w:szCs w:val="20"/>
        </w:rPr>
        <w:t xml:space="preserve">Submitted for orders.</w:t>
      </w:r>
    </w:p>
    <w:p>
      <w:pPr>
        <w:spacing w:after="320"/>
      </w:pPr>
      <w:r>
        <w:rPr>
          <w:sz w:val="12"/>
          <w:szCs w:val="12"/>
        </w:rPr>
        <w:t xml:space="preserve"/>
      </w:r>
    </w:p>
    <w:tbl>
      <w:tblPr>
        <w:tblW w:type="dxa" w:w="9746"/>
        <w:tblBorders>
          <w:top w:val="single" w:color="B9C0C7" w:sz="4"/>
          <w:left w:val="single" w:color="B9C0C7" w:sz="4"/>
          <w:bottom w:val="single" w:color="B9C0C7" w:sz="4"/>
          <w:right w:val="single" w:color="B9C0C7" w:sz="4"/>
          <w:insideH w:val="single" w:color="B9C0C7" w:sz="4"/>
          <w:insideV w:val="single" w:color="B9C0C7" w:sz="4"/>
        </w:tblBorders>
        <w:tblLayout w:type="fixed"/>
      </w:tblPr>
      <w:tblGrid>
        <w:gridCol w:w="4873"/>
        <w:gridCol w:w="4873"/>
      </w:tblGrid>
      <w:tr>
        <w:trPr>
          <w:cantSplit/>
          <w:tblHeader w:val="false"/>
        </w:trPr>
        <w:tc>
          <w:tcPr>
            <w:tcW w:type="dxa" w:w="487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p>
            <w:pPr>
              <w:spacing w:after="40" w:before="40" w:line="240"/>
              <w:jc w:val="left"/>
            </w:pPr>
            <w:r>
              <w:rPr>
                <w:rFonts w:ascii="Calibri" w:cs="Calibri" w:eastAsia="Calibri" w:hAnsi="Calibri"/>
                <w:b w:val="false"/>
                <w:bCs w:val="false"/>
                <w:i w:val="false"/>
                <w:iCs w:val="false"/>
                <w:color w:val="1A1A1A"/>
                <w:sz w:val="17"/>
                <w:szCs w:val="17"/>
              </w:rPr>
              <w:t xml:space="preserve"/>
            </w:r>
          </w:p>
          <w:p>
            <w:pPr>
              <w:spacing w:after="40" w:before="40" w:line="240"/>
              <w:jc w:val="left"/>
            </w:pPr>
            <w:r>
              <w:rPr>
                <w:rFonts w:ascii="Calibri" w:cs="Calibri" w:eastAsia="Calibri" w:hAnsi="Calibri"/>
                <w:b w:val="false"/>
                <w:bCs w:val="false"/>
                <w:i w:val="false"/>
                <w:iCs w:val="false"/>
                <w:color w:val="1A1A1A"/>
                <w:sz w:val="17"/>
                <w:szCs w:val="17"/>
              </w:rPr>
              <w:t xml:space="preserve">_______________________________</w:t>
            </w:r>
          </w:p>
          <w:p>
            <w:pPr>
              <w:spacing w:after="40" w:before="40" w:line="240"/>
              <w:jc w:val="left"/>
            </w:pPr>
            <w:r>
              <w:rPr>
                <w:rFonts w:ascii="Calibri" w:cs="Calibri" w:eastAsia="Calibri" w:hAnsi="Calibri"/>
                <w:b w:val="false"/>
                <w:bCs w:val="false"/>
                <w:i w:val="false"/>
                <w:iCs w:val="false"/>
                <w:color w:val="1A1A1A"/>
                <w:sz w:val="17"/>
                <w:szCs w:val="17"/>
              </w:rPr>
              <w:t xml:space="preserve">Senior Assistant Director (New Media)</w:t>
            </w:r>
          </w:p>
        </w:tc>
        <w:tc>
          <w:tcPr>
            <w:tcW w:type="dxa" w:w="487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p>
            <w:pPr>
              <w:spacing w:after="40" w:before="40" w:line="240"/>
              <w:jc w:val="left"/>
            </w:pPr>
            <w:r>
              <w:rPr>
                <w:rFonts w:ascii="Calibri" w:cs="Calibri" w:eastAsia="Calibri" w:hAnsi="Calibri"/>
                <w:b w:val="false"/>
                <w:bCs w:val="false"/>
                <w:i w:val="false"/>
                <w:iCs w:val="false"/>
                <w:color w:val="1A1A1A"/>
                <w:sz w:val="17"/>
                <w:szCs w:val="17"/>
              </w:rPr>
              <w:t xml:space="preserve"/>
            </w:r>
          </w:p>
          <w:p>
            <w:pPr>
              <w:spacing w:after="40" w:before="40" w:line="240"/>
              <w:jc w:val="left"/>
            </w:pPr>
            <w:r>
              <w:rPr>
                <w:rFonts w:ascii="Calibri" w:cs="Calibri" w:eastAsia="Calibri" w:hAnsi="Calibri"/>
                <w:b w:val="false"/>
                <w:bCs w:val="false"/>
                <w:i w:val="false"/>
                <w:iCs w:val="false"/>
                <w:color w:val="1A1A1A"/>
                <w:sz w:val="17"/>
                <w:szCs w:val="17"/>
              </w:rPr>
              <w:t xml:space="preserve">_______________________________</w:t>
            </w:r>
          </w:p>
          <w:p>
            <w:pPr>
              <w:spacing w:after="40" w:before="40" w:line="240"/>
              <w:jc w:val="left"/>
            </w:pPr>
            <w:r>
              <w:rPr>
                <w:rFonts w:ascii="Calibri" w:cs="Calibri" w:eastAsia="Calibri" w:hAnsi="Calibri"/>
                <w:b w:val="false"/>
                <w:bCs w:val="false"/>
                <w:i w:val="false"/>
                <w:iCs w:val="false"/>
                <w:color w:val="1A1A1A"/>
                <w:sz w:val="17"/>
                <w:szCs w:val="17"/>
              </w:rPr>
              <w:t xml:space="preserve">Deputy Director (News)</w:t>
            </w:r>
          </w:p>
        </w:tc>
      </w:tr>
      <w:tr>
        <w:trPr>
          <w:cantSplit/>
          <w:tblHeader w:val="false"/>
        </w:trPr>
        <w:tc>
          <w:tcPr>
            <w:tcW w:type="dxa" w:w="487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p>
            <w:pPr>
              <w:spacing w:after="40" w:before="40" w:line="240"/>
              <w:jc w:val="left"/>
            </w:pPr>
            <w:r>
              <w:rPr>
                <w:rFonts w:ascii="Calibri" w:cs="Calibri" w:eastAsia="Calibri" w:hAnsi="Calibri"/>
                <w:b w:val="false"/>
                <w:bCs w:val="false"/>
                <w:i w:val="false"/>
                <w:iCs w:val="false"/>
                <w:color w:val="1A1A1A"/>
                <w:sz w:val="17"/>
                <w:szCs w:val="17"/>
              </w:rPr>
              <w:t xml:space="preserve"/>
            </w:r>
          </w:p>
          <w:p>
            <w:pPr>
              <w:spacing w:after="40" w:before="40" w:line="240"/>
              <w:jc w:val="left"/>
            </w:pPr>
            <w:r>
              <w:rPr>
                <w:rFonts w:ascii="Calibri" w:cs="Calibri" w:eastAsia="Calibri" w:hAnsi="Calibri"/>
                <w:b w:val="false"/>
                <w:bCs w:val="false"/>
                <w:i w:val="false"/>
                <w:iCs w:val="false"/>
                <w:color w:val="1A1A1A"/>
                <w:sz w:val="17"/>
                <w:szCs w:val="17"/>
              </w:rPr>
              <w:t xml:space="preserve">_______________________________</w:t>
            </w:r>
          </w:p>
          <w:p>
            <w:pPr>
              <w:spacing w:after="40" w:before="40" w:line="240"/>
              <w:jc w:val="left"/>
            </w:pPr>
            <w:r>
              <w:rPr>
                <w:rFonts w:ascii="Calibri" w:cs="Calibri" w:eastAsia="Calibri" w:hAnsi="Calibri"/>
                <w:b w:val="false"/>
                <w:bCs w:val="false"/>
                <w:i w:val="false"/>
                <w:iCs w:val="false"/>
                <w:color w:val="1A1A1A"/>
                <w:sz w:val="17"/>
                <w:szCs w:val="17"/>
              </w:rPr>
              <w:t xml:space="preserve">Deputy Director (Accounts)</w:t>
            </w:r>
          </w:p>
        </w:tc>
        <w:tc>
          <w:tcPr>
            <w:tcW w:type="dxa" w:w="487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p>
            <w:pPr>
              <w:spacing w:after="40" w:before="40" w:line="240"/>
              <w:jc w:val="left"/>
            </w:pPr>
            <w:r>
              <w:rPr>
                <w:rFonts w:ascii="Calibri" w:cs="Calibri" w:eastAsia="Calibri" w:hAnsi="Calibri"/>
                <w:b w:val="false"/>
                <w:bCs w:val="false"/>
                <w:i w:val="false"/>
                <w:iCs w:val="false"/>
                <w:color w:val="1A1A1A"/>
                <w:sz w:val="17"/>
                <w:szCs w:val="17"/>
              </w:rPr>
              <w:t xml:space="preserve"/>
            </w:r>
          </w:p>
          <w:p>
            <w:pPr>
              <w:spacing w:after="40" w:before="40" w:line="240"/>
              <w:jc w:val="left"/>
            </w:pPr>
            <w:r>
              <w:rPr>
                <w:rFonts w:ascii="Calibri" w:cs="Calibri" w:eastAsia="Calibri" w:hAnsi="Calibri"/>
                <w:b w:val="false"/>
                <w:bCs w:val="false"/>
                <w:i w:val="false"/>
                <w:iCs w:val="false"/>
                <w:color w:val="1A1A1A"/>
                <w:sz w:val="17"/>
                <w:szCs w:val="17"/>
              </w:rPr>
              <w:t xml:space="preserve">_______________________________</w:t>
            </w:r>
          </w:p>
          <w:p>
            <w:pPr>
              <w:spacing w:after="40" w:before="40" w:line="240"/>
              <w:jc w:val="left"/>
            </w:pPr>
            <w:r>
              <w:rPr>
                <w:rFonts w:ascii="Calibri" w:cs="Calibri" w:eastAsia="Calibri" w:hAnsi="Calibri"/>
                <w:b w:val="false"/>
                <w:bCs w:val="false"/>
                <w:i w:val="false"/>
                <w:iCs w:val="false"/>
                <w:color w:val="1A1A1A"/>
                <w:sz w:val="17"/>
                <w:szCs w:val="17"/>
              </w:rPr>
              <w:t xml:space="preserve">Director (Information) (Administration)</w:t>
            </w:r>
          </w:p>
        </w:tc>
      </w:tr>
    </w:tbl>
    <w:p>
      <w:pPr>
        <w:spacing w:after="200"/>
      </w:pPr>
      <w:r>
        <w:rPr>
          <w:sz w:val="12"/>
          <w:szCs w:val="12"/>
        </w:rPr>
        <w:t xml:space="preserve"/>
      </w:r>
    </w:p>
    <w:p>
      <w:pPr>
        <w:keepNext w:val="false"/>
        <w:spacing w:after="120" w:before="0" w:line="264"/>
        <w:jc w:val="center"/>
      </w:pPr>
      <w:r>
        <w:rPr>
          <w:rFonts w:ascii="Calibri" w:cs="Calibri" w:eastAsia="Calibri" w:hAnsi="Calibri"/>
          <w:b/>
          <w:bCs/>
          <w:i w:val="false"/>
          <w:iCs w:val="false"/>
          <w:caps w:val="false"/>
          <w:color w:val="1A1A1A"/>
          <w:sz w:val="20"/>
          <w:szCs w:val="20"/>
        </w:rPr>
        <w:t xml:space="preserve">Director General of Information and Public Relations</w:t>
      </w:r>
    </w:p>
    <w:p>
      <w:r>
        <w:br w:type="page"/>
      </w:r>
    </w:p>
    <w:p>
      <w:pPr>
        <w:pStyle w:val="Heading1"/>
        <w:keepNext/>
        <w:pBdr>
          <w:bottom w:val="single" w:color="17365D" w:sz="8" w:space="6"/>
        </w:pBdr>
        <w:spacing w:after="160" w:before="0"/>
      </w:pPr>
      <w:r>
        <w:rPr>
          <w:rFonts w:ascii="Cambria" w:cs="Cambria" w:eastAsia="Cambria" w:hAnsi="Cambria"/>
          <w:b/>
          <w:bCs/>
          <w:color w:val="17365D"/>
          <w:sz w:val="26"/>
          <w:szCs w:val="26"/>
        </w:rPr>
        <w:t xml:space="preserve">Annexure I — Evaluation criteria and marking scheme</w:t>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Recommended for adoption in the tender document. Technical evaluation carries 70 per cent weight and the financial offer 30 per cent, in accordance with the Government of Maharashtra’s guidance notes on model tender documents for implementation agencies.</w:t>
      </w:r>
    </w:p>
    <w:p>
      <w:pPr>
        <w:spacing w:after="80"/>
      </w:pPr>
      <w:r>
        <w:rPr>
          <w:sz w:val="12"/>
          <w:szCs w:val="12"/>
        </w:rPr>
        <w:t xml:space="preserve"/>
      </w:r>
    </w:p>
    <w:tbl>
      <w:tblPr>
        <w:tblW w:type="dxa" w:w="9746"/>
        <w:tblBorders>
          <w:top w:val="single" w:color="B9C0C7" w:sz="4"/>
          <w:left w:val="single" w:color="B9C0C7" w:sz="4"/>
          <w:bottom w:val="single" w:color="B9C0C7" w:sz="4"/>
          <w:right w:val="single" w:color="B9C0C7" w:sz="4"/>
          <w:insideH w:val="single" w:color="B9C0C7" w:sz="4"/>
          <w:insideV w:val="single" w:color="B9C0C7" w:sz="4"/>
        </w:tblBorders>
        <w:tblLayout w:type="fixed"/>
      </w:tblPr>
      <w:tblGrid>
        <w:gridCol w:w="585"/>
        <w:gridCol w:w="2924"/>
        <w:gridCol w:w="975"/>
        <w:gridCol w:w="5263"/>
      </w:tblGrid>
      <w:tr>
        <w:trPr>
          <w:cantSplit/>
          <w:tblHeader/>
        </w:trPr>
        <w:tc>
          <w:tcPr>
            <w:tcW w:type="dxa" w:w="585"/>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No.</w:t>
            </w:r>
          </w:p>
        </w:tc>
        <w:tc>
          <w:tcPr>
            <w:tcW w:type="dxa" w:w="2924"/>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Criterion</w:t>
            </w:r>
          </w:p>
        </w:tc>
        <w:tc>
          <w:tcPr>
            <w:tcW w:type="dxa" w:w="975"/>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Marks</w:t>
            </w:r>
          </w:p>
        </w:tc>
        <w:tc>
          <w:tcPr>
            <w:tcW w:type="dxa" w:w="5263"/>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What is to be assessed</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Compliance with the scope of work</w:t>
            </w:r>
          </w:p>
        </w:tc>
        <w:tc>
          <w:tcPr>
            <w:tcW w:type="dxa" w:w="97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30</w:t>
            </w:r>
          </w:p>
        </w:tc>
        <w:tc>
          <w:tcPr>
            <w:tcW w:type="dxa" w:w="526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Coverage of each of the thirty items of the scope of work and of Annexure A1 to A12 and B1 to B8. One mark for each item fully complied with, half for partial compliance, nil for omission, scaled to 30.</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B</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Solution architecture, data sovereignty and information security</w:t>
            </w:r>
          </w:p>
        </w:tc>
        <w:tc>
          <w:tcPr>
            <w:tcW w:type="dxa" w:w="97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15</w:t>
            </w:r>
          </w:p>
        </w:tc>
        <w:tc>
          <w:tcPr>
            <w:tcW w:type="dxa" w:w="526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Deployment on departmental infrastructure; the boundary between local and external processing; access control, encryption, audit and retention; the position on use of departmental data for model training; backup, recovery and business continuity.</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Marathi-first language capability and editorial fidelity</w:t>
            </w:r>
          </w:p>
        </w:tc>
        <w:tc>
          <w:tcPr>
            <w:tcW w:type="dxa" w:w="97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12</w:t>
            </w:r>
          </w:p>
        </w:tc>
        <w:tc>
          <w:tcPr>
            <w:tcW w:type="dxa" w:w="526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Marathi generation and proof-reading quality; Devanagari rendering including conjuncts and matras; glossary and designation control; grounding of every statement in the officer’s source; translation coverage. To be assessed on the demonstration as well as on the document.</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D</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Delivery approach and go-live within one month</w:t>
            </w:r>
          </w:p>
        </w:tc>
        <w:tc>
          <w:tcPr>
            <w:tcW w:type="dxa" w:w="97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10</w:t>
            </w:r>
          </w:p>
        </w:tc>
        <w:tc>
          <w:tcPr>
            <w:tcW w:type="dxa" w:w="526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The release plan; what is actually operational at the end of Month 1; dependency management; the credibility of the schedule against the stated build durations.</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E</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Operations, on-site support and training</w:t>
            </w:r>
          </w:p>
        </w:tc>
        <w:tc>
          <w:tcPr>
            <w:tcW w:type="dxa" w:w="97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10</w:t>
            </w:r>
          </w:p>
        </w:tc>
        <w:tc>
          <w:tcPr>
            <w:tcW w:type="dxa" w:w="526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Deployment of two full-time professionals at headquarters with their equipment; their qualifications; the training plan for headquarters and for divisional and district offices; documentation and knowledge transfer.</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F</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Methodology, quality assurance and acceptance</w:t>
            </w:r>
          </w:p>
        </w:tc>
        <w:tc>
          <w:tcPr>
            <w:tcW w:type="dxa" w:w="97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8</w:t>
            </w:r>
          </w:p>
        </w:tc>
        <w:tc>
          <w:tcPr>
            <w:tcW w:type="dxa" w:w="526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Testing approach; acceptance conditions stated component by component; service levels; change control; release and rollback procedure.</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G</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Experience and demonstrated capability of the institution</w:t>
            </w:r>
          </w:p>
        </w:tc>
        <w:tc>
          <w:tcPr>
            <w:tcW w:type="dxa" w:w="97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10</w:t>
            </w:r>
          </w:p>
        </w:tc>
        <w:tc>
          <w:tcPr>
            <w:tcW w:type="dxa" w:w="526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Comparable completed engagements, preferably for a government or public-sector client; team strength and composition; certifications; client references.</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H</w:t>
            </w:r>
          </w:p>
        </w:tc>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Risk management, transition and exit</w:t>
            </w:r>
          </w:p>
        </w:tc>
        <w:tc>
          <w:tcPr>
            <w:tcW w:type="dxa" w:w="97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w:t>
            </w:r>
          </w:p>
        </w:tc>
        <w:tc>
          <w:tcPr>
            <w:tcW w:type="dxa" w:w="526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Ownership of code, configuration, glossary and data; transition and handover at the end of the term; the risk register and the mitigations offered.</w:t>
            </w:r>
          </w:p>
        </w:tc>
      </w:tr>
      <w:tr>
        <w:trPr>
          <w:cantSplit/>
          <w:tblHeader w:val="false"/>
        </w:trPr>
        <w:tc>
          <w:tcPr>
            <w:tcW w:type="dxa" w:w="585"/>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
            </w:r>
          </w:p>
        </w:tc>
        <w:tc>
          <w:tcPr>
            <w:tcW w:type="dxa" w:w="2924"/>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Total</w:t>
            </w:r>
          </w:p>
        </w:tc>
        <w:tc>
          <w:tcPr>
            <w:tcW w:type="dxa" w:w="975"/>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100</w:t>
            </w:r>
          </w:p>
        </w:tc>
        <w:tc>
          <w:tcPr>
            <w:tcW w:type="dxa" w:w="5263"/>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Qualifying score: 70. A proposal scoring below 70 is not to be considered further, and its financial offer is not to be opened.</w:t>
            </w:r>
          </w:p>
        </w:tc>
      </w:tr>
    </w:tbl>
    <w:p>
      <w:pPr>
        <w:spacing w:after="140"/>
      </w:pPr>
      <w:r>
        <w:rPr>
          <w:sz w:val="12"/>
          <w:szCs w:val="12"/>
        </w:rPr>
        <w:t xml:space="preserve"/>
      </w:r>
    </w:p>
    <w:p>
      <w:pPr>
        <w:pStyle w:val="Heading3"/>
        <w:keepNext/>
        <w:spacing w:after="80" w:before="200"/>
      </w:pPr>
      <w:r>
        <w:rPr>
          <w:rFonts w:ascii="Calibri" w:cs="Calibri" w:eastAsia="Calibri" w:hAnsi="Calibri"/>
          <w:b/>
          <w:bCs/>
          <w:color w:val="1A1A1A"/>
          <w:sz w:val="20"/>
          <w:szCs w:val="20"/>
        </w:rPr>
        <w:t xml:space="preserve">Combined score</w:t>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For each qualifying proposal, the combined score is computed as: 0.70 × (technical marks ÷ highest technical marks × 100) + 0.30 × (lowest financial offer ÷ this financial offer × 100). The proposal with the highest combined score is recommended for award.</w:t>
      </w:r>
    </w:p>
    <w:sectPr>
      <w:headerReference w:type="default" r:id="rId7"/>
      <w:footerReference w:type="default" r:id="rId8"/>
      <w:pgSz w:w="11906" w:h="16838" w:orient="portrait"/>
      <w:pgMar w:top="1080" w:right="1080" w:bottom="1080" w:left="108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0C7" w:sz="4" w:space="4"/>
      </w:pBdr>
      <w:tabs>
        <w:tab w:val="right" w:pos="9746"/>
      </w:tabs>
      <w:spacing w:before="40"/>
      <w:jc w:val="left"/>
    </w:pPr>
    <w:r>
      <w:rPr>
        <w:rFonts w:ascii="Calibri" w:cs="Calibri" w:eastAsia="Calibri" w:hAnsi="Calibri"/>
        <w:color w:val="55606B"/>
        <w:sz w:val="15"/>
        <w:szCs w:val="15"/>
      </w:rPr>
      <w:t xml:space="preserve">Draft for departmental consideration</w:t>
    </w:r>
    <w:r>
      <w:rPr>
        <w:sz w:val="15"/>
        <w:szCs w:val="15"/>
      </w:rPr>
      <w:t xml:space="preserve">	</w:t>
    </w:r>
    <w:r>
      <w:rPr>
        <w:rFonts w:ascii="Calibri" w:cs="Calibri" w:eastAsia="Calibri" w:hAnsi="Calibri"/>
        <w:color w:val="55606B"/>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0C7" w:sz="4" w:space="4"/>
      </w:pBdr>
      <w:spacing w:after="40"/>
      <w:jc w:val="left"/>
    </w:pPr>
    <w:r>
      <w:rPr>
        <w:rFonts w:ascii="Calibri" w:cs="Calibri" w:eastAsia="Calibri" w:hAnsi="Calibri"/>
        <w:color w:val="55606B"/>
        <w:sz w:val="15"/>
        <w:szCs w:val="15"/>
      </w:rPr>
      <w:t xml:space="preserve">Directorate General of Information and Public Relations, Government of Maharashtra  ·  Technical Evaluation Report — AI NewsRoom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abstractNum w:abstractNumId="6" w15:restartNumberingAfterBreak="0">
    <w:multiLevelType w:val="hybridMultilevel"/>
    <w:lvl w:ilvl="0" w15:tentative="1">
      <w:start w:val="1"/>
      <w:numFmt w:val="decimal"/>
      <w:lvlText w:val="%1."/>
      <w:lvlJc w:val="left"/>
      <w:pPr>
        <w:ind w:left="400" w:hanging="260"/>
      </w:pPr>
    </w:lvl>
  </w:abstractNum>
  <w:abstractNum w:abstractNumId="7"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Directorate General of Information and Public Relations, Government of Maharashtra  ·  Technical Evaluation Report — AI NewsRoom</dc:title>
  <dc:creator>Directorate General of Information and Public Relations</dc:creator>
  <cp:lastModifiedBy>Un-named</cp:lastModifiedBy>
  <cp:revision>1</cp:revision>
  <dcterms:created xsi:type="dcterms:W3CDTF">2026-09-08T12:12:17.023Z</dcterms:created>
  <dcterms:modified xsi:type="dcterms:W3CDTF">2026-09-08T12:12:17.023Z</dcterms:modified>
</cp:coreProperties>
</file>

<file path=docProps/custom.xml><?xml version="1.0" encoding="utf-8"?>
<Properties xmlns="http://schemas.openxmlformats.org/officeDocument/2006/custom-properties" xmlns:vt="http://schemas.openxmlformats.org/officeDocument/2006/docPropsVTypes"/>
</file>