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55606B"/>
          <w:sz w:val="18"/>
          <w:szCs w:val="18"/>
        </w:rPr>
        <w:t xml:space="preserve">Government of Maharashtra</w:t>
      </w:r>
    </w:p>
    <w:p>
      <w:pPr>
        <w:spacing w:after="20"/>
        <w:jc w:val="center"/>
      </w:pPr>
      <w:r>
        <w:rPr>
          <w:rFonts w:ascii="Cambria" w:cs="Cambria" w:eastAsia="Cambria" w:hAnsi="Cambria"/>
          <w:b/>
          <w:bCs/>
          <w:color w:val="17365D"/>
          <w:sz w:val="24"/>
          <w:szCs w:val="24"/>
        </w:rPr>
        <w:t xml:space="preserve">Directorate General of Information and Public Relations</w:t>
      </w:r>
    </w:p>
    <w:p>
      <w:pPr>
        <w:spacing w:after="260"/>
        <w:jc w:val="center"/>
      </w:pPr>
      <w:r>
        <w:rPr>
          <w:rFonts w:ascii="Calibri" w:cs="Calibri" w:eastAsia="Calibri" w:hAnsi="Calibri"/>
          <w:color w:val="55606B"/>
          <w:sz w:val="18"/>
          <w:szCs w:val="18"/>
        </w:rPr>
        <w:t xml:space="preserve">New Media Branch / Section Ka-8  ·  Mantralaya, Mumbai 400 032</w:t>
      </w:r>
    </w:p>
    <w:p>
      <w:pPr>
        <w:pBdr>
          <w:top w:val="single" w:color="17365D" w:sz="12" w:space="10"/>
        </w:pBdr>
        <w:spacing w:after="60"/>
        <w:jc w:val="center"/>
      </w:pPr>
      <w:r>
        <w:rPr>
          <w:rFonts w:ascii="Cambria" w:cs="Cambria" w:eastAsia="Cambria" w:hAnsi="Cambria"/>
          <w:b/>
          <w:bCs/>
          <w:color w:val="17365D"/>
          <w:sz w:val="34"/>
          <w:szCs w:val="34"/>
        </w:rPr>
        <w:t xml:space="preserve">Cost Reasonableness, Value for Money and Risk Assessment</w:t>
      </w:r>
    </w:p>
    <w:p>
      <w:pPr>
        <w:pBdr>
          <w:bottom w:val="single" w:color="17365D" w:sz="12" w:space="10"/>
        </w:pBdr>
        <w:spacing w:after="260"/>
        <w:jc w:val="center"/>
      </w:pPr>
      <w:r>
        <w:rPr>
          <w:rFonts w:ascii="Calibri" w:cs="Calibri" w:eastAsia="Calibri" w:hAnsi="Calibri"/>
          <w:color w:val="55606B"/>
          <w:sz w:val="20"/>
          <w:szCs w:val="20"/>
        </w:rPr>
        <w:t xml:space="preserve">Establishment of the AI NewsRoom — examination of the estimate of ₹5.90 crore and of the proposal received</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2729"/>
        <w:gridCol w:w="7017"/>
      </w:tblGrid>
      <w:tr>
        <w:trPr>
          <w:cantSplit/>
          <w:tblHeader/>
        </w:trPr>
        <w:tc>
          <w:tcPr>
            <w:tcW w:type="dxa" w:w="272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Field</w:t>
            </w:r>
          </w:p>
        </w:tc>
        <w:tc>
          <w:tcPr>
            <w:tcW w:type="dxa" w:w="701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Particulars</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Subject</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Whether the estimated expenditure of ₹5.90 crore for establishment of the AI NewsRoom is reasonable, whether the proposal received represents value for money, and what risks attach to it</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Estimate under examination</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₹5.90 crore — ₹5.00 crore together with goods-and-services tax of ₹0.90 crore — for twelve months, as recorded in the note of the New Media Branch</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Offer under examination</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₹5.00 crore for twelve months, offered by HashCase, exclusive of tax</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Excluded from both</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Enterprise-grade GPU compute, high-speed storage, networking, power protection, cooling support and related hardware, to be provided through the Electronics, Information Technology and Artificial Intelligence Department</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Assessment prepared by</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Names and designations of the assessing officers  ]</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Date</w:t>
            </w:r>
          </w:p>
        </w:tc>
        <w:tc>
          <w:tcPr>
            <w:tcW w:type="dxa" w:w="701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Date  ]</w:t>
            </w:r>
          </w:p>
        </w:tc>
      </w:tr>
    </w:tbl>
    <w:p>
      <w:pPr>
        <w:spacing w:after="20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Status of this document</w:t>
            </w:r>
          </w:p>
          <w:p>
            <w:pPr>
              <w:spacing w:line="254"/>
              <w:jc w:val="both"/>
            </w:pPr>
            <w:r>
              <w:rPr>
                <w:rFonts w:ascii="Calibri" w:cs="Calibri" w:eastAsia="Calibri" w:hAnsi="Calibri"/>
                <w:color w:val="1A1A1A"/>
                <w:sz w:val="19"/>
                <w:szCs w:val="19"/>
              </w:rPr>
              <w:t xml:space="preserve">This assessment has been drafted for the consideration of the Directorate. Every figure derived in it is stated together with the assumption on which it rests, and each such assumption is set out at Annexure I so that it may be replaced by the Directorate’s own data or by the figures actually quoted. Where an external comparison is drawn, the source is named and the Directorate is asked to verify it before relying on it.</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1.  Purpose and method</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A note of the New Media Branch has estimated the expenditure on establishment of an AI NewsRoom at ₹5.90 crore for one year, and a proposal has been received at exactly that figure. Two questions therefore arise, and neither is answered by the technical examination of the proposal.</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Is ₹5.90 crore a reasonable price for the work described in the Annexure to the note?</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Does the proposal received, at that price, represent value for money for the Directorate, and what risks attach to accepting it?</w:t>
      </w:r>
    </w:p>
    <w:p>
      <w:pPr>
        <w:spacing w:after="6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Because only one proposal is before the Directorate, and because it is at the estimated figure, reasonableness cannot be established by comparison of competing offers. Six independent tests have therefore been applied, and the assessment rests on their combined result rather than on any one of them.</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780"/>
        <w:gridCol w:w="3314"/>
        <w:gridCol w:w="5653"/>
      </w:tblGrid>
      <w:tr>
        <w:trPr>
          <w:cantSplit/>
          <w:tblHeader/>
        </w:trPr>
        <w:tc>
          <w:tcPr>
            <w:tcW w:type="dxa" w:w="78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Test</w:t>
            </w:r>
          </w:p>
        </w:tc>
        <w:tc>
          <w:tcPr>
            <w:tcW w:type="dxa" w:w="331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Question</w:t>
            </w:r>
          </w:p>
        </w:tc>
        <w:tc>
          <w:tcPr>
            <w:tcW w:type="dxa" w:w="565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Where it is applied</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Is the offer internally consistent with the departmental estimate?</w:t>
            </w:r>
          </w:p>
        </w:tc>
        <w:tc>
          <w:tcPr>
            <w:tcW w:type="dxa" w:w="565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2 — line-by-line comparison of the twelve development lines and eight service lines</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Does the price correspond to a credible quantum of work?</w:t>
            </w:r>
          </w:p>
        </w:tc>
        <w:tc>
          <w:tcPr>
            <w:tcW w:type="dxa" w:w="565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3 — effort implied by the price, tested against the stated build durations</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Is the operating block priced in line with ordinary practice?</w:t>
            </w:r>
          </w:p>
        </w:tc>
        <w:tc>
          <w:tcPr>
            <w:tcW w:type="dxa" w:w="565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4 — the eight service lines examined individually</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Is the provision for metered services soundly based?</w:t>
            </w:r>
          </w:p>
        </w:tc>
        <w:tc>
          <w:tcPr>
            <w:tcW w:type="dxa" w:w="565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5</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How does the price compare with what the State is paying elsewhere for AI capability?</w:t>
            </w:r>
          </w:p>
        </w:tc>
        <w:tc>
          <w:tcPr>
            <w:tcW w:type="dxa" w:w="565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6 — the deployment sanctioned by the Electronics, Information Technology and Artificial Intelligence Department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331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What volume of work must the platform displace for the expenditure to be recovered?</w:t>
            </w:r>
          </w:p>
        </w:tc>
        <w:tc>
          <w:tcPr>
            <w:tcW w:type="dxa" w:w="565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Section 7 — the cost-neutrality threshold</w:t>
            </w:r>
          </w:p>
        </w:tc>
      </w:tr>
    </w:tbl>
    <w:p>
      <w:pPr>
        <w:pStyle w:val="Heading1"/>
        <w:keepNext/>
        <w:pBdr>
          <w:bottom w:val="single" w:color="17365D" w:sz="8" w:space="6"/>
        </w:pBdr>
        <w:spacing w:after="160" w:before="360"/>
      </w:pPr>
      <w:r>
        <w:rPr>
          <w:rFonts w:ascii="Cambria" w:cs="Cambria" w:eastAsia="Cambria" w:hAnsi="Cambria"/>
          <w:b/>
          <w:bCs/>
          <w:color w:val="17365D"/>
          <w:sz w:val="26"/>
          <w:szCs w:val="26"/>
        </w:rPr>
        <w:t xml:space="preserve">2.  Test 1 — Internal consistency of the offer</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offer is equal to the departmental estimate at every level: ₹3.75 crore for development, ₹1.25 crore for training and changes, ₹5.00 crore in total, and a ratio of 75 to 25. Each of the eight service lines of the operating estimate is reproduced at precisely the figure in the note. Within the development part the allocation has been re-arranged while the total is held constant.</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288"/>
        <w:gridCol w:w="1364"/>
        <w:gridCol w:w="1364"/>
        <w:gridCol w:w="1364"/>
        <w:gridCol w:w="1364"/>
      </w:tblGrid>
      <w:tr>
        <w:trPr>
          <w:cantSplit/>
          <w:tblHeader/>
        </w:trPr>
        <w:tc>
          <w:tcPr>
            <w:tcW w:type="dxa" w:w="428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Block</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Note</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Offer</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Change</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Per cent</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Core platform (A1 → Component 1)</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Intake and document intelligence (A2 → Component 2)</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+33%</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Editorial, glossary, translation, proof-reading (A3, A4 → Component 3)</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₹65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Creatives (A5 → Component 4)</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Video, studio and anchor (A6, A7 → Component 5)</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₹52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−26%</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Media monitoring (A8 → Component 6)</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₹32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Assistant, history, administration, integrations (A9, A10, A11 → Component 8)</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−₹23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−46%</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Mobile application (within A1 of the note → Component 7, priced separately)</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New line</w:t>
            </w:r>
          </w:p>
        </w:tc>
      </w:tr>
      <w:tr>
        <w:trPr>
          <w:cantSplit/>
          <w:tblHeader w:val="false"/>
        </w:trPr>
        <w:tc>
          <w:tcPr>
            <w:tcW w:type="dxa" w:w="428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Metered technology services (A12 → Provision 9)</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w:t>
            </w:r>
          </w:p>
        </w:tc>
      </w:tr>
      <w:tr>
        <w:trPr>
          <w:cantSplit/>
          <w:tblHeader w:val="false"/>
        </w:trPr>
        <w:tc>
          <w:tcPr>
            <w:tcW w:type="dxa" w:w="4288"/>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136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₹375 L</w:t>
            </w:r>
          </w:p>
        </w:tc>
        <w:tc>
          <w:tcPr>
            <w:tcW w:type="dxa" w:w="136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₹375 L</w:t>
            </w:r>
          </w:p>
        </w:tc>
        <w:tc>
          <w:tcPr>
            <w:tcW w:type="dxa" w:w="136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Nil</w:t>
            </w:r>
          </w:p>
        </w:tc>
        <w:tc>
          <w:tcPr>
            <w:tcW w:type="dxa" w:w="136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w:t>
            </w:r>
          </w:p>
        </w:tc>
      </w:tr>
    </w:tbl>
    <w:p>
      <w:pPr>
        <w:spacing w:after="12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Finding 1.  </w:t>
      </w:r>
      <w:r>
        <w:rPr>
          <w:rFonts w:ascii="Calibri" w:cs="Calibri" w:eastAsia="Calibri" w:hAnsi="Calibri"/>
          <w:b w:val="false"/>
          <w:bCs w:val="false"/>
          <w:i w:val="false"/>
          <w:iCs w:val="false"/>
          <w:caps w:val="false"/>
          <w:color w:val="1A1A1A"/>
          <w:sz w:val="20"/>
          <w:szCs w:val="20"/>
        </w:rPr>
        <w:t xml:space="preserve">The offer is arithmetically consistent with the estimate and no total has moved. Two reductions are large enough to require explanation: the video block is down by ₹18 lakh or 26 per cent, and the assistant, history and administration block by ₹23 lakh or 46 per cent. Annexure A7 of the note (studio interview and anchor-video production) and Annexure A11 (integrations, administration and technical tooling) are among the longest and most detailed descriptions in the whole Annexure, and a reduction of that size in the block that carries them cannot be accepted without an explanation of how the described scope is still delivered. The offsetting addition is a separately priced mobile application at ₹28 lakh, which the note had treated as part of the core platform; the Directorate should decide whether it requires a native application at that price or is content with the installable progressive web application the note originally asked for, which would release ₹28 lakh.</w:t>
      </w:r>
    </w:p>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3.  Test 2 — Does the price correspond to a credible quantum of work?</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A lump sum can be tested by asking what standing team it would support and whether that team could deliver what is described. The engagement value of ₹5.00 crore, less the ₹55 lakh consumption provision and about ₹3 lakh of equipment for the on-site personnel, leaves approximately ₹4.42 crore of professional effort and margin over twelve months. The average standing team that this supports depends on the blended rate.</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2924"/>
        <w:gridCol w:w="3411"/>
        <w:gridCol w:w="3411"/>
      </w:tblGrid>
      <w:tr>
        <w:trPr>
          <w:cantSplit/>
          <w:tblHeader/>
        </w:trPr>
        <w:tc>
          <w:tcPr>
            <w:tcW w:type="dxa" w:w="292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Average standing team</w:t>
            </w:r>
          </w:p>
        </w:tc>
        <w:tc>
          <w:tcPr>
            <w:tcW w:type="dxa" w:w="341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Implied blended rate per person-month</w:t>
            </w:r>
          </w:p>
        </w:tc>
        <w:tc>
          <w:tcPr>
            <w:tcW w:type="dxa" w:w="341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Reading</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 persons</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₹2.46 lakh</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Above the ordinary range. The price would be high for the effort delivered.</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persons</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₹1.84 lakh</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At the upper end of the ordinary range.</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persons</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₹1.47 lakh</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Within the ordinary range.</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30 persons</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₹1.23 lakh</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At the lower end of the ordinary range.</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35 persons</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₹1.05 lakh</w:t>
            </w:r>
          </w:p>
        </w:tc>
        <w:tc>
          <w:tcPr>
            <w:tcW w:type="dxa" w:w="341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Below the ordinary range. The price would be tight and delivery risk would rise.</w:t>
            </w:r>
          </w:p>
        </w:tc>
      </w:tr>
    </w:tbl>
    <w:p>
      <w:pPr>
        <w:spacing w:after="10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A blended rate of ₹1.20 lakh to ₹1.80 lakh per person-month is the ordinary range for Indian information-technology services engaged on government work of this description, inclusive of employer cost, overhead, tooling and margin, and weighted for the proportion of specialist artificial-intelligence effort in this scope. On that range the engagement corresponds to an average standing team of roughly twenty to thirty professionals for twelve months. For a platform of eight components covering Marathi language processing, document reading and optical character recognition, speech transcription, image generation, video production, media monitoring and a mobile application, a team of that size is neither generous nor implausible. The price is not, on this test, inflated.</w:t>
      </w:r>
    </w:p>
    <w:p>
      <w:pPr>
        <w:spacing w:after="80"/>
      </w:pPr>
      <w:r>
        <w:rPr>
          <w:sz w:val="12"/>
          <w:szCs w:val="12"/>
        </w:rPr>
        <w:t xml:space="preserve"/>
      </w:r>
    </w:p>
    <w:p>
      <w:pPr>
        <w:pStyle w:val="Heading3"/>
        <w:keepNext/>
        <w:spacing w:after="80" w:before="200"/>
      </w:pPr>
      <w:r>
        <w:rPr>
          <w:rFonts w:ascii="Calibri" w:cs="Calibri" w:eastAsia="Calibri" w:hAnsi="Calibri"/>
          <w:b/>
          <w:bCs/>
          <w:color w:val="1A1A1A"/>
          <w:sz w:val="20"/>
          <w:szCs w:val="20"/>
        </w:rPr>
        <w:t xml:space="preserve">3.1  The stated build durations do not sit easily with that team size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Taking a blended ₹1.50 lakh per person-month, the eight product components at ₹3.20 crore represent approximately 213 person-months of effort. Set against the build duration stated for each component, the concurrency implied is as follows.</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3898"/>
        <w:gridCol w:w="1364"/>
        <w:gridCol w:w="1364"/>
        <w:gridCol w:w="1559"/>
        <w:gridCol w:w="1559"/>
      </w:tblGrid>
      <w:tr>
        <w:trPr>
          <w:cantSplit/>
          <w:tblHeader/>
        </w:trPr>
        <w:tc>
          <w:tcPr>
            <w:tcW w:type="dxa" w:w="389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Component</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Value</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Implied effort</w:t>
            </w:r>
          </w:p>
        </w:tc>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Build duration</w:t>
            </w:r>
          </w:p>
        </w:tc>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Implied team</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  Core Platform, Security and Workflow</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32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17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  Data and Document Intelligence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₹40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  Editorial Engine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₹55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37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13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  Creatives Studio</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11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  Video Production Suite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₹52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35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14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11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  Media Intelligence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₹32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21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  Mobile Application and Cross-device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₹28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19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persons</w:t>
            </w:r>
          </w:p>
        </w:tc>
      </w:tr>
      <w:tr>
        <w:trPr>
          <w:cantSplit/>
          <w:tblHeader w:val="false"/>
        </w:trPr>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  Administration, Integrations and Assistant</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 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18 p-m</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 weeks</w:t>
            </w:r>
          </w:p>
        </w:tc>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persons</w:t>
            </w:r>
          </w:p>
        </w:tc>
      </w:tr>
      <w:tr>
        <w:trPr>
          <w:cantSplit/>
          <w:tblHeader w:val="false"/>
        </w:trPr>
        <w:tc>
          <w:tcPr>
            <w:tcW w:type="dxa" w:w="3898"/>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136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₹320 L</w:t>
            </w:r>
          </w:p>
        </w:tc>
        <w:tc>
          <w:tcPr>
            <w:tcW w:type="dxa" w:w="136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213 p-m</w:t>
            </w:r>
          </w:p>
        </w:tc>
        <w:tc>
          <w:tcPr>
            <w:tcW w:type="dxa" w:w="155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80 component-weeks</w:t>
            </w:r>
          </w:p>
        </w:tc>
        <w:tc>
          <w:tcPr>
            <w:tcW w:type="dxa" w:w="155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93 if all ran together</w:t>
            </w:r>
          </w:p>
        </w:tc>
      </w:tr>
    </w:tbl>
    <w:p>
      <w:pPr>
        <w:spacing w:after="12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Finding 2.  </w:t>
      </w:r>
      <w:r>
        <w:rPr>
          <w:rFonts w:ascii="Calibri" w:cs="Calibri" w:eastAsia="Calibri" w:hAnsi="Calibri"/>
          <w:b w:val="false"/>
          <w:bCs w:val="false"/>
          <w:i w:val="false"/>
          <w:iCs w:val="false"/>
          <w:caps w:val="false"/>
          <w:color w:val="1A1A1A"/>
          <w:sz w:val="20"/>
          <w:szCs w:val="20"/>
        </w:rPr>
        <w:t xml:space="preserve">The proposal states that the components are built by parallel teams. If all eight ran in parallel, the peak requirement would be about ninety-three professionals — more than three times the average standing team the price supports. The components must therefore be substantially sequenced, which is consistent with the four-release plan but not with the description of parallel construction. This is not evidence that the price is wrong; it is evidence that the Directorate is being asked to accept a lump sum without knowing the effort behind it. The single most valuable document the Directorate can require, both in the tender and in the contract, is a month-by-month staffing plan by role, with a contractual undertaking to maintain it and monthly reporting against it. That converts an unverifiable lump sum into a commitment which can be checked every month.</w:t>
      </w:r>
    </w:p>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4.  Test 3 — The operating block</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eight service lines of Part B total ₹1.25 crore and are reproduced from the departmental estimate without change. Each has been examined against ordinary practice.</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2924"/>
        <w:gridCol w:w="975"/>
        <w:gridCol w:w="5848"/>
      </w:tblGrid>
      <w:tr>
        <w:trPr>
          <w:cantSplit/>
          <w:tblHeader/>
        </w:trPr>
        <w:tc>
          <w:tcPr>
            <w:tcW w:type="dxa" w:w="292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Service line</w:t>
            </w:r>
          </w:p>
        </w:tc>
        <w:tc>
          <w:tcPr>
            <w:tcW w:type="dxa" w:w="97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Value</w:t>
            </w:r>
          </w:p>
        </w:tc>
        <w:tc>
          <w:tcPr>
            <w:tcW w:type="dxa" w:w="584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Assessment</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B1  Feature development and DGIPR-specific configuration</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₹20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Approximately 13 person-months of continuing development across twelve months, or about one professional standing. Reasonable for configuration work, provided it is not relied on to deliver scope that belongs to Part A. The contract should state that Part B carries no part of the committed product scope.</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B2  Production deployment and systems integration</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About 8 person-months for environment sizing, installation, commissioning, security and performance validation and go-live transition on infrastructure the Directorate provides. Reasonable and, if anything, modest for a first deployment onto new government hardware.</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B3  Central engineering and MLOps support</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₹25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About 17 person-months over the year, or roughly 1.4 professionals standing. The described scope is very wide — artificial intelligence, application, data, integration, infrastructure, security, design and quality assurance, with production monitoring, evaluation, incident analysis and controlled releases. That scope cannot be discharged by 1.4 persons. Either the line is under-priced, in which case the risk is to delivery, or the described scope is aspirational. A named minimum standing strength should be required.</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B4  Two on-site professionals with equipment</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₹23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Allowing about ₹1.5 lakh of equipment for each person, the balance is roughly ₹83,000 per person per month, all inclusive. That is a realistic figure for a mid-level operations and content professional in Mumbai, and leaves little margin. It is reasonable, and the corresponding risk is that the rate is met by deploying under-qualified staff. Minimum qualifications, curricula vitae, a notice period and replacement by a person of equivalent qualification should be made contractual.</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B5  Maintenance and technical support</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₹15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On its own this is 4.7 per cent of the ₹3.20 crore product value, against a customary annual maintenance charge of fifteen to twenty per cent. Taken together with B3 and B7, however, the aggregate support provision is ₹50 lakh, or 15.6 per cent, which is within the customary range. The lines should therefore be read together and not judged individually.</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B6  Controlled upgrades and incremental improvements</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About 7 person-months of governed change across the year. Reasonable as a change budget. The Directorate should require that it be drawn against an approved and prioritised backlog with recorded estimates, so that it is not consumed by defect correction properly belonging to B5.</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B7  Continuing operational and production support</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Reasonable as a contribution to day-to-day production assistance, read together with B4 which carries the on-site presence.</w:t>
            </w:r>
          </w:p>
        </w:tc>
      </w:tr>
      <w:tr>
        <w:trPr>
          <w:cantSplit/>
          <w:tblHeader w:val="false"/>
        </w:trPr>
        <w:tc>
          <w:tcPr>
            <w:tcW w:type="dxa" w:w="292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B8  Project management, training and coordination</w:t>
            </w:r>
          </w:p>
        </w:tc>
        <w:tc>
          <w:tcPr>
            <w:tcW w:type="dxa" w:w="97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 L</w:t>
            </w:r>
          </w:p>
        </w:tc>
        <w:tc>
          <w:tcPr>
            <w:tcW w:type="dxa" w:w="584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About 3.1 per cent of Part A, against a customary five to ten per cent for programme management. Favourable to the Directorate. The corresponding risk is thin governance, and the name and time commitment of the project manager should be obtained.</w:t>
            </w:r>
          </w:p>
        </w:tc>
      </w:tr>
      <w:tr>
        <w:trPr>
          <w:cantSplit/>
          <w:tblHeader w:val="false"/>
        </w:trPr>
        <w:tc>
          <w:tcPr>
            <w:tcW w:type="dxa" w:w="292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975"/>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₹125 L</w:t>
            </w:r>
          </w:p>
        </w:tc>
        <w:tc>
          <w:tcPr>
            <w:tcW w:type="dxa" w:w="5848"/>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The block as a whole is reasonably priced and in two respects favourable to the Directorate. The two lines requiring attention are B3, which is thin against its described scope, and B4, where the risk lies in the quality of the persons deployed rather than in the rate.</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5.  Test 4 — The provision for metered technology services</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Provision 9 of the proposal, at ₹55 lakh, reproduces line A12 of the departmental estimate. It is 14.7 per cent of the development value and 11 per cent of the value before tax. It is a ceiling for consumption of external language, vision, speech, transcription, optical-character-recognition, translation, image and video services over twelve months, and is not a development component.</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No basis for the figure is given in either document. Neither states the expected volume of articles, transcripts, posters, translations or videos, the unit consumed by each, or the unit price. The provision is therefore an allowance rather than an estimate.</w:t>
      </w:r>
    </w:p>
    <w:p>
      <w:pPr>
        <w:spacing w:after="6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Finding 3</w:t>
            </w:r>
          </w:p>
          <w:p>
            <w:pPr>
              <w:spacing w:line="254"/>
              <w:jc w:val="both"/>
            </w:pPr>
            <w:r>
              <w:rPr>
                <w:rFonts w:ascii="Calibri" w:cs="Calibri" w:eastAsia="Calibri" w:hAnsi="Calibri"/>
                <w:color w:val="1A1A1A"/>
                <w:sz w:val="19"/>
                <w:szCs w:val="19"/>
              </w:rPr>
              <w:t xml:space="preserve">The ₹55 lakh provision should be treated as a ceiling and not as a charge. It is recommended that the Directorate require, before the work order, a consumption forecast expressing the figure as volume multiplied by unit consumption multiplied by unit price for each class of output; that payment be released only against consumption reported and certified each month; that any unconsumed balance not be payable; that consumption above the ceiling require prior written approval; and that the monthly consumption report be a condition precedent to the monthly bill. The proposal already offers metering, task-level cost attribution and budget ceilings, so these controls impose nothing the platform cannot support.</w:t>
            </w:r>
          </w:p>
        </w:tc>
      </w:tr>
    </w:tbl>
    <w:p>
      <w:pPr>
        <w:spacing w:after="12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A further point arises. Objectives 1, 4 and 7 of the departmental note are directed at keeping the Directorate’s material within its own control and at reducing reliance on public AI applications. A provision of ₹55 lakh for external metered services is not inconsistent with those objectives, but it does mean that a material part of the processing is expected to occur outside the Directorate’s infrastructure. The Directorate should require a written statement of which processing occurs where, and should note that the larger this provision is, the smaller the sovereignty benefit for which the platform is being bought.</w:t>
      </w:r>
    </w:p>
    <w:p>
      <w:pPr>
        <w:pStyle w:val="Heading1"/>
        <w:keepNext/>
        <w:pBdr>
          <w:bottom w:val="single" w:color="17365D" w:sz="8" w:space="6"/>
        </w:pBdr>
        <w:spacing w:after="160" w:before="360"/>
      </w:pPr>
      <w:r>
        <w:rPr>
          <w:rFonts w:ascii="Cambria" w:cs="Cambria" w:eastAsia="Cambria" w:hAnsi="Cambria"/>
          <w:b/>
          <w:bCs/>
          <w:color w:val="17365D"/>
          <w:sz w:val="26"/>
          <w:szCs w:val="26"/>
        </w:rPr>
        <w:t xml:space="preserve">6.  Test 5 — Comparison with what the State is paying elsewhere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There is no directly comparable procurement, this being a bespoke platform for a single department. The nearest comparison available is the State’s own recent adoption of AI capability, which press reports indicate was sanctioned by the Electronics, Information Technology and Artificial Intelligence Department in August 2026: a deployment of Sarvam AI’s Indus workspace for approximately 2,500 government users, together with citizen-outreach agents and speech models for the MahaAI platform, at approximately ₹11.26 crore over two years, of which about ₹5.63 crore falls in the first year, at a reported subscription of about ₹1,200 per user per month for the first twelve months. The Directorate should verify these figures with that Department before relying on them.</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2729"/>
        <w:gridCol w:w="3509"/>
        <w:gridCol w:w="3509"/>
      </w:tblGrid>
      <w:tr>
        <w:trPr>
          <w:cantSplit/>
          <w:tblHeader/>
        </w:trPr>
        <w:tc>
          <w:tcPr>
            <w:tcW w:type="dxa" w:w="272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Basis</w:t>
            </w:r>
          </w:p>
        </w:tc>
        <w:tc>
          <w:tcPr>
            <w:tcW w:type="dxa" w:w="350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State-wide deployment (reported)</w:t>
            </w:r>
          </w:p>
        </w:tc>
        <w:tc>
          <w:tcPr>
            <w:tcW w:type="dxa" w:w="350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AI NewsRoom (proposed)</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First-year outlay</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About ₹5.63 crore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₹5.90 crore including tax</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Nature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Subscription to a horizontal drafting and citizen-outreach workspace, shared across departments</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Bespoke build, deployment and one year of operation for one department, on infrastructure that department controls</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Users served</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About 2,500 across Government</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Headquarters together with divisional and district information offices</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Functional coverage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Drafting, document intelligence, optical character recognition, speech, citizen outreach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above, together with news and article production in departmental style, creatives and posters, explainer and studio video, media monitoring and campaign analysis</w:t>
            </w:r>
          </w:p>
        </w:tc>
      </w:tr>
      <w:tr>
        <w:trPr>
          <w:cantSplit/>
          <w:tblHeader w:val="false"/>
        </w:trPr>
        <w:tc>
          <w:tcPr>
            <w:tcW w:type="dxa" w:w="272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Asset created</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subscription, which ends when it is not renewed</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platform, a knowledge base and a glossary, which the Directorate may own if the contract so provides</w:t>
            </w:r>
          </w:p>
        </w:tc>
      </w:tr>
    </w:tbl>
    <w:p>
      <w:pPr>
        <w:spacing w:after="12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Finding 4.  </w:t>
      </w:r>
      <w:r>
        <w:rPr>
          <w:rFonts w:ascii="Calibri" w:cs="Calibri" w:eastAsia="Calibri" w:hAnsi="Calibri"/>
          <w:b w:val="false"/>
          <w:bCs w:val="false"/>
          <w:i w:val="false"/>
          <w:iCs w:val="false"/>
          <w:caps w:val="false"/>
          <w:color w:val="1A1A1A"/>
          <w:sz w:val="20"/>
          <w:szCs w:val="20"/>
        </w:rPr>
        <w:t xml:space="preserve">The annual outlay is of the same order as what the State is paying for its horizontal AI workspace, for a much smaller user population but a much wider functional scope and a durable asset rather than a subscription. On that footing the price is not out of line. A comparison on cost per user would be misleading and should not be drawn.</w:t>
      </w:r>
    </w:p>
    <w:p>
      <w:pPr>
        <w:spacing w:after="8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Finding 5 — the most significant financial observation in this assessment</w:t>
            </w:r>
          </w:p>
          <w:p>
            <w:pPr>
              <w:spacing w:line="254"/>
              <w:jc w:val="both"/>
            </w:pPr>
            <w:r>
              <w:rPr>
                <w:rFonts w:ascii="Calibri" w:cs="Calibri" w:eastAsia="Calibri" w:hAnsi="Calibri"/>
                <w:color w:val="1A1A1A"/>
                <w:sz w:val="19"/>
                <w:szCs w:val="19"/>
              </w:rPr>
              <w:t xml:space="preserve">Objective 8 of the departmental note requires a model capable of integrating with MahaAI, Sarvam and Indus. If the Indus workspace is already available to officers of this Directorate under the State-wide deployment, then part of the scope now proposed may already be paid for. The general-purpose work assistant (Component 8, at ₹27 lakh, covering summaries, replies, office notes, briefs, presentations and RFP drafting) and the Marathi speech capability used for transcription and narration are the two areas of likely overlap. Before the tender is issued, the Directorate should ascertain from the Electronics, Information Technology and Artificial Intelligence Department what capability is already licensed to it and at what cost. Where capability exists, the scope should be re-cast as an integration requirement rather than as a fresh build. This is capable of reducing the procurement value, and it also discharges objective 8, which the proposal presently does not address.</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7.  Test 6 — The cost-neutrality threshold</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At ₹5.90 crore for twelve months, the platform must displace production effort worth about ₹49.2 lakh a month for the expenditure to be recovered in the first year alone. Whether it does so cannot be determined from the proposal; it depends on the Directorate’s own volumes, which are not recorded in the note.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It is recommended that the Directorate complete the following before the tender is issued. It is a short exercise, it converts the justification from an assertion into a measurement, and it also establishes the baseline against which the platform’s benefit can be reported at the end of the year.</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3119"/>
        <w:gridCol w:w="1657"/>
        <w:gridCol w:w="1657"/>
        <w:gridCol w:w="1657"/>
        <w:gridCol w:w="1657"/>
      </w:tblGrid>
      <w:tr>
        <w:trPr>
          <w:cantSplit/>
          <w:tblHeader/>
        </w:trPr>
        <w:tc>
          <w:tcPr>
            <w:tcW w:type="dxa" w:w="311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Output</w:t>
            </w:r>
          </w:p>
        </w:tc>
        <w:tc>
          <w:tcPr>
            <w:tcW w:type="dxa" w:w="165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Present monthly volume</w:t>
            </w:r>
          </w:p>
        </w:tc>
        <w:tc>
          <w:tcPr>
            <w:tcW w:type="dxa" w:w="165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Present cost or effort per unit</w:t>
            </w:r>
          </w:p>
        </w:tc>
        <w:tc>
          <w:tcPr>
            <w:tcW w:type="dxa" w:w="165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Present monthly cost</w:t>
            </w:r>
          </w:p>
        </w:tc>
        <w:tc>
          <w:tcPr>
            <w:tcW w:type="dxa" w:w="165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Expected reduction</w:t>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News reports and articles (Marathi)</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Translations into English and Hindi</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Transcription of meetings and events</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Social creatives, posters and thumbnails</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Explainer and studio video</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Newspaper monitoring and clipping</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Presentations, briefs and office notes</w:t>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165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311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 per month</w:t>
            </w:r>
          </w:p>
        </w:tc>
        <w:tc>
          <w:tcPr>
            <w:tcW w:type="dxa" w:w="1657"/>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1657"/>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1657"/>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1657"/>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r>
      <w:tr>
        <w:trPr>
          <w:cantSplit/>
          <w:tblHeader w:val="false"/>
        </w:trPr>
        <w:tc>
          <w:tcPr>
            <w:tcW w:type="dxa" w:w="8090"/>
            <w:gridSpan w:val="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Threshold to be met</w:t>
            </w:r>
          </w:p>
        </w:tc>
        <w:tc>
          <w:tcPr>
            <w:tcW w:type="dxa" w:w="1657"/>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₹49.2 lakh per month</w:t>
            </w:r>
          </w:p>
        </w:tc>
      </w:tr>
    </w:tbl>
    <w:p>
      <w:pPr>
        <w:spacing w:after="12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Two qualifications should be recorded. First, part of the benefit of the AI NewsRoom is not financial — the security of unpublished official material, consistency of names and designations, and the ability to publish across formats within hours — and no threshold test captures that. Second, the platform is an asset with a life beyond the first year, so recovery need not be complete within twelve months; but the Directorate should know by how much it falls short, and should say so when seeking approval.</w:t>
      </w:r>
    </w:p>
    <w:p>
      <w:pPr>
        <w:pStyle w:val="Heading1"/>
        <w:keepNext/>
        <w:pBdr>
          <w:bottom w:val="single" w:color="17365D" w:sz="8" w:space="6"/>
        </w:pBdr>
        <w:spacing w:after="160" w:before="360"/>
      </w:pPr>
      <w:r>
        <w:rPr>
          <w:rFonts w:ascii="Cambria" w:cs="Cambria" w:eastAsia="Cambria" w:hAnsi="Cambria"/>
          <w:b/>
          <w:bCs/>
          <w:color w:val="17365D"/>
          <w:sz w:val="26"/>
          <w:szCs w:val="26"/>
        </w:rPr>
        <w:t xml:space="preserve">8.  Risk assessment</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Likelihood and effect are assessed as high, medium or low. The owner named is the party best placed to act, and is stated so that each risk is allotted rather than merely listed.</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87"/>
        <w:gridCol w:w="2242"/>
        <w:gridCol w:w="1072"/>
        <w:gridCol w:w="1072"/>
        <w:gridCol w:w="3509"/>
        <w:gridCol w:w="1364"/>
      </w:tblGrid>
      <w:tr>
        <w:trPr>
          <w:cantSplit/>
          <w:tblHeader/>
        </w:trPr>
        <w:tc>
          <w:tcPr>
            <w:tcW w:type="dxa" w:w="487"/>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2242"/>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Risk</w:t>
            </w:r>
          </w:p>
        </w:tc>
        <w:tc>
          <w:tcPr>
            <w:tcW w:type="dxa" w:w="1072"/>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Likely</w:t>
            </w:r>
          </w:p>
        </w:tc>
        <w:tc>
          <w:tcPr>
            <w:tcW w:type="dxa" w:w="1072"/>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Effect</w:t>
            </w:r>
          </w:p>
        </w:tc>
        <w:tc>
          <w:tcPr>
            <w:tcW w:type="dxa" w:w="350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Mitigation recommended</w:t>
            </w:r>
          </w:p>
        </w:tc>
        <w:tc>
          <w:tcPr>
            <w:tcW w:type="dxa" w:w="136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Owner</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R1</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GPU compute, storage, networking, power protection and cooling are not available when the work order is issued, so the first release cannot go live in Month 1</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Obtain written confirmation of availability and timing from the Electronics, Information Technology and Artificial Intelligence Department before the work order. Provide that the delivery schedule is recalibrated, without cost to the Directorate, if the infrastructure is late.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R2</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Seventy-five per cent of the value falls due at the end of Month 1 against partial delivery</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Adopt payment against acceptance of the four scheduled releases, which the proposal itself offers in the alternative.</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R3</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Official and unpublished material is processed outside the Directorate’s control through metered external services</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Require a written statement of what is processed where; restrict it contractually; prohibit use of departmental data for training any publicly available model; reserve a right of audit.</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Both</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R4</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Marathi output is not of publishable quality, or names, designations and figures drift</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Hold a demonstration on the Directorate’s own material before award; make the acceptance test run on live departmental material; retain officer approval at every outward-facing stage; adopt the component-wise acceptance conditions in the Annexure to the proposal.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R5</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Metered consumption exceeds the ₹55 lakh ceiling</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Pay against certified consumption only; require prior written approval above the ceiling; require a monthly consumption report as a condition of the bill; obtain a consumption forecast before the work order.</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Both</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R6</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Directorate cannot continue the platform after the first year without the same institution</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Provide for departmental ownership of source code, model configuration, prompts, glossary, templates and data; a perpetual right of use; documented handover; and a transition period with assistance at the end of the term.</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R7</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Newspaper and e-paper licences are not obtained, so media monitoring cannot operate</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Obtain the estimated licensing cost and the minimum source set; provide for it separately or defer the component to the second year.</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R8</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An external model or service is withdrawn, re-priced or degraded during the term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proposal already provides for provider substitution. Require prior notice, re-validation of quality before substitution, and that no increase in provider cost is passed on without prior approval.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Institution</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R9</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on-site professionals are under-qualified, or leave and are not replaced promptly</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Fix minimum qualifications; obtain curricula vitae before deployment; require a notice period and replacement by a person of equivalent qualification; deduct for unfilled days.</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Institution</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R10</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An inaccurate statement generated by the platform is published in the Directorate’s name</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Low</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Very high</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Officer approval is retained at every outward-facing stage, and the fact-check section and source lineage are provided. Record in the contract that final editorial and publication authority rests with authorised officers and that the platform is an aid and not an authority.</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R11</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Scope is procured which the State has already licensed under its own AI deployment</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Ascertain the licensed capability from the Electronics, Information Technology and Artificial Intelligence Department before the tender, and re-cast overlapping scope as integration. See Finding 5.</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R12</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single proposal at the estimated figure gives no evidence of the market price</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High</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Follow the e-tender process on a quality-and-cost basis as the departmental note provides.</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Directorate</w:t>
            </w:r>
          </w:p>
        </w:tc>
      </w:tr>
      <w:tr>
        <w:trPr>
          <w:cantSplit/>
          <w:tblHeader w:val="false"/>
        </w:trPr>
        <w:tc>
          <w:tcPr>
            <w:tcW w:type="dxa" w:w="487"/>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R13</w:t>
            </w:r>
          </w:p>
        </w:tc>
        <w:tc>
          <w:tcPr>
            <w:tcW w:type="dxa" w:w="224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central engineering provision is thin against the scope described for it</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1072"/>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Medium</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Require a named minimum standing strength and a month-by-month staffing plan, with monthly reporting against it and deductions for shortfall.</w:t>
            </w:r>
          </w:p>
        </w:tc>
        <w:tc>
          <w:tcPr>
            <w:tcW w:type="dxa" w:w="136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Institution</w:t>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9.  Conclusion on value for money</w:t>
      </w:r>
    </w:p>
    <w:p>
      <w:pPr>
        <w:pStyle w:val="ListParagraph"/>
        <w:numPr>
          <w:ilvl w:val="0"/>
          <w:numId w:val="3"/>
        </w:numPr>
        <w:spacing w:after="100" w:line="264"/>
        <w:jc w:val="both"/>
      </w:pPr>
      <w:r>
        <w:rPr>
          <w:rFonts w:ascii="Calibri" w:cs="Calibri" w:eastAsia="Calibri" w:hAnsi="Calibri"/>
          <w:b/>
          <w:bCs/>
          <w:i w:val="false"/>
          <w:iCs w:val="false"/>
          <w:color w:val="1A1A1A"/>
          <w:sz w:val="20"/>
          <w:szCs w:val="20"/>
        </w:rPr>
        <w:t xml:space="preserve">The estimate is reasonable. </w:t>
      </w:r>
      <w:r>
        <w:rPr>
          <w:rFonts w:ascii="Calibri" w:cs="Calibri" w:eastAsia="Calibri" w:hAnsi="Calibri"/>
          <w:b w:val="false"/>
          <w:bCs w:val="false"/>
          <w:i w:val="false"/>
          <w:iCs w:val="false"/>
          <w:color w:val="1A1A1A"/>
          <w:sz w:val="20"/>
          <w:szCs w:val="20"/>
        </w:rPr>
        <w:t xml:space="preserve">On the effort test at Section 3 the engagement corresponds to an average standing team of roughly twenty to thirty professionals for twelve months, which is a credible quantum of work for what is described. On the comparison at Section 6 the annual outlay is of the same order as what the State is paying for its horizontal AI workspace, for a wider functional scope and a durable asset. The estimate of ₹5.90 crore recorded in the note is supported.</w:t>
      </w:r>
    </w:p>
    <w:p>
      <w:pPr>
        <w:pStyle w:val="ListParagraph"/>
        <w:numPr>
          <w:ilvl w:val="0"/>
          <w:numId w:val="3"/>
        </w:numPr>
        <w:spacing w:after="100" w:line="264"/>
        <w:jc w:val="both"/>
      </w:pPr>
      <w:r>
        <w:rPr>
          <w:rFonts w:ascii="Calibri" w:cs="Calibri" w:eastAsia="Calibri" w:hAnsi="Calibri"/>
          <w:b/>
          <w:bCs/>
          <w:i w:val="false"/>
          <w:iCs w:val="false"/>
          <w:color w:val="1A1A1A"/>
          <w:sz w:val="20"/>
          <w:szCs w:val="20"/>
        </w:rPr>
        <w:t xml:space="preserve">The operating block is fairly priced and in two respects favourable. </w:t>
      </w:r>
      <w:r>
        <w:rPr>
          <w:rFonts w:ascii="Calibri" w:cs="Calibri" w:eastAsia="Calibri" w:hAnsi="Calibri"/>
          <w:b w:val="false"/>
          <w:bCs w:val="false"/>
          <w:i w:val="false"/>
          <w:iCs w:val="false"/>
          <w:color w:val="1A1A1A"/>
          <w:sz w:val="20"/>
          <w:szCs w:val="20"/>
        </w:rPr>
        <w:t xml:space="preserve">Maintenance and support, read together, fall within the customary range, and project management is below it. Two lines require attention: central engineering is thin against its described scope, and the on-site provision, though correctly priced, carries a risk in the quality of the persons deployed.</w:t>
      </w:r>
    </w:p>
    <w:p>
      <w:pPr>
        <w:pStyle w:val="ListParagraph"/>
        <w:numPr>
          <w:ilvl w:val="0"/>
          <w:numId w:val="3"/>
        </w:numPr>
        <w:spacing w:after="100" w:line="264"/>
        <w:jc w:val="both"/>
      </w:pPr>
      <w:r>
        <w:rPr>
          <w:rFonts w:ascii="Calibri" w:cs="Calibri" w:eastAsia="Calibri" w:hAnsi="Calibri"/>
          <w:b/>
          <w:bCs/>
          <w:i w:val="false"/>
          <w:iCs w:val="false"/>
          <w:color w:val="1A1A1A"/>
          <w:sz w:val="20"/>
          <w:szCs w:val="20"/>
        </w:rPr>
        <w:t xml:space="preserve">The price has not, however, been tested. </w:t>
      </w:r>
      <w:r>
        <w:rPr>
          <w:rFonts w:ascii="Calibri" w:cs="Calibri" w:eastAsia="Calibri" w:hAnsi="Calibri"/>
          <w:b w:val="false"/>
          <w:bCs w:val="false"/>
          <w:i w:val="false"/>
          <w:iCs w:val="false"/>
          <w:color w:val="1A1A1A"/>
          <w:sz w:val="20"/>
          <w:szCs w:val="20"/>
        </w:rPr>
        <w:t xml:space="preserve">A single proposal at exactly the estimated figure demonstrates that the estimate is achievable; it does not demonstrate that it is the best price obtainable. The two are different questions, and only the e-tender process for which the departmental note provides can answer the second.</w:t>
      </w:r>
    </w:p>
    <w:p>
      <w:pPr>
        <w:pStyle w:val="ListParagraph"/>
        <w:numPr>
          <w:ilvl w:val="0"/>
          <w:numId w:val="3"/>
        </w:numPr>
        <w:spacing w:after="100" w:line="264"/>
        <w:jc w:val="both"/>
      </w:pPr>
      <w:r>
        <w:rPr>
          <w:rFonts w:ascii="Calibri" w:cs="Calibri" w:eastAsia="Calibri" w:hAnsi="Calibri"/>
          <w:b/>
          <w:bCs/>
          <w:i w:val="false"/>
          <w:iCs w:val="false"/>
          <w:color w:val="1A1A1A"/>
          <w:sz w:val="20"/>
          <w:szCs w:val="20"/>
        </w:rPr>
        <w:t xml:space="preserve">Three actions would improve value for money before anything is committed. </w:t>
      </w:r>
      <w:r>
        <w:rPr>
          <w:rFonts w:ascii="Calibri" w:cs="Calibri" w:eastAsia="Calibri" w:hAnsi="Calibri"/>
          <w:b w:val="false"/>
          <w:bCs w:val="false"/>
          <w:i w:val="false"/>
          <w:iCs w:val="false"/>
          <w:color w:val="1A1A1A"/>
          <w:sz w:val="20"/>
          <w:szCs w:val="20"/>
        </w:rPr>
        <w:t xml:space="preserve">Ascertain from the Electronics, Information Technology and Artificial Intelligence Department what AI capability is already licensed to the Directorate and re-cast overlapping scope as integration; decide whether a native mobile application at ₹28 lakh is required, the note having asked only for an installable progressive web application; and require a consumption forecast for the ₹55 lakh metered provision so that it is paid against evidence rather than as an allowance. Together these three bear on ₹1.10 crore of the ₹3.75 crore development value.</w:t>
      </w:r>
    </w:p>
    <w:p>
      <w:pPr>
        <w:pStyle w:val="ListParagraph"/>
        <w:numPr>
          <w:ilvl w:val="0"/>
          <w:numId w:val="3"/>
        </w:numPr>
        <w:spacing w:after="100" w:line="264"/>
        <w:jc w:val="both"/>
      </w:pPr>
      <w:r>
        <w:rPr>
          <w:rFonts w:ascii="Calibri" w:cs="Calibri" w:eastAsia="Calibri" w:hAnsi="Calibri"/>
          <w:b/>
          <w:bCs/>
          <w:i w:val="false"/>
          <w:iCs w:val="false"/>
          <w:color w:val="1A1A1A"/>
          <w:sz w:val="20"/>
          <w:szCs w:val="20"/>
        </w:rPr>
        <w:t xml:space="preserve">The risks are manageable, and almost all of them by drafting. </w:t>
      </w:r>
      <w:r>
        <w:rPr>
          <w:rFonts w:ascii="Calibri" w:cs="Calibri" w:eastAsia="Calibri" w:hAnsi="Calibri"/>
          <w:b w:val="false"/>
          <w:bCs w:val="false"/>
          <w:i w:val="false"/>
          <w:iCs w:val="false"/>
          <w:color w:val="1A1A1A"/>
          <w:sz w:val="20"/>
          <w:szCs w:val="20"/>
        </w:rPr>
        <w:t xml:space="preserve">Of the thirteen risks at Section 8, ten are addressed by conditions in the tender document and the contract rather than by any change to the technology. The two that are not — availability of the infrastructure, and the quality of the Marathi output — are addressed respectively by written confirmation from the infrastructure department before the work order and by a demonstration on the Directorate’s own material before award.</w:t>
      </w:r>
    </w:p>
    <w:p>
      <w:pPr>
        <w:spacing w:after="14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Recommendation</w:t>
            </w:r>
          </w:p>
          <w:p>
            <w:pPr>
              <w:spacing w:line="254"/>
              <w:jc w:val="both"/>
            </w:pPr>
            <w:r>
              <w:rPr>
                <w:rFonts w:ascii="Calibri" w:cs="Calibri" w:eastAsia="Calibri" w:hAnsi="Calibri"/>
                <w:color w:val="1A1A1A"/>
                <w:sz w:val="19"/>
                <w:szCs w:val="19"/>
              </w:rPr>
              <w:t xml:space="preserve">That the estimated expenditure of ₹5.90 crore be accepted as reasonable for the scope described in the Annexure to the departmental note; that the appointment nevertheless be made through the e-tender process on a quality-and-cost basis, so that the price is tested as well as validated; that the three value-improving actions at conclusion 4 be completed before the tender is issued; and that the mitigations at Section 8 be carried into the tender document and the contract.</w:t>
            </w:r>
          </w:p>
        </w:tc>
      </w:tr>
    </w:tbl>
    <w:p>
      <w:pPr>
        <w:spacing w:after="300"/>
      </w:pPr>
      <w:r>
        <w:rPr>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Senior Assistant Director (New Media)</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Deputy Director (Accounts)</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Deputy Director (News)</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Director (Information) (Administration)</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r>
    </w:tbl>
    <w:p>
      <w:r>
        <w:br w:type="page"/>
      </w:r>
    </w:p>
    <w:p>
      <w:pPr>
        <w:pStyle w:val="Heading1"/>
        <w:keepNext/>
        <w:pBdr>
          <w:bottom w:val="single" w:color="17365D" w:sz="8" w:space="6"/>
        </w:pBdr>
        <w:spacing w:after="160" w:before="0"/>
      </w:pPr>
      <w:r>
        <w:rPr>
          <w:rFonts w:ascii="Cambria" w:cs="Cambria" w:eastAsia="Cambria" w:hAnsi="Cambria"/>
          <w:b/>
          <w:bCs/>
          <w:color w:val="17365D"/>
          <w:sz w:val="26"/>
          <w:szCs w:val="26"/>
        </w:rPr>
        <w:t xml:space="preserve">Annexure I — Assumptions used in this assessment</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Every derived figure in this assessment rests on one or more of the following. Each is stated so that it may be replaced by the Directorate’s own data or by the figures actually quoted in the tender, and the derived figures recomputed.</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585"/>
        <w:gridCol w:w="3898"/>
        <w:gridCol w:w="5263"/>
      </w:tblGrid>
      <w:tr>
        <w:trPr>
          <w:cantSplit/>
          <w:tblHeader/>
        </w:trPr>
        <w:tc>
          <w:tcPr>
            <w:tcW w:type="dxa" w:w="58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389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Assumption</w:t>
            </w:r>
          </w:p>
        </w:tc>
        <w:tc>
          <w:tcPr>
            <w:tcW w:type="dxa" w:w="526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Basis and effect</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blended rate of ₹1.20 lakh to ₹1.80 lakh per person-month, with ₹1.50 lakh taken as the mid-point</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ordinary range for Indian information-technology services engaged on government work, inclusive of employer cost, overhead, tooling and margin, weighted for the proportion of specialist artificial-intelligence effort in this scope. Used at Sections 3 and 4. To be replaced by the rates in the financial bid. A lower rate implies a larger team for the same money and vice versa; the direction of the finding at Section 3 does not change within the stated range.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person-month of twenty working days</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Used to convert value into effort at Section 3.</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Equipment for the two on-site professionals at about ₹1.5 lakh each</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Used to isolate the personnel element of service line B4 at Section 4. To be replaced by the equipment schedule actually offered.</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customary annual maintenance charge of fifteen to twenty per cent of build value</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Used at Section 4 to assess service lines B3, B5 and B7 read together.</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Customary programme-management overhead of five to ten per cent</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Used at Section 4 to assess service line B8.</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build durations and component values stated in the proposal</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Taken as offered. Section 3.1 tests them for internal consistency and finds that they are not consistent with the average team the price supports; that finding is the reason for requiring a staffing plan.</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State-wide AI deployment figures at Section 6</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Taken from press reports of an approval by the Electronics, Information Technology and Artificial Intelligence Department in August 2026. Not verified. The Directorate should confirm them with that Department before relying on the comparison, and Finding 5 should be acted on regardless of the figures, since it concerns overlap of scope rather than price.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cost-neutrality threshold of ₹49.2 lakh a month</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Arithmetic only: ₹5.90 crore divided by twelve. It is not a claim about benefit; the worksheet at Section 7 is to be completed by the Directorate from its own volumes.</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Goods-and-services tax at eighteen per cent</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As recorded in the departmental note. The proposal does not state whether its figure is inclusive or exclusive, and this must be settled in writing.</w:t>
            </w:r>
          </w:p>
        </w:tc>
      </w:tr>
    </w:tbl>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0C7" w:sz="4" w:space="4"/>
      </w:pBdr>
      <w:tabs>
        <w:tab w:val="right" w:pos="9746"/>
      </w:tabs>
      <w:spacing w:before="40"/>
      <w:jc w:val="left"/>
    </w:pPr>
    <w:r>
      <w:rPr>
        <w:rFonts w:ascii="Calibri" w:cs="Calibri" w:eastAsia="Calibri" w:hAnsi="Calibri"/>
        <w:color w:val="55606B"/>
        <w:sz w:val="15"/>
        <w:szCs w:val="15"/>
      </w:rPr>
      <w:t xml:space="preserve">Draft for departmental consideration</w:t>
    </w:r>
    <w:r>
      <w:rPr>
        <w:sz w:val="15"/>
        <w:szCs w:val="15"/>
      </w:rPr>
      <w:t xml:space="preserve">	</w:t>
    </w:r>
    <w:r>
      <w:rPr>
        <w:rFonts w:ascii="Calibri" w:cs="Calibri" w:eastAsia="Calibri" w:hAnsi="Calibri"/>
        <w:color w:val="5560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0C7" w:sz="4" w:space="4"/>
      </w:pBdr>
      <w:spacing w:after="40"/>
      <w:jc w:val="left"/>
    </w:pPr>
    <w:r>
      <w:rPr>
        <w:rFonts w:ascii="Calibri" w:cs="Calibri" w:eastAsia="Calibri" w:hAnsi="Calibri"/>
        <w:color w:val="55606B"/>
        <w:sz w:val="15"/>
        <w:szCs w:val="15"/>
      </w:rPr>
      <w:t xml:space="preserve">Directorate General of Information and Public Relations, Government of Maharashtra  ·  Cost Reasonableness and Risk Assessment — AI NewsRoom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Directorate General of Information and Public Relations, Government of Maharashtra  ·  Cost Reasonableness and Risk Assessment — AI NewsRoom</dc:title>
  <dc:creator>Directorate General of Information and Public Relations</dc:creator>
  <cp:lastModifiedBy>Un-named</cp:lastModifiedBy>
  <cp:revision>1</cp:revision>
  <dcterms:created xsi:type="dcterms:W3CDTF">2026-09-08T12:18:29.907Z</dcterms:created>
  <dcterms:modified xsi:type="dcterms:W3CDTF">2026-09-08T12:18:29.907Z</dcterms:modified>
</cp:coreProperties>
</file>

<file path=docProps/custom.xml><?xml version="1.0" encoding="utf-8"?>
<Properties xmlns="http://schemas.openxmlformats.org/officeDocument/2006/custom-properties" xmlns:vt="http://schemas.openxmlformats.org/officeDocument/2006/docPropsVTypes"/>
</file>