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HASHCASE  |  CLIENT CAPABILITIES</w:t>
      </w:r>
    </w:p>
    <w:p>
      <w:pPr>
        <w:pStyle w:val="Title"/>
      </w:pPr>
      <w:r>
        <w:t>What HashCase Can Do for Your Business</w:t>
      </w:r>
    </w:p>
    <w:p>
      <w:pPr>
        <w:pStyle w:val="Deck"/>
      </w:pPr>
      <w:r>
        <w:t>End to end workflow automation and private AI systems for organizations that need useful output, operational control, and evidence of quality.</w:t>
      </w:r>
    </w:p>
    <w:p>
      <w:pPr>
        <w:pStyle w:val="Body"/>
      </w:pPr>
      <w:r>
        <w:t>HashCase designs and builds the full path from messy inputs to reviewed decisions and finished outputs. We combine document and media intake, retrieval, model calls, deterministic rules, human approval, and integration with the systems where work gets done. For sensitive operations, we also deploy and adapt models inside a client controlled environment, with data paths and network egress defined before production.</w:t>
      </w:r>
    </w:p>
    <w:p>
      <w:pPr>
        <w:pStyle w:val="Heading2"/>
      </w:pPr>
      <w:r>
        <w:t>Our two core offerings</w:t>
      </w:r>
    </w:p>
    <w:tbl>
      <w:tblPr>
        <w:tblW w:type="auto" w:w="0"/>
        <w:jc w:val="center"/>
        <w:tblLayout w:type="fixed"/>
        <w:tblLook w:firstColumn="1" w:firstRow="1" w:lastColumn="0" w:lastRow="0" w:noHBand="0" w:noVBand="1" w:val="04A0"/>
      </w:tblPr>
      <w:tblGrid>
        <w:gridCol w:w="2376"/>
        <w:gridCol w:w="4320"/>
        <w:gridCol w:w="2808"/>
      </w:tblGrid>
      <w:tr>
        <w:tc>
          <w:tcPr>
            <w:tcW w:type="dxa" w:w="2376"/>
            <w:vAlign w:val="center"/>
            <w:shd w:fill="E7EDF3"/>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Head"/>
            </w:pPr>
            <w:r>
              <w:t>Offering</w:t>
            </w:r>
          </w:p>
        </w:tc>
        <w:tc>
          <w:tcPr>
            <w:tcW w:type="dxa" w:w="4320"/>
            <w:vAlign w:val="center"/>
            <w:shd w:fill="E7EDF3"/>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Head"/>
            </w:pPr>
            <w:r>
              <w:t>What we deliver</w:t>
            </w:r>
          </w:p>
        </w:tc>
        <w:tc>
          <w:tcPr>
            <w:tcW w:type="dxa" w:w="2808"/>
            <w:vAlign w:val="center"/>
            <w:shd w:fill="E7EDF3"/>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Head"/>
            </w:pPr>
            <w:r>
              <w:t>Client control</w:t>
            </w:r>
          </w:p>
        </w:tc>
      </w:tr>
      <w:tr>
        <w:tc>
          <w:tcPr>
            <w:tcW w:type="dxa" w:w="2376"/>
            <w:vAlign w:val="center"/>
            <w:shd w:fill="FFFFFF"/>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Applied AI workflow automation</w:t>
            </w:r>
          </w:p>
        </w:tc>
        <w:tc>
          <w:tcPr>
            <w:tcW w:type="dxa" w:w="4320"/>
            <w:vAlign w:val="center"/>
            <w:shd w:fill="FFFFFF"/>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Production software that ingests source material, orchestrates specialist models and tools, validates results, routes exceptions to staff, and delivers approved outputs or actions.</w:t>
            </w:r>
          </w:p>
        </w:tc>
        <w:tc>
          <w:tcPr>
            <w:tcW w:type="dxa" w:w="2808"/>
            <w:vAlign w:val="center"/>
            <w:shd w:fill="FFFFFF"/>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Review gates, traceable state, versioned logic, and measured cost per workflow.</w:t>
            </w:r>
          </w:p>
        </w:tc>
      </w:tr>
      <w:tr>
        <w:tc>
          <w:tcPr>
            <w:tcW w:type="dxa" w:w="2376"/>
            <w:vAlign w:val="center"/>
            <w:shd w:fill="F3F6F9"/>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Private model deployment and adaptation</w:t>
            </w:r>
          </w:p>
        </w:tc>
        <w:tc>
          <w:tcPr>
            <w:tcW w:type="dxa" w:w="4320"/>
            <w:vAlign w:val="center"/>
            <w:shd w:fill="F3F6F9"/>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Client isolated inference, retrieval and storage; model selection, domain tuning where the data supports it, evaluation, monitoring, and rollback.</w:t>
            </w:r>
          </w:p>
        </w:tc>
        <w:tc>
          <w:tcPr>
            <w:tcW w:type="dxa" w:w="2808"/>
            <w:vAlign w:val="center"/>
            <w:shd w:fill="F3F6F9"/>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Data residency, approved access, controlled egress, and ownership of deployment artifacts.</w:t>
            </w:r>
          </w:p>
        </w:tc>
      </w:tr>
    </w:tbl>
    <w:p>
      <w:pPr>
        <w:pStyle w:val="AfterTable"/>
      </w:pPr>
    </w:p>
    <w:p>
      <w:pPr>
        <w:pStyle w:val="Heading2"/>
      </w:pPr>
      <w:r>
        <w:t>How we deliver</w:t>
      </w:r>
    </w:p>
    <w:p>
      <w:pPr>
        <w:pStyle w:val="Step"/>
      </w:pPr>
      <w:r>
        <w:rPr>
          <w:b/>
          <w:color w:val="1E66B4"/>
        </w:rPr>
        <w:t xml:space="preserve">01  </w:t>
      </w:r>
      <w:r>
        <w:rPr>
          <w:b/>
        </w:rPr>
        <w:t>Map the work.</w:t>
      </w:r>
      <w:r>
        <w:t xml:space="preserve">  Identify source systems, decisions, handoffs, exceptions, and the cost of errors.</w:t>
      </w:r>
    </w:p>
    <w:p>
      <w:pPr>
        <w:pStyle w:val="Step"/>
      </w:pPr>
      <w:r>
        <w:rPr>
          <w:b/>
          <w:color w:val="1E66B4"/>
        </w:rPr>
        <w:t xml:space="preserve">02  </w:t>
      </w:r>
      <w:r>
        <w:rPr>
          <w:b/>
        </w:rPr>
        <w:t>Build the pipeline.</w:t>
      </w:r>
      <w:r>
        <w:t xml:space="preserve">  Create intake, extraction, retrieval, model, rules, integration, and review stages as testable components.</w:t>
      </w:r>
    </w:p>
    <w:p>
      <w:pPr>
        <w:pStyle w:val="Step"/>
      </w:pPr>
      <w:r>
        <w:rPr>
          <w:b/>
          <w:color w:val="1E66B4"/>
        </w:rPr>
        <w:t xml:space="preserve">03  </w:t>
      </w:r>
      <w:r>
        <w:rPr>
          <w:b/>
        </w:rPr>
        <w:t>Prove the result.</w:t>
      </w:r>
      <w:r>
        <w:t xml:space="preserve">  Run representative and edge case evaluations, compare against a baseline, and record failure modes.</w:t>
      </w:r>
    </w:p>
    <w:p>
      <w:pPr>
        <w:pStyle w:val="Step"/>
      </w:pPr>
      <w:r>
        <w:rPr>
          <w:b/>
          <w:color w:val="1E66B4"/>
        </w:rPr>
        <w:t xml:space="preserve">04  </w:t>
      </w:r>
      <w:r>
        <w:rPr>
          <w:b/>
        </w:rPr>
        <w:t>Operate and improve.</w:t>
      </w:r>
      <w:r>
        <w:t xml:space="preserve">  Ship with observability, approval controls, versioning, regression checks, and a clear path to change providers or models.</w:t>
      </w:r>
    </w:p>
    <w:p>
      <w:pPr>
        <w:pStyle w:val="Small"/>
      </w:pPr>
      <w:r>
        <w:t>The result is an operational product: a usable interface and API, the automation behind it, and a quality and security process that can be inspected.</w:t>
      </w:r>
    </w:p>
    <w:p>
      <w:r>
        <w:br w:type="page"/>
      </w:r>
    </w:p>
    <w:p>
      <w:pPr>
        <w:pStyle w:val="Eyebrow"/>
      </w:pPr>
      <w:r>
        <w:t>WHAT WE CAN BUILD FOR YOU</w:t>
      </w:r>
    </w:p>
    <w:p>
      <w:pPr>
        <w:pStyle w:val="Heading1"/>
      </w:pPr>
      <w:r>
        <w:t>From fragmented work to governed outcomes</w:t>
      </w:r>
    </w:p>
    <w:p>
      <w:pPr>
        <w:pStyle w:val="Body"/>
      </w:pPr>
      <w:r>
        <w:t>We start with the work your team already performs: the documents they read, the systems they update, the decisions they escalate, and the outputs they deliver. We then automate the repeatable path while keeping people in control of consequential exceptions and external actions.</w:t>
      </w:r>
    </w:p>
    <w:p>
      <w:pPr>
        <w:pStyle w:val="Heading2"/>
      </w:pPr>
      <w:r>
        <w:t>Client workflows we can scope</w:t>
      </w:r>
    </w:p>
    <w:tbl>
      <w:tblPr>
        <w:tblW w:type="auto" w:w="0"/>
        <w:jc w:val="center"/>
        <w:tblLayout w:type="fixed"/>
        <w:tblLook w:firstColumn="1" w:firstRow="1" w:lastColumn="0" w:lastRow="0" w:noHBand="0" w:noVBand="1" w:val="04A0"/>
      </w:tblPr>
      <w:tblGrid>
        <w:gridCol w:w="2160"/>
        <w:gridCol w:w="3744"/>
        <w:gridCol w:w="3600"/>
      </w:tblGrid>
      <w:tr>
        <w:tc>
          <w:tcPr>
            <w:tcW w:type="dxa" w:w="2160"/>
            <w:vAlign w:val="center"/>
            <w:shd w:fill="E7EDF3"/>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Head"/>
            </w:pPr>
            <w:r>
              <w:t>Work pattern</w:t>
            </w:r>
          </w:p>
        </w:tc>
        <w:tc>
          <w:tcPr>
            <w:tcW w:type="dxa" w:w="3744"/>
            <w:vAlign w:val="center"/>
            <w:shd w:fill="E7EDF3"/>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Head"/>
            </w:pPr>
            <w:r>
              <w:t>AI and automation layer</w:t>
            </w:r>
          </w:p>
        </w:tc>
        <w:tc>
          <w:tcPr>
            <w:tcW w:type="dxa" w:w="3600"/>
            <w:vAlign w:val="center"/>
            <w:shd w:fill="E7EDF3"/>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Head"/>
            </w:pPr>
            <w:r>
              <w:t>Operational outcome</w:t>
            </w:r>
          </w:p>
        </w:tc>
      </w:tr>
      <w:tr>
        <w:tc>
          <w:tcPr>
            <w:tcW w:type="dxa" w:w="2160"/>
            <w:vAlign w:val="center"/>
            <w:shd w:fill="FFFFFF"/>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Document operations</w:t>
            </w:r>
          </w:p>
        </w:tc>
        <w:tc>
          <w:tcPr>
            <w:tcW w:type="dxa" w:w="3744"/>
            <w:vAlign w:val="center"/>
            <w:shd w:fill="FFFFFF"/>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Read PDFs, scans, forms, and attachments; extract fields; validate names, numbers, and source evidence.</w:t>
            </w:r>
          </w:p>
        </w:tc>
        <w:tc>
          <w:tcPr>
            <w:tcW w:type="dxa" w:w="3600"/>
            <w:vAlign w:val="center"/>
            <w:shd w:fill="FFFFFF"/>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Review ready records, summaries, drafts, and exception queues.</w:t>
            </w:r>
          </w:p>
        </w:tc>
      </w:tr>
      <w:tr>
        <w:tc>
          <w:tcPr>
            <w:tcW w:type="dxa" w:w="2160"/>
            <w:vAlign w:val="center"/>
            <w:shd w:fill="F3F6F9"/>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Knowledge work</w:t>
            </w:r>
          </w:p>
        </w:tc>
        <w:tc>
          <w:tcPr>
            <w:tcW w:type="dxa" w:w="3744"/>
            <w:vAlign w:val="center"/>
            <w:shd w:fill="F3F6F9"/>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Index approved internal material; retrieve relevant passages; draft answers or reports with source context.</w:t>
            </w:r>
          </w:p>
        </w:tc>
        <w:tc>
          <w:tcPr>
            <w:tcW w:type="dxa" w:w="3600"/>
            <w:vAlign w:val="center"/>
            <w:shd w:fill="F3F6F9"/>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Faster search and reusable institutional knowledge.</w:t>
            </w:r>
          </w:p>
        </w:tc>
      </w:tr>
      <w:tr>
        <w:tc>
          <w:tcPr>
            <w:tcW w:type="dxa" w:w="2160"/>
            <w:vAlign w:val="center"/>
            <w:shd w:fill="FFFFFF"/>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Multi step operations</w:t>
            </w:r>
          </w:p>
        </w:tc>
        <w:tc>
          <w:tcPr>
            <w:tcW w:type="dxa" w:w="3744"/>
            <w:vAlign w:val="center"/>
            <w:shd w:fill="FFFFFF"/>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Classify requests, call business APIs, update records, route approvals, and recover from partial failures.</w:t>
            </w:r>
          </w:p>
        </w:tc>
        <w:tc>
          <w:tcPr>
            <w:tcW w:type="dxa" w:w="3600"/>
            <w:vAlign w:val="center"/>
            <w:shd w:fill="FFFFFF"/>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A tracked workflow that completes real work across systems.</w:t>
            </w:r>
          </w:p>
        </w:tc>
      </w:tr>
      <w:tr>
        <w:tc>
          <w:tcPr>
            <w:tcW w:type="dxa" w:w="2160"/>
            <w:vAlign w:val="center"/>
            <w:shd w:fill="F3F6F9"/>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Multimodal production</w:t>
            </w:r>
          </w:p>
        </w:tc>
        <w:tc>
          <w:tcPr>
            <w:tcW w:type="dxa" w:w="3744"/>
            <w:vAlign w:val="center"/>
            <w:shd w:fill="F3F6F9"/>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Turn audio, documents, images, or notes into multilingual text and approved visual or video assets.</w:t>
            </w:r>
          </w:p>
        </w:tc>
        <w:tc>
          <w:tcPr>
            <w:tcW w:type="dxa" w:w="3600"/>
            <w:vAlign w:val="center"/>
            <w:shd w:fill="F3F6F9"/>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Coordinated output from one reviewed source package.</w:t>
            </w:r>
          </w:p>
        </w:tc>
      </w:tr>
    </w:tbl>
    <w:p>
      <w:pPr>
        <w:pStyle w:val="AfterTable"/>
      </w:pPr>
    </w:p>
    <w:p>
      <w:pPr>
        <w:pStyle w:val="Heading2"/>
      </w:pPr>
      <w:r>
        <w:t>Proof from a demanding environment</w:t>
      </w:r>
    </w:p>
    <w:p>
      <w:pPr>
        <w:pStyle w:val="Body"/>
      </w:pPr>
      <w:r>
        <w:t>Our DGIPR platform for the Government of Maharashtra is in production use. It turns official notes, audio, scanned documents, and video sources into Marathi articles, translations, branded creatives, and explainer videos. Officers can correct sources and names, review outputs, and confirm publication. Behind the interface are tracked jobs, a verified glossary, style retrieval kept separate from factual sources, schema validation, and code level safeguards. This project demonstrates our ability to deliver a complete workflow; each new client solution is designed around that client’s systems and risk boundary.</w:t>
      </w:r>
    </w:p>
    <w:p>
      <w:pPr>
        <w:pStyle w:val="Small"/>
      </w:pPr>
      <w:r>
        <w:t>The DGIPR implementation currently uses approved external AI services for several tasks. A fully private deployment requires the separate boundary and verification described on page 4.</w:t>
      </w:r>
    </w:p>
    <w:p>
      <w:r>
        <w:br w:type="page"/>
      </w:r>
    </w:p>
    <w:p>
      <w:pPr>
        <w:pStyle w:val="Eyebrow"/>
      </w:pPr>
      <w:r>
        <w:t>EVALUATION AND ASSURANCE</w:t>
      </w:r>
    </w:p>
    <w:p>
      <w:pPr>
        <w:pStyle w:val="Heading1"/>
      </w:pPr>
      <w:r>
        <w:t>Quality is tested at every layer</w:t>
      </w:r>
    </w:p>
    <w:p>
      <w:pPr>
        <w:pStyle w:val="Body"/>
      </w:pPr>
      <w:r>
        <w:t>A good sample answer is insufficient for a production workflow. We set acceptance criteria for the data, the model output, the full sequence of actions, and the state of the connected systems. We keep deterministic guarantees in code and use calibrated review for judgments that code cannot settle.</w:t>
      </w:r>
    </w:p>
    <w:tbl>
      <w:tblPr>
        <w:tblW w:type="auto" w:w="0"/>
        <w:jc w:val="center"/>
        <w:tblLayout w:type="fixed"/>
        <w:tblLook w:firstColumn="1" w:firstRow="1" w:lastColumn="0" w:lastRow="0" w:noHBand="0" w:noVBand="1" w:val="04A0"/>
      </w:tblPr>
      <w:tblGrid>
        <w:gridCol w:w="2376"/>
        <w:gridCol w:w="4320"/>
        <w:gridCol w:w="2808"/>
      </w:tblGrid>
      <w:tr>
        <w:tc>
          <w:tcPr>
            <w:tcW w:type="dxa" w:w="2376"/>
            <w:vAlign w:val="center"/>
            <w:shd w:fill="E7EDF3"/>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Head"/>
            </w:pPr>
            <w:r>
              <w:t>Evaluation layer</w:t>
            </w:r>
          </w:p>
        </w:tc>
        <w:tc>
          <w:tcPr>
            <w:tcW w:type="dxa" w:w="4320"/>
            <w:vAlign w:val="center"/>
            <w:shd w:fill="E7EDF3"/>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Head"/>
            </w:pPr>
            <w:r>
              <w:t>What we inspect</w:t>
            </w:r>
          </w:p>
        </w:tc>
        <w:tc>
          <w:tcPr>
            <w:tcW w:type="dxa" w:w="2808"/>
            <w:vAlign w:val="center"/>
            <w:shd w:fill="E7EDF3"/>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Head"/>
            </w:pPr>
            <w:r>
              <w:t>Client acceptance evidence</w:t>
            </w:r>
          </w:p>
        </w:tc>
      </w:tr>
      <w:tr>
        <w:tc>
          <w:tcPr>
            <w:tcW w:type="dxa" w:w="2376"/>
            <w:vAlign w:val="center"/>
            <w:shd w:fill="FFFFFF"/>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Programmatic checks</w:t>
            </w:r>
          </w:p>
        </w:tc>
        <w:tc>
          <w:tcPr>
            <w:tcW w:type="dxa" w:w="4320"/>
            <w:vAlign w:val="center"/>
            <w:shd w:fill="FFFFFF"/>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Schema and type validation, identifiers, numeric integrity, required fields, source bound names, and safe state transitions.</w:t>
            </w:r>
          </w:p>
        </w:tc>
        <w:tc>
          <w:tcPr>
            <w:tcW w:type="dxa" w:w="2808"/>
            <w:vAlign w:val="center"/>
            <w:shd w:fill="FFFFFF"/>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Executable checks that fail on invalid output before it becomes an action.</w:t>
            </w:r>
          </w:p>
        </w:tc>
      </w:tr>
      <w:tr>
        <w:tc>
          <w:tcPr>
            <w:tcW w:type="dxa" w:w="2376"/>
            <w:vAlign w:val="center"/>
            <w:shd w:fill="F3F6F9"/>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Content quality</w:t>
            </w:r>
          </w:p>
        </w:tc>
        <w:tc>
          <w:tcPr>
            <w:tcW w:type="dxa" w:w="4320"/>
            <w:vAlign w:val="center"/>
            <w:shd w:fill="F3F6F9"/>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Source coverage, unsupported claims, language quality, terminology, and style using explicit rubrics and human examples.</w:t>
            </w:r>
          </w:p>
        </w:tc>
        <w:tc>
          <w:tcPr>
            <w:tcW w:type="dxa" w:w="2808"/>
            <w:vAlign w:val="center"/>
            <w:shd w:fill="F3F6F9"/>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Held out cases, SME reviewed scoring rules, and a baseline comparison.</w:t>
            </w:r>
          </w:p>
        </w:tc>
      </w:tr>
      <w:tr>
        <w:tc>
          <w:tcPr>
            <w:tcW w:type="dxa" w:w="2376"/>
            <w:vAlign w:val="center"/>
            <w:shd w:fill="FFFFFF"/>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Agent trajectory</w:t>
            </w:r>
          </w:p>
        </w:tc>
        <w:tc>
          <w:tcPr>
            <w:tcW w:type="dxa" w:w="4320"/>
            <w:vAlign w:val="center"/>
            <w:shd w:fill="FFFFFF"/>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Tool choice, arguments, redundant calls, loops, and the final system state across a multi step run.</w:t>
            </w:r>
          </w:p>
        </w:tc>
        <w:tc>
          <w:tcPr>
            <w:tcW w:type="dxa" w:w="2808"/>
            <w:vAlign w:val="center"/>
            <w:shd w:fill="FFFFFF"/>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Replayable traces and state assertions in a sandbox or mock environment.</w:t>
            </w:r>
          </w:p>
        </w:tc>
      </w:tr>
      <w:tr>
        <w:tc>
          <w:tcPr>
            <w:tcW w:type="dxa" w:w="2376"/>
            <w:vAlign w:val="center"/>
            <w:shd w:fill="F3F6F9"/>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Failure scenarios</w:t>
            </w:r>
          </w:p>
        </w:tc>
        <w:tc>
          <w:tcPr>
            <w:tcW w:type="dxa" w:w="4320"/>
            <w:vAlign w:val="center"/>
            <w:shd w:fill="F3F6F9"/>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Malformed inputs, conflicting records, timeouts, rate limits, partial work, and recovery in mock systems.</w:t>
            </w:r>
          </w:p>
        </w:tc>
        <w:tc>
          <w:tcPr>
            <w:tcW w:type="dxa" w:w="2808"/>
            <w:vAlign w:val="center"/>
            <w:shd w:fill="F3F6F9"/>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Edge case regression suite and provider or browser journey checks.</w:t>
            </w:r>
          </w:p>
        </w:tc>
      </w:tr>
      <w:tr>
        <w:tc>
          <w:tcPr>
            <w:tcW w:type="dxa" w:w="2376"/>
            <w:vAlign w:val="center"/>
            <w:shd w:fill="FFFFFF"/>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Operations</w:t>
            </w:r>
          </w:p>
        </w:tc>
        <w:tc>
          <w:tcPr>
            <w:tcW w:type="dxa" w:w="4320"/>
            <w:vAlign w:val="center"/>
            <w:shd w:fill="FFFFFF"/>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Latency, throughput, model usage, cost by task, and regression after a model or prompt change.</w:t>
            </w:r>
          </w:p>
        </w:tc>
        <w:tc>
          <w:tcPr>
            <w:tcW w:type="dxa" w:w="2808"/>
            <w:vAlign w:val="center"/>
            <w:shd w:fill="FFFFFF"/>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Load results, usage accounting, alerts, and rollback criteria.</w:t>
            </w:r>
          </w:p>
        </w:tc>
      </w:tr>
    </w:tbl>
    <w:p>
      <w:pPr>
        <w:pStyle w:val="AfterTable"/>
      </w:pPr>
    </w:p>
    <w:p>
      <w:pPr>
        <w:pStyle w:val="Heading2"/>
      </w:pPr>
      <w:r>
        <w:t>Human review remains a product feature</w:t>
      </w:r>
    </w:p>
    <w:p>
      <w:pPr>
        <w:pStyle w:val="Body"/>
      </w:pPr>
      <w:r>
        <w:t>In DGIPR, officers can correct source text and names before drafting, edit article and visual outputs after generation, and explicitly confirm publishing. These gates are placed at the decisions where a wrong fact or an outward action has a real consequence. Model checks support that judgment; they do not transfer publication authority to the model.</w:t>
      </w:r>
    </w:p>
    <w:p>
      <w:pPr>
        <w:pStyle w:val="Small"/>
      </w:pPr>
      <w:r>
        <w:t>The method is grounded in working components: DGIPR has offline regression harnesses, source coverage and faithfulness checks, held out model scoring, task level usage accounting, provider canaries, and a browser OCR journey. We set the numeric pass thresholds with each client for its actual workflow.</w:t>
      </w:r>
    </w:p>
    <w:p>
      <w:r>
        <w:br w:type="page"/>
      </w:r>
    </w:p>
    <w:p>
      <w:pPr>
        <w:pStyle w:val="Eyebrow"/>
      </w:pPr>
      <w:r>
        <w:t>PRIVATE AI AND DATA SOVEREIGNTY</w:t>
      </w:r>
    </w:p>
    <w:p>
      <w:pPr>
        <w:pStyle w:val="Heading1"/>
      </w:pPr>
      <w:r>
        <w:t>Private AI Deployment Under Your Control</w:t>
      </w:r>
    </w:p>
    <w:p>
      <w:pPr>
        <w:pStyle w:val="Body"/>
      </w:pPr>
      <w:r>
        <w:t>For clients requiring no third party AI transmission, HashCase places model inference, retrieval, approved training data, vector indexes, application services, logs, and storage inside infrastructure they control. We document every data path and disable unapproved outbound model calls through network policy. That design can meet a zero external AI data transfer requirement when the deployment is configured, tested, and operated to that boundary.</w:t>
      </w:r>
    </w:p>
    <w:p>
      <w:pPr>
        <w:pStyle w:val="Heading2"/>
      </w:pPr>
      <w:r>
        <w:t>The private deployment work</w:t>
      </w:r>
    </w:p>
    <w:tbl>
      <w:tblPr>
        <w:tblW w:type="auto" w:w="0"/>
        <w:jc w:val="center"/>
        <w:tblLayout w:type="fixed"/>
        <w:tblLook w:firstColumn="1" w:firstRow="1" w:lastColumn="0" w:lastRow="0" w:noHBand="0" w:noVBand="1" w:val="04A0"/>
      </w:tblPr>
      <w:tblGrid>
        <w:gridCol w:w="2304"/>
        <w:gridCol w:w="4392"/>
        <w:gridCol w:w="2808"/>
      </w:tblGrid>
      <w:tr>
        <w:tc>
          <w:tcPr>
            <w:tcW w:type="dxa" w:w="2304"/>
            <w:vAlign w:val="center"/>
            <w:shd w:fill="E7EDF3"/>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Head"/>
            </w:pPr>
            <w:r>
              <w:t>Workstream</w:t>
            </w:r>
          </w:p>
        </w:tc>
        <w:tc>
          <w:tcPr>
            <w:tcW w:type="dxa" w:w="4392"/>
            <w:vAlign w:val="center"/>
            <w:shd w:fill="E7EDF3"/>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Head"/>
            </w:pPr>
            <w:r>
              <w:t>HashCase responsibility</w:t>
            </w:r>
          </w:p>
        </w:tc>
        <w:tc>
          <w:tcPr>
            <w:tcW w:type="dxa" w:w="2808"/>
            <w:vAlign w:val="center"/>
            <w:shd w:fill="E7EDF3"/>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Head"/>
            </w:pPr>
            <w:r>
              <w:t>Acceptance evidence</w:t>
            </w:r>
          </w:p>
        </w:tc>
      </w:tr>
      <w:tr>
        <w:tc>
          <w:tcPr>
            <w:tcW w:type="dxa" w:w="2304"/>
            <w:vAlign w:val="center"/>
            <w:shd w:fill="FFFFFF"/>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Model and retrieval</w:t>
            </w:r>
          </w:p>
        </w:tc>
        <w:tc>
          <w:tcPr>
            <w:tcW w:type="dxa" w:w="4392"/>
            <w:vAlign w:val="center"/>
            <w:shd w:fill="FFFFFF"/>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Select a suitable open weight model; deploy inference; build private embeddings and retrieval; tune adapters only on approved, reviewed examples.</w:t>
            </w:r>
          </w:p>
        </w:tc>
        <w:tc>
          <w:tcPr>
            <w:tcW w:type="dxa" w:w="2808"/>
            <w:vAlign w:val="center"/>
            <w:shd w:fill="FFFFFF"/>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Held out quality results, throughput and latency tests, model and dataset provenance.</w:t>
            </w:r>
          </w:p>
        </w:tc>
      </w:tr>
      <w:tr>
        <w:tc>
          <w:tcPr>
            <w:tcW w:type="dxa" w:w="2304"/>
            <w:vAlign w:val="center"/>
            <w:shd w:fill="F3F6F9"/>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Security boundary</w:t>
            </w:r>
          </w:p>
        </w:tc>
        <w:tc>
          <w:tcPr>
            <w:tcW w:type="dxa" w:w="4392"/>
            <w:vAlign w:val="center"/>
            <w:shd w:fill="F3F6F9"/>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Segment services, restrict identity and secrets, encrypt stored and transmitted data, and govern egress and external integrations.</w:t>
            </w:r>
          </w:p>
        </w:tc>
        <w:tc>
          <w:tcPr>
            <w:tcW w:type="dxa" w:w="2808"/>
            <w:vAlign w:val="center"/>
            <w:shd w:fill="F3F6F9"/>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Network and access review, tested data flow, audit events, and incident and backup procedures.</w:t>
            </w:r>
          </w:p>
        </w:tc>
      </w:tr>
      <w:tr>
        <w:tc>
          <w:tcPr>
            <w:tcW w:type="dxa" w:w="2304"/>
            <w:vAlign w:val="center"/>
            <w:shd w:fill="FFFFFF"/>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Lifecycle</w:t>
            </w:r>
          </w:p>
        </w:tc>
        <w:tc>
          <w:tcPr>
            <w:tcW w:type="dxa" w:w="4392"/>
            <w:vAlign w:val="center"/>
            <w:shd w:fill="FFFFFF"/>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Version prompts, datasets, weights and workflow code; monitor behavior; provide rollback and export paths.</w:t>
            </w:r>
          </w:p>
        </w:tc>
        <w:tc>
          <w:tcPr>
            <w:tcW w:type="dxa" w:w="2808"/>
            <w:vAlign w:val="center"/>
            <w:shd w:fill="FFFFFF"/>
            <w:tcBorders>
              <w:top w:val="single" w:sz="4" w:color="D9D9D9"/>
              <w:left w:val="single" w:sz="4" w:color="D9D9D9"/>
              <w:bottom w:val="single" w:sz="4" w:color="D9D9D9"/>
              <w:right w:val="single" w:sz="4" w:color="D9D9D9"/>
            </w:tcBorders>
            <w:tcMar>
              <w:top w:w="110" w:type="dxa"/>
              <w:left w:w="135" w:type="dxa"/>
              <w:bottom w:w="110" w:type="dxa"/>
              <w:right w:w="135" w:type="dxa"/>
            </w:tcMar>
          </w:tcPr>
          <w:p>
            <w:pPr>
              <w:pStyle w:val="TableBody"/>
            </w:pPr>
            <w:r>
              <w:t>Release record, regression results, restore test, and handover artifacts.</w:t>
            </w:r>
          </w:p>
        </w:tc>
      </w:tr>
    </w:tbl>
    <w:p>
      <w:pPr>
        <w:pStyle w:val="AfterTable"/>
      </w:pPr>
    </w:p>
    <w:p>
      <w:pPr>
        <w:pStyle w:val="Heading2"/>
      </w:pPr>
      <w:r>
        <w:t>How we handle sensitive data</w:t>
      </w:r>
    </w:p>
    <w:p>
      <w:pPr>
        <w:pStyle w:val="Body"/>
      </w:pPr>
      <w:r>
        <w:t>We separate private source material from public outputs, limit what analytics records, use explicit permissions for outward actions, and retain only what the workflow needs. Client specific retention, deletion, key management, and egress rules belong in the deployment specification and are verified before a claim of full sovereignty is made.</w:t>
      </w:r>
    </w:p>
    <w:p>
      <w:pPr>
        <w:pStyle w:val="Heading2"/>
      </w:pPr>
      <w:r>
        <w:t>Model adaptation with evidence</w:t>
      </w:r>
    </w:p>
    <w:p>
      <w:pPr>
        <w:pStyle w:val="Body"/>
      </w:pPr>
      <w:r>
        <w:t>We build tuning datasets from client approved examples, review source and answer pairs, retain provenance, and keep related examples out of both training and evaluation sets. We fine tune where a measured quality gain justifies the added lifecycle, then test the candidate against the current baseline before it replaces any task. The client receives the evaluation record, model version, and rollback path.</w:t>
      </w:r>
    </w:p>
    <w:p>
      <w:pPr>
        <w:pStyle w:val="Heading2"/>
      </w:pPr>
      <w:r>
        <w:t>A practical first engagement</w:t>
      </w:r>
    </w:p>
    <w:p>
      <w:pPr>
        <w:pStyle w:val="Body"/>
      </w:pPr>
      <w:r>
        <w:t>Start with one high value workflow and a small set of representative cases. We map its data boundary, build a working pilot, agree on quality and security gates, and then decide whether connected AI or a fully private stack best meets the client’s requirements. The outcome is a usable workflow and a documented basis for expanding it.</w:t>
      </w:r>
    </w:p>
    <w:sectPr w:rsidR="00FC693F" w:rsidRPr="0006063C" w:rsidSect="00034616">
      <w:footerReference w:type="default" r:id="rId9"/>
      <w:pgSz w:w="11909" w:h="16834"/>
      <w:pgMar w:top="1094" w:right="1123" w:bottom="95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25E6D"/>
        <w:sz w:val="15"/>
      </w:rPr>
      <w:t xml:space="preserve">HashCase  |  Executive note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rial" w:hAnsi="Arial"/>
      <w:b w:val="0"/>
      <w:color w:val="1A20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basedOn w:val="Normal"/>
    <w:pPr>
      <w:keepNext w:val="0"/>
      <w:spacing w:before="0" w:after="200" w:line="240" w:lineRule="auto"/>
    </w:pPr>
    <w:rPr>
      <w:rFonts w:ascii="Arial" w:hAnsi="Arial"/>
      <w:b/>
      <w:color w:val="000000"/>
      <w:sz w:val="16"/>
    </w:rPr>
  </w:style>
  <w:style w:type="paragraph" w:customStyle="1" w:styleId="Deck">
    <w:name w:val="Deck"/>
    <w:basedOn w:val="Normal"/>
    <w:pPr>
      <w:keepNext w:val="0"/>
      <w:spacing w:before="0" w:after="320" w:line="288" w:lineRule="auto"/>
    </w:pPr>
    <w:rPr>
      <w:rFonts w:ascii="Arial" w:hAnsi="Arial"/>
      <w:b w:val="0"/>
      <w:color w:val="000000"/>
      <w:sz w:val="24"/>
    </w:rPr>
  </w:style>
  <w:style w:type="paragraph" w:customStyle="1" w:styleId="Body">
    <w:name w:val="Body"/>
    <w:basedOn w:val="Normal"/>
    <w:pPr>
      <w:keepNext w:val="0"/>
      <w:spacing w:before="0" w:after="160" w:line="286" w:lineRule="auto"/>
    </w:pPr>
    <w:rPr>
      <w:rFonts w:ascii="Arial" w:hAnsi="Arial"/>
      <w:b w:val="0"/>
      <w:color w:val="1A2028"/>
      <w:sz w:val="20"/>
    </w:rPr>
  </w:style>
  <w:style w:type="paragraph" w:customStyle="1" w:styleId="Step">
    <w:name w:val="Step"/>
    <w:basedOn w:val="Normal"/>
    <w:pPr>
      <w:keepNext w:val="0"/>
      <w:spacing w:before="0" w:after="180" w:line="276" w:lineRule="auto"/>
    </w:pPr>
    <w:rPr>
      <w:rFonts w:ascii="Arial" w:hAnsi="Arial"/>
      <w:b w:val="0"/>
      <w:color w:val="1A2028"/>
      <w:sz w:val="19"/>
    </w:rPr>
  </w:style>
  <w:style w:type="paragraph" w:customStyle="1" w:styleId="TableHead">
    <w:name w:val="Table Head"/>
    <w:basedOn w:val="Normal"/>
    <w:pPr>
      <w:keepNext w:val="0"/>
      <w:spacing w:before="0" w:after="0" w:line="269" w:lineRule="auto"/>
    </w:pPr>
    <w:rPr>
      <w:rFonts w:ascii="Arial" w:hAnsi="Arial"/>
      <w:b/>
      <w:color w:val="1A2028"/>
      <w:sz w:val="17"/>
    </w:rPr>
  </w:style>
  <w:style w:type="paragraph" w:customStyle="1" w:styleId="TableBody">
    <w:name w:val="Table Body"/>
    <w:basedOn w:val="Normal"/>
    <w:pPr>
      <w:keepNext w:val="0"/>
      <w:spacing w:before="0" w:after="0" w:line="271" w:lineRule="auto"/>
    </w:pPr>
    <w:rPr>
      <w:rFonts w:ascii="Arial" w:hAnsi="Arial"/>
      <w:b w:val="0"/>
      <w:color w:val="1A2028"/>
      <w:sz w:val="17"/>
    </w:rPr>
  </w:style>
  <w:style w:type="paragraph" w:customStyle="1" w:styleId="AfterTable">
    <w:name w:val="After Table"/>
    <w:basedOn w:val="Normal"/>
    <w:pPr>
      <w:keepNext w:val="0"/>
      <w:spacing w:before="0" w:after="0" w:line="240" w:lineRule="auto"/>
    </w:pPr>
    <w:rPr>
      <w:rFonts w:ascii="Arial" w:hAnsi="Arial"/>
      <w:b w:val="0"/>
      <w:color w:val="1A2028"/>
      <w:sz w:val="6"/>
    </w:rPr>
  </w:style>
  <w:style w:type="paragraph" w:customStyle="1" w:styleId="Small">
    <w:name w:val="Small"/>
    <w:basedOn w:val="Normal"/>
    <w:pPr>
      <w:keepNext w:val="0"/>
      <w:spacing w:before="0" w:after="120" w:line="271" w:lineRule="auto"/>
    </w:pPr>
    <w:rPr>
      <w:rFonts w:ascii="Arial" w:hAnsi="Arial"/>
      <w:b w:val="0"/>
      <w:color w:val="525E6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HashCase Can Do for Your Business</dc:title>
  <dc:subject>Executive note for prospective clients</dc:subject>
  <dc:creator>HashCase</dc:creator>
  <cp:keywords/>
  <dc:description>generated by python-docx</dc:description>
  <cp:lastModifiedBy/>
  <cp:revision>1</cp:revision>
  <dcterms:created xsi:type="dcterms:W3CDTF">2013-12-23T23:15:00Z</dcterms:created>
  <dcterms:modified xsi:type="dcterms:W3CDTF">2013-12-23T23:15:00Z</dcterms:modified>
  <cp:category/>
</cp:coreProperties>
</file>