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8" w:lineRule="auto"/>
      </w:pPr>
      <w:r>
        <w:rPr>
          <w:rFonts w:ascii="Calibri" w:hAnsi="Calibri"/>
          <w:b/>
          <w:i w:val="0"/>
          <w:color w:val="5B2D8E"/>
          <w:sz w:val="18"/>
        </w:rPr>
        <w:t>PROPOSAL  ·  CONFIDENTIAL</w:t>
      </w:r>
    </w:p>
    <w:p>
      <w:pPr>
        <w:spacing w:after="40" w:line="278" w:lineRule="auto" w:before="40"/>
      </w:pPr>
      <w:r>
        <w:rPr>
          <w:rFonts w:ascii="Calibri" w:hAnsi="Calibri"/>
          <w:b/>
          <w:i w:val="0"/>
          <w:color w:val="1A1A1A"/>
          <w:sz w:val="60"/>
        </w:rPr>
        <w:t>AI NewsRoom</w:t>
      </w:r>
    </w:p>
    <w:p>
      <w:pPr>
        <w:spacing w:after="280" w:line="278" w:lineRule="auto"/>
      </w:pPr>
      <w:r>
        <w:rPr>
          <w:rFonts w:ascii="Calibri" w:hAnsi="Calibri"/>
          <w:b w:val="0"/>
          <w:i w:val="0"/>
          <w:color w:val="5A5A5A"/>
          <w:sz w:val="25"/>
        </w:rPr>
        <w:t>A secure, department-controlled AI content operations platform for the Directorate General of Information and Public Relations, Government of Maharashtra</w:t>
      </w:r>
    </w:p>
    <w:p>
      <w:pPr>
        <w:spacing w:after="240"/>
        <w:pBdr>
          <w:bottom w:val="single" w:sz="12" w:space="1" w:color="5B2D8E"/>
        </w:pBdr>
      </w:pP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448"/>
        <w:gridCol w:w="7012"/>
      </w:tblGrid>
      <w:tr>
        <w:tc>
          <w:tcPr>
            <w:tcW w:w="2448" w:type="dxa"/>
          </w:tcPr>
          <w:p>
            <w:pPr>
              <w:spacing w:before="30" w:after="30" w:line="254" w:lineRule="auto"/>
            </w:pPr>
            <w:r>
              <w:rPr>
                <w:rFonts w:ascii="Calibri" w:hAnsi="Calibri"/>
                <w:color w:val="1A1A1A"/>
                <w:sz w:val="20"/>
              </w:rPr>
              <w:t>Submitted to</w:t>
            </w:r>
          </w:p>
        </w:tc>
        <w:tc>
          <w:tcPr>
            <w:tcW w:w="7012" w:type="dxa"/>
          </w:tcPr>
          <w:p>
            <w:pPr>
              <w:spacing w:before="30" w:after="30" w:line="254" w:lineRule="auto"/>
            </w:pPr>
            <w:r>
              <w:rPr>
                <w:rFonts w:ascii="Calibri" w:hAnsi="Calibri"/>
                <w:color w:val="1A1A1A"/>
                <w:sz w:val="20"/>
              </w:rPr>
              <w:t>Directorate General of Information and Public Relations (DGIPR), Government of Maharashtra</w:t>
            </w:r>
          </w:p>
        </w:tc>
      </w:tr>
      <w:tr>
        <w:tc>
          <w:tcPr>
            <w:tcW w:w="2448" w:type="dxa"/>
          </w:tcPr>
          <w:p>
            <w:pPr>
              <w:spacing w:before="30" w:after="30" w:line="254" w:lineRule="auto"/>
            </w:pPr>
            <w:r>
              <w:rPr>
                <w:rFonts w:ascii="Calibri" w:hAnsi="Calibri"/>
                <w:color w:val="1A1A1A"/>
                <w:sz w:val="20"/>
              </w:rPr>
              <w:t>Submitted by</w:t>
            </w:r>
          </w:p>
        </w:tc>
        <w:tc>
          <w:tcPr>
            <w:tcW w:w="7012" w:type="dxa"/>
          </w:tcPr>
          <w:p>
            <w:pPr>
              <w:spacing w:before="30" w:after="30" w:line="254" w:lineRule="auto"/>
            </w:pPr>
            <w:r>
              <w:rPr>
                <w:rFonts w:ascii="Calibri" w:hAnsi="Calibri"/>
                <w:color w:val="1A1A1A"/>
                <w:sz w:val="20"/>
              </w:rPr>
              <w:t>HashCase</w:t>
            </w:r>
          </w:p>
        </w:tc>
      </w:tr>
      <w:tr>
        <w:tc>
          <w:tcPr>
            <w:tcW w:w="2448" w:type="dxa"/>
          </w:tcPr>
          <w:p>
            <w:pPr>
              <w:spacing w:before="30" w:after="30" w:line="254" w:lineRule="auto"/>
            </w:pPr>
            <w:r>
              <w:rPr>
                <w:rFonts w:ascii="Calibri" w:hAnsi="Calibri"/>
                <w:color w:val="1A1A1A"/>
                <w:sz w:val="20"/>
              </w:rPr>
              <w:t>Subject</w:t>
            </w:r>
          </w:p>
        </w:tc>
        <w:tc>
          <w:tcPr>
            <w:tcW w:w="7012" w:type="dxa"/>
          </w:tcPr>
          <w:p>
            <w:pPr>
              <w:spacing w:before="30" w:after="30" w:line="254" w:lineRule="auto"/>
            </w:pPr>
            <w:r>
              <w:rPr>
                <w:rFonts w:ascii="Calibri" w:hAnsi="Calibri"/>
                <w:color w:val="1A1A1A"/>
                <w:sz w:val="20"/>
              </w:rPr>
              <w:t>Establishment of an AI NewsRoom — development, deployment and one-year operation</w:t>
            </w:r>
          </w:p>
        </w:tc>
      </w:tr>
      <w:tr>
        <w:tc>
          <w:tcPr>
            <w:tcW w:w="2448" w:type="dxa"/>
          </w:tcPr>
          <w:p>
            <w:pPr>
              <w:spacing w:before="30" w:after="30" w:line="254" w:lineRule="auto"/>
            </w:pPr>
            <w:r>
              <w:rPr>
                <w:rFonts w:ascii="Calibri" w:hAnsi="Calibri"/>
                <w:color w:val="1A1A1A"/>
                <w:sz w:val="20"/>
              </w:rPr>
              <w:t>Proposed value</w:t>
            </w:r>
          </w:p>
        </w:tc>
        <w:tc>
          <w:tcPr>
            <w:tcW w:w="7012" w:type="dxa"/>
          </w:tcPr>
          <w:p>
            <w:pPr>
              <w:spacing w:before="30" w:after="30" w:line="254" w:lineRule="auto"/>
            </w:pPr>
            <w:r>
              <w:rPr>
                <w:rFonts w:ascii="Calibri" w:hAnsi="Calibri"/>
                <w:color w:val="1A1A1A"/>
                <w:sz w:val="20"/>
              </w:rPr>
              <w:t>₹5.00 crore (Rupees Five Crore only)</w:t>
            </w:r>
          </w:p>
        </w:tc>
      </w:tr>
      <w:tr>
        <w:tc>
          <w:tcPr>
            <w:tcW w:w="2448" w:type="dxa"/>
          </w:tcPr>
          <w:p>
            <w:pPr>
              <w:spacing w:before="30" w:after="30" w:line="254" w:lineRule="auto"/>
            </w:pPr>
            <w:r>
              <w:rPr>
                <w:rFonts w:ascii="Calibri" w:hAnsi="Calibri"/>
                <w:color w:val="1A1A1A"/>
                <w:sz w:val="20"/>
              </w:rPr>
              <w:t>Engagement term</w:t>
            </w:r>
          </w:p>
        </w:tc>
        <w:tc>
          <w:tcPr>
            <w:tcW w:w="7012" w:type="dxa"/>
          </w:tcPr>
          <w:p>
            <w:pPr>
              <w:spacing w:before="30" w:after="30" w:line="254" w:lineRule="auto"/>
            </w:pPr>
            <w:r>
              <w:rPr>
                <w:rFonts w:ascii="Calibri" w:hAnsi="Calibri"/>
                <w:color w:val="1A1A1A"/>
                <w:sz w:val="20"/>
              </w:rPr>
              <w:t>12 months from the date of work order</w:t>
            </w:r>
          </w:p>
        </w:tc>
      </w:tr>
      <w:tr>
        <w:tc>
          <w:tcPr>
            <w:tcW w:w="2448" w:type="dxa"/>
          </w:tcPr>
          <w:p>
            <w:pPr>
              <w:spacing w:before="30" w:after="30" w:line="254" w:lineRule="auto"/>
            </w:pPr>
            <w:r>
              <w:rPr>
                <w:rFonts w:ascii="Calibri" w:hAnsi="Calibri"/>
                <w:color w:val="1A1A1A"/>
                <w:sz w:val="20"/>
              </w:rPr>
              <w:t>Platform go-live</w:t>
            </w:r>
          </w:p>
        </w:tc>
        <w:tc>
          <w:tcPr>
            <w:tcW w:w="7012" w:type="dxa"/>
          </w:tcPr>
          <w:p>
            <w:pPr>
              <w:spacing w:before="30" w:after="30" w:line="254" w:lineRule="auto"/>
            </w:pPr>
            <w:r>
              <w:rPr>
                <w:rFonts w:ascii="Calibri" w:hAnsi="Calibri"/>
                <w:color w:val="1A1A1A"/>
                <w:sz w:val="20"/>
              </w:rPr>
              <w:t>Within one month of work order</w:t>
            </w:r>
          </w:p>
        </w:tc>
      </w:tr>
      <w:tr>
        <w:tc>
          <w:tcPr>
            <w:tcW w:w="2448" w:type="dxa"/>
          </w:tcPr>
          <w:p>
            <w:pPr>
              <w:spacing w:before="30" w:after="30" w:line="254" w:lineRule="auto"/>
            </w:pPr>
            <w:r>
              <w:rPr>
                <w:rFonts w:ascii="Calibri" w:hAnsi="Calibri"/>
                <w:color w:val="1A1A1A"/>
                <w:sz w:val="20"/>
              </w:rPr>
              <w:t>Product structure</w:t>
            </w:r>
          </w:p>
        </w:tc>
        <w:tc>
          <w:tcPr>
            <w:tcW w:w="7012" w:type="dxa"/>
          </w:tcPr>
          <w:p>
            <w:pPr>
              <w:spacing w:before="30" w:after="30" w:line="254" w:lineRule="auto"/>
            </w:pPr>
            <w:r>
              <w:rPr>
                <w:rFonts w:ascii="Calibri" w:hAnsi="Calibri"/>
                <w:color w:val="1A1A1A"/>
                <w:sz w:val="20"/>
              </w:rPr>
              <w:t>Eight high-level product components, plus delivery, operations and support</w:t>
            </w:r>
          </w:p>
        </w:tc>
      </w:tr>
      <w:tr>
        <w:tc>
          <w:tcPr>
            <w:tcW w:w="2448" w:type="dxa"/>
          </w:tcPr>
          <w:p>
            <w:pPr>
              <w:spacing w:before="30" w:after="30" w:line="254" w:lineRule="auto"/>
            </w:pPr>
            <w:r>
              <w:rPr>
                <w:rFonts w:ascii="Calibri" w:hAnsi="Calibri"/>
                <w:color w:val="1A1A1A"/>
                <w:sz w:val="20"/>
              </w:rPr>
              <w:t>Proposal validity</w:t>
            </w:r>
          </w:p>
        </w:tc>
        <w:tc>
          <w:tcPr>
            <w:tcW w:w="7012" w:type="dxa"/>
          </w:tcPr>
          <w:p>
            <w:pPr>
              <w:spacing w:before="30" w:after="30" w:line="254" w:lineRule="auto"/>
            </w:pPr>
            <w:r>
              <w:rPr>
                <w:rFonts w:ascii="Calibri" w:hAnsi="Calibri"/>
                <w:color w:val="1A1A1A"/>
                <w:sz w:val="20"/>
              </w:rPr>
              <w:t>90 days from the date of submission</w:t>
            </w:r>
          </w:p>
        </w:tc>
      </w:tr>
    </w:tbl>
    <w:p>
      <w:pPr>
        <w:spacing w:after="80"/>
      </w:pPr>
    </w:p>
    <w:p>
      <w:pPr>
        <w:spacing w:before="200" w:line="278" w:lineRule="auto"/>
      </w:pPr>
      <w:r>
        <w:rPr>
          <w:rFonts w:ascii="Calibri" w:hAnsi="Calibri"/>
          <w:b w:val="0"/>
          <w:i w:val="0"/>
          <w:color w:val="5A5A5A"/>
          <w:sz w:val="20"/>
        </w:rPr>
        <w:t>This proposal responds to the department's requirement to establish an AI NewsRoom for faster, more accurate and more consistent government communication. It divides the product into eight high-level components so that the department can assess scope, build time and cost for each component separately, rather than evaluating a single undivided platform description.</w:t>
      </w:r>
    </w:p>
    <w:p>
      <w:pPr>
        <w:spacing w:after="0"/>
      </w:pPr>
      <w:r>
        <w:br w:type="page"/>
      </w:r>
    </w:p>
    <w:p>
      <w:pPr>
        <w:pStyle w:val="Heading1"/>
      </w:pPr>
      <w:r>
        <w:t>1.  Purpose of this proposal</w:t>
      </w:r>
    </w:p>
    <w:p>
      <w:pPr>
        <w:spacing w:line="278" w:lineRule="auto"/>
      </w:pPr>
      <w:r>
        <w:rPr>
          <w:rFonts w:ascii="Calibri" w:hAnsi="Calibri"/>
          <w:b w:val="0"/>
          <w:i w:val="0"/>
          <w:color w:val="1A1A1A"/>
          <w:sz w:val="21"/>
        </w:rPr>
        <w:t>The Directorate General of Information and Public Relations converts meetings, policy decisions, Government Resolutions, press briefings, scheme information and field updates into public communication across several formats and languages. This work must frequently be completed within hours, while preserving factual accuracy, correct Marathi, official designations and the Government of Maharashtra's visual identity.</w:t>
      </w:r>
    </w:p>
    <w:p>
      <w:pPr>
        <w:spacing w:line="278" w:lineRule="auto"/>
      </w:pPr>
      <w:r>
        <w:rPr>
          <w:rFonts w:ascii="Calibri" w:hAnsi="Calibri"/>
          <w:b w:val="0"/>
          <w:i w:val="0"/>
          <w:color w:val="1A1A1A"/>
          <w:sz w:val="21"/>
        </w:rPr>
        <w:t>Because this work involves official, sensitive and often unpublished government information, data security cannot be treated as an optional feature. AI NewsRoom is therefore proposed as a department-controlled platform: approved AI models, the departmental knowledge base, document embeddings, the vector database and core processing services operate within infrastructure controlled by DGIPR or an approved government data centre.</w:t>
      </w:r>
    </w:p>
    <w:p>
      <w:pPr>
        <w:spacing w:line="278" w:lineRule="auto"/>
      </w:pPr>
      <w:r>
        <w:rPr>
          <w:rFonts w:ascii="Calibri" w:hAnsi="Calibri"/>
          <w:b w:val="0"/>
          <w:i w:val="0"/>
          <w:color w:val="1A1A1A"/>
          <w:sz w:val="21"/>
        </w:rPr>
        <w:t>This document sets out what HashCase will build, how long each part will take to build, what each part will cost, and how the platform will be operated and supported for twelve months. The total proposed value is ₹5.00 crore (Rupees Five Crore only) for a twelve-month engagement.</w:t>
      </w:r>
    </w:p>
    <w:p>
      <w:pPr>
        <w:spacing w:line="278" w:lineRule="auto"/>
      </w:pPr>
      <w:r>
        <w:rPr>
          <w:rFonts w:ascii="Calibri" w:hAnsi="Calibri"/>
          <w:b w:val="0"/>
          <w:i w:val="0"/>
          <w:color w:val="1A1A1A"/>
          <w:sz w:val="21"/>
        </w:rPr>
        <w:t>AI NewsRoom does not replace the judgement or approval authority of DGIPR officers. It removes repetitive production work, makes the source of every communication easy to review, and enables the department to deliver more consistent output across more channels.</w:t>
      </w:r>
    </w:p>
    <w:p>
      <w:pPr>
        <w:pStyle w:val="Heading1"/>
      </w:pPr>
      <w:r>
        <w:t>2.  Executive summary</w:t>
      </w:r>
    </w:p>
    <w:p>
      <w:pPr>
        <w:spacing w:line="278" w:lineRule="auto"/>
      </w:pPr>
      <w:r>
        <w:rPr>
          <w:rFonts w:ascii="Calibri" w:hAnsi="Calibri"/>
          <w:b w:val="0"/>
          <w:i w:val="0"/>
          <w:color w:val="1A1A1A"/>
          <w:sz w:val="21"/>
        </w:rPr>
        <w:t>Government information reaches DGIPR in fragmented forms: typed and handwritten notes, long meeting recordings, voice notes, YouTube press conferences, scanned Government Resolutions, photographed letters and previously published articles. Officers presently listen, copy, correct, condense, translate, design and reformat the same material several times before it can be used for a news report, a social post, a poster, a thumbnail or a video. This creates delay, inconsistency in names and designations, informal correction trails, poor reuse of past work, and dependence on the availability of individual writers, translators, transcribers, designers and video editors.</w:t>
      </w:r>
    </w:p>
    <w:p>
      <w:pPr>
        <w:spacing w:line="278" w:lineRule="auto"/>
      </w:pPr>
      <w:r>
        <w:rPr>
          <w:rFonts w:ascii="Calibri" w:hAnsi="Calibri"/>
          <w:b w:val="0"/>
          <w:i w:val="0"/>
          <w:color w:val="1A1A1A"/>
          <w:sz w:val="21"/>
        </w:rPr>
        <w:t>AI NewsRoom addresses this through one governed source-to-publication workflow operating on department-controlled infrastructure. Official documents remain the factual authority. Semantic search and Retrieval-Augmented Generation supply relevant authorised material to the model as controlled context; source-faithfulness checks identify unsupported statements; and officers retain final review and publication authority at every outward-facing stage.</w:t>
      </w:r>
    </w:p>
    <w:p>
      <w:pPr>
        <w:spacing w:after="80" w:line="278" w:lineRule="auto"/>
      </w:pPr>
      <w:r>
        <w:rPr>
          <w:rFonts w:ascii="Calibri" w:hAnsi="Calibri"/>
          <w:b w:val="0"/>
          <w:i w:val="0"/>
          <w:color w:val="1A1A1A"/>
          <w:sz w:val="21"/>
        </w:rPr>
        <w:t>The product is delivered as eight high-level components, each independently specified, built, tested and accepted:</w:t>
      </w:r>
    </w:p>
    <w:p>
      <w:pPr>
        <w:pStyle w:val="ListBullet"/>
        <w:ind w:left="374" w:hanging="230"/>
      </w:pPr>
      <w:r>
        <w:rPr>
          <w:rFonts w:ascii="Calibri" w:hAnsi="Calibri"/>
          <w:color w:val="1A1A1A"/>
          <w:sz w:val="21"/>
        </w:rPr>
        <w:t>Component 1 — Core Platform, Security and Workflow Foundation</w:t>
      </w:r>
    </w:p>
    <w:p>
      <w:pPr>
        <w:pStyle w:val="ListBullet"/>
        <w:ind w:left="374" w:hanging="230"/>
      </w:pPr>
      <w:r>
        <w:rPr>
          <w:rFonts w:ascii="Calibri" w:hAnsi="Calibri"/>
          <w:color w:val="1A1A1A"/>
          <w:sz w:val="21"/>
        </w:rPr>
        <w:t>Component 2 — Data and Document Intelligence</w:t>
      </w:r>
    </w:p>
    <w:p>
      <w:pPr>
        <w:pStyle w:val="ListBullet"/>
        <w:ind w:left="374" w:hanging="230"/>
      </w:pPr>
      <w:r>
        <w:rPr>
          <w:rFonts w:ascii="Calibri" w:hAnsi="Calibri"/>
          <w:color w:val="1A1A1A"/>
          <w:sz w:val="21"/>
        </w:rPr>
        <w:t>Component 3 — Editorial Engine</w:t>
      </w:r>
    </w:p>
    <w:p>
      <w:pPr>
        <w:pStyle w:val="ListBullet"/>
        <w:ind w:left="374" w:hanging="230"/>
      </w:pPr>
      <w:r>
        <w:rPr>
          <w:rFonts w:ascii="Calibri" w:hAnsi="Calibri"/>
          <w:color w:val="1A1A1A"/>
          <w:sz w:val="21"/>
        </w:rPr>
        <w:t>Component 4 — Creatives Studio</w:t>
      </w:r>
    </w:p>
    <w:p>
      <w:pPr>
        <w:pStyle w:val="ListBullet"/>
        <w:ind w:left="374" w:hanging="230"/>
      </w:pPr>
      <w:r>
        <w:rPr>
          <w:rFonts w:ascii="Calibri" w:hAnsi="Calibri"/>
          <w:color w:val="1A1A1A"/>
          <w:sz w:val="21"/>
        </w:rPr>
        <w:t>Component 5 — Video Production Suite</w:t>
      </w:r>
    </w:p>
    <w:p>
      <w:pPr>
        <w:pStyle w:val="ListBullet"/>
        <w:ind w:left="374" w:hanging="230"/>
      </w:pPr>
      <w:r>
        <w:rPr>
          <w:rFonts w:ascii="Calibri" w:hAnsi="Calibri"/>
          <w:color w:val="1A1A1A"/>
          <w:sz w:val="21"/>
        </w:rPr>
        <w:t>Component 6 — Media Intelligence</w:t>
      </w:r>
    </w:p>
    <w:p>
      <w:pPr>
        <w:pStyle w:val="ListBullet"/>
        <w:ind w:left="374" w:hanging="230"/>
      </w:pPr>
      <w:r>
        <w:rPr>
          <w:rFonts w:ascii="Calibri" w:hAnsi="Calibri"/>
          <w:color w:val="1A1A1A"/>
          <w:sz w:val="21"/>
        </w:rPr>
        <w:t>Component 7 — Mobile Application and Cross-device Experience</w:t>
      </w:r>
    </w:p>
    <w:p>
      <w:pPr>
        <w:pStyle w:val="ListBullet"/>
        <w:ind w:left="374" w:hanging="230"/>
      </w:pPr>
      <w:r>
        <w:rPr>
          <w:rFonts w:ascii="Calibri" w:hAnsi="Calibri"/>
          <w:color w:val="1A1A1A"/>
          <w:sz w:val="21"/>
        </w:rPr>
        <w:t>Component 8 — Administration, Integrations and Work Assistant</w:t>
      </w:r>
    </w:p>
    <w:p>
      <w:pPr>
        <w:spacing w:before="80" w:line="278" w:lineRule="auto"/>
      </w:pPr>
      <w:r>
        <w:rPr>
          <w:rFonts w:ascii="Calibri" w:hAnsi="Calibri"/>
          <w:b w:val="0"/>
          <w:i w:val="0"/>
          <w:color w:val="1A1A1A"/>
          <w:sz w:val="21"/>
        </w:rPr>
        <w:t>A ninth, non-development provision covers metered AI and technology-service consumption for the year. A separate delivery block covers deployment, engineering and MLOps support, two full-time on-site professionals, maintenance, controlled upgrades, production support, project management and training.</w:t>
      </w:r>
    </w:p>
    <w:p>
      <w:pPr>
        <w:spacing w:line="278" w:lineRule="auto"/>
      </w:pPr>
      <w:r>
        <w:rPr>
          <w:rFonts w:ascii="Calibri" w:hAnsi="Calibri"/>
          <w:b w:val="0"/>
          <w:i w:val="0"/>
          <w:color w:val="1A1A1A"/>
          <w:sz w:val="21"/>
        </w:rPr>
        <w:t>The web and mobile workspace becomes operational within one month of the work order, with the remaining components delivered through three further scheduled releases across the engagement.</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7012"/>
        <w:gridCol w:w="2448"/>
      </w:tblGrid>
      <w:tr>
        <w:trPr>
          <w:tblHeader w:val="true"/>
        </w:trPr>
        <w:tc>
          <w:tcPr>
            <w:shd w:val="clear" w:fill="5B2D8E"/>
            <w:tcW w:w="7012" w:type="dxa"/>
          </w:tcPr>
          <w:p>
            <w:pPr>
              <w:spacing w:before="30" w:after="30" w:line="254" w:lineRule="auto"/>
            </w:pPr>
            <w:r>
              <w:rPr>
                <w:rFonts w:ascii="Calibri" w:hAnsi="Calibri"/>
                <w:b/>
                <w:color w:val="FFFFFF"/>
                <w:sz w:val="19"/>
              </w:rPr>
              <w:t>Summary</w:t>
            </w:r>
          </w:p>
        </w:tc>
        <w:tc>
          <w:tcPr>
            <w:shd w:val="clear" w:fill="5B2D8E"/>
            <w:tcW w:w="2448" w:type="dxa"/>
          </w:tcPr>
          <w:p>
            <w:pPr>
              <w:spacing w:before="30" w:after="30" w:line="254" w:lineRule="auto"/>
              <w:jc w:val="right"/>
            </w:pPr>
            <w:r>
              <w:rPr>
                <w:rFonts w:ascii="Calibri" w:hAnsi="Calibri"/>
                <w:b/>
                <w:color w:val="FFFFFF"/>
                <w:sz w:val="19"/>
              </w:rPr>
              <w:t>Figure</w:t>
            </w:r>
          </w:p>
        </w:tc>
      </w:tr>
      <w:tr>
        <w:tc>
          <w:tcPr>
            <w:tcW w:w="7012" w:type="dxa"/>
          </w:tcPr>
          <w:p>
            <w:pPr>
              <w:spacing w:before="30" w:after="30" w:line="254" w:lineRule="auto"/>
            </w:pPr>
            <w:r>
              <w:rPr>
                <w:rFonts w:ascii="Calibri" w:hAnsi="Calibri"/>
                <w:color w:val="1A1A1A"/>
                <w:sz w:val="19"/>
              </w:rPr>
              <w:t>Total proposed value</w:t>
            </w:r>
          </w:p>
        </w:tc>
        <w:tc>
          <w:tcPr>
            <w:tcW w:w="2448" w:type="dxa"/>
          </w:tcPr>
          <w:p>
            <w:pPr>
              <w:spacing w:before="30" w:after="30" w:line="254" w:lineRule="auto"/>
              <w:jc w:val="right"/>
            </w:pPr>
            <w:r>
              <w:rPr>
                <w:rFonts w:ascii="Calibri" w:hAnsi="Calibri"/>
                <w:color w:val="1A1A1A"/>
                <w:sz w:val="19"/>
              </w:rPr>
              <w:t>₹5.00 crore</w:t>
            </w:r>
          </w:p>
        </w:tc>
      </w:tr>
      <w:tr>
        <w:tc>
          <w:tcPr>
            <w:tcW w:w="7012" w:type="dxa"/>
          </w:tcPr>
          <w:p>
            <w:pPr>
              <w:spacing w:before="30" w:after="30" w:line="254" w:lineRule="auto"/>
            </w:pPr>
            <w:r>
              <w:rPr>
                <w:rFonts w:ascii="Calibri" w:hAnsi="Calibri"/>
                <w:color w:val="1A1A1A"/>
                <w:sz w:val="19"/>
              </w:rPr>
              <w:t>Engagement term</w:t>
            </w:r>
          </w:p>
        </w:tc>
        <w:tc>
          <w:tcPr>
            <w:tcW w:w="2448" w:type="dxa"/>
          </w:tcPr>
          <w:p>
            <w:pPr>
              <w:spacing w:before="30" w:after="30" w:line="254" w:lineRule="auto"/>
              <w:jc w:val="right"/>
            </w:pPr>
            <w:r>
              <w:rPr>
                <w:rFonts w:ascii="Calibri" w:hAnsi="Calibri"/>
                <w:color w:val="1A1A1A"/>
                <w:sz w:val="19"/>
              </w:rPr>
              <w:t>12 months</w:t>
            </w:r>
          </w:p>
        </w:tc>
      </w:tr>
      <w:tr>
        <w:tc>
          <w:tcPr>
            <w:tcW w:w="7012" w:type="dxa"/>
          </w:tcPr>
          <w:p>
            <w:pPr>
              <w:spacing w:before="30" w:after="30" w:line="254" w:lineRule="auto"/>
            </w:pPr>
            <w:r>
              <w:rPr>
                <w:rFonts w:ascii="Calibri" w:hAnsi="Calibri"/>
                <w:color w:val="1A1A1A"/>
                <w:sz w:val="19"/>
              </w:rPr>
              <w:t>Platform development and product components</w:t>
            </w:r>
          </w:p>
        </w:tc>
        <w:tc>
          <w:tcPr>
            <w:tcW w:w="2448" w:type="dxa"/>
          </w:tcPr>
          <w:p>
            <w:pPr>
              <w:spacing w:before="30" w:after="30" w:line="254" w:lineRule="auto"/>
              <w:jc w:val="right"/>
            </w:pPr>
            <w:r>
              <w:rPr>
                <w:rFonts w:ascii="Calibri" w:hAnsi="Calibri"/>
                <w:color w:val="1A1A1A"/>
                <w:sz w:val="19"/>
              </w:rPr>
              <w:t>₹3.75 crore (75%)</w:t>
            </w:r>
          </w:p>
        </w:tc>
      </w:tr>
      <w:tr>
        <w:tc>
          <w:tcPr>
            <w:tcW w:w="7012" w:type="dxa"/>
          </w:tcPr>
          <w:p>
            <w:pPr>
              <w:spacing w:before="30" w:after="30" w:line="254" w:lineRule="auto"/>
            </w:pPr>
            <w:r>
              <w:rPr>
                <w:rFonts w:ascii="Calibri" w:hAnsi="Calibri"/>
                <w:color w:val="1A1A1A"/>
                <w:sz w:val="19"/>
              </w:rPr>
              <w:t>Training, operations, support and changes</w:t>
            </w:r>
          </w:p>
        </w:tc>
        <w:tc>
          <w:tcPr>
            <w:tcW w:w="2448" w:type="dxa"/>
          </w:tcPr>
          <w:p>
            <w:pPr>
              <w:spacing w:before="30" w:after="30" w:line="254" w:lineRule="auto"/>
              <w:jc w:val="right"/>
            </w:pPr>
            <w:r>
              <w:rPr>
                <w:rFonts w:ascii="Calibri" w:hAnsi="Calibri"/>
                <w:color w:val="1A1A1A"/>
                <w:sz w:val="19"/>
              </w:rPr>
              <w:t>₹1.25 crore (25%)</w:t>
            </w:r>
          </w:p>
        </w:tc>
      </w:tr>
      <w:tr>
        <w:tc>
          <w:tcPr>
            <w:tcW w:w="7012" w:type="dxa"/>
          </w:tcPr>
          <w:p>
            <w:pPr>
              <w:spacing w:before="30" w:after="30" w:line="254" w:lineRule="auto"/>
            </w:pPr>
            <w:r>
              <w:rPr>
                <w:rFonts w:ascii="Calibri" w:hAnsi="Calibri"/>
                <w:color w:val="1A1A1A"/>
                <w:sz w:val="19"/>
              </w:rPr>
              <w:t>High-level product components built</w:t>
            </w:r>
          </w:p>
        </w:tc>
        <w:tc>
          <w:tcPr>
            <w:tcW w:w="2448" w:type="dxa"/>
          </w:tcPr>
          <w:p>
            <w:pPr>
              <w:spacing w:before="30" w:after="30" w:line="254" w:lineRule="auto"/>
              <w:jc w:val="right"/>
            </w:pPr>
            <w:r>
              <w:rPr>
                <w:rFonts w:ascii="Calibri" w:hAnsi="Calibri"/>
                <w:color w:val="1A1A1A"/>
                <w:sz w:val="19"/>
              </w:rPr>
              <w:t>8</w:t>
            </w:r>
          </w:p>
        </w:tc>
      </w:tr>
      <w:tr>
        <w:tc>
          <w:tcPr>
            <w:tcW w:w="7012" w:type="dxa"/>
          </w:tcPr>
          <w:p>
            <w:pPr>
              <w:spacing w:before="30" w:after="30" w:line="254" w:lineRule="auto"/>
            </w:pPr>
            <w:r>
              <w:rPr>
                <w:rFonts w:ascii="Calibri" w:hAnsi="Calibri"/>
                <w:color w:val="1A1A1A"/>
                <w:sz w:val="19"/>
              </w:rPr>
              <w:t>Platform go-live</w:t>
            </w:r>
          </w:p>
        </w:tc>
        <w:tc>
          <w:tcPr>
            <w:tcW w:w="2448" w:type="dxa"/>
          </w:tcPr>
          <w:p>
            <w:pPr>
              <w:spacing w:before="30" w:after="30" w:line="254" w:lineRule="auto"/>
              <w:jc w:val="right"/>
            </w:pPr>
            <w:r>
              <w:rPr>
                <w:rFonts w:ascii="Calibri" w:hAnsi="Calibri"/>
                <w:color w:val="1A1A1A"/>
                <w:sz w:val="19"/>
              </w:rPr>
              <w:t>Month 1</w:t>
            </w:r>
          </w:p>
        </w:tc>
      </w:tr>
      <w:tr>
        <w:tc>
          <w:tcPr>
            <w:tcW w:w="7012" w:type="dxa"/>
          </w:tcPr>
          <w:p>
            <w:pPr>
              <w:spacing w:before="30" w:after="30" w:line="254" w:lineRule="auto"/>
            </w:pPr>
            <w:r>
              <w:rPr>
                <w:rFonts w:ascii="Calibri" w:hAnsi="Calibri"/>
                <w:color w:val="1A1A1A"/>
                <w:sz w:val="19"/>
              </w:rPr>
              <w:t>Scheduled releases</w:t>
            </w:r>
          </w:p>
        </w:tc>
        <w:tc>
          <w:tcPr>
            <w:tcW w:w="2448" w:type="dxa"/>
          </w:tcPr>
          <w:p>
            <w:pPr>
              <w:spacing w:before="30" w:after="30" w:line="254" w:lineRule="auto"/>
              <w:jc w:val="right"/>
            </w:pPr>
            <w:r>
              <w:rPr>
                <w:rFonts w:ascii="Calibri" w:hAnsi="Calibri"/>
                <w:color w:val="1A1A1A"/>
                <w:sz w:val="19"/>
              </w:rPr>
              <w:t>4</w:t>
            </w:r>
          </w:p>
        </w:tc>
      </w:tr>
      <w:tr>
        <w:tc>
          <w:tcPr>
            <w:tcW w:w="7012" w:type="dxa"/>
          </w:tcPr>
          <w:p>
            <w:pPr>
              <w:spacing w:before="30" w:after="30" w:line="254" w:lineRule="auto"/>
            </w:pPr>
            <w:r>
              <w:rPr>
                <w:rFonts w:ascii="Calibri" w:hAnsi="Calibri"/>
                <w:color w:val="1A1A1A"/>
                <w:sz w:val="19"/>
              </w:rPr>
              <w:t>Full-time on-site professionals at headquarters</w:t>
            </w:r>
          </w:p>
        </w:tc>
        <w:tc>
          <w:tcPr>
            <w:tcW w:w="2448" w:type="dxa"/>
          </w:tcPr>
          <w:p>
            <w:pPr>
              <w:spacing w:before="30" w:after="30" w:line="254" w:lineRule="auto"/>
              <w:jc w:val="right"/>
            </w:pPr>
            <w:r>
              <w:rPr>
                <w:rFonts w:ascii="Calibri" w:hAnsi="Calibri"/>
                <w:color w:val="1A1A1A"/>
                <w:sz w:val="19"/>
              </w:rPr>
              <w:t>2</w:t>
            </w:r>
          </w:p>
        </w:tc>
      </w:tr>
    </w:tbl>
    <w:p>
      <w:pPr>
        <w:spacing w:after="80"/>
      </w:pPr>
    </w:p>
    <w:p>
      <w:pPr>
        <w:pStyle w:val="Heading1"/>
      </w:pPr>
      <w:r>
        <w:t>3.  Why the department needs AI NewsRoom</w:t>
      </w:r>
    </w:p>
    <w:p>
      <w:pPr>
        <w:pStyle w:val="Heading3"/>
      </w:pPr>
      <w:r>
        <w:t>3.1  Protection of government information and data sovereignty</w:t>
      </w:r>
    </w:p>
    <w:p>
      <w:pPr>
        <w:spacing w:line="278" w:lineRule="auto"/>
      </w:pPr>
      <w:r>
        <w:rPr>
          <w:rFonts w:ascii="Calibri" w:hAnsi="Calibri"/>
          <w:b w:val="0"/>
          <w:i w:val="0"/>
          <w:color w:val="1A1A1A"/>
          <w:sz w:val="21"/>
        </w:rPr>
        <w:t>DGIPR handles meeting records, Government Resolutions, policy information, official correspondence and material that may not yet be public. Processing such material through uncontrolled consumer AI applications creates risks relating to confidentiality, retention, jurisdiction and unauthorised reuse. AI NewsRoom keeps source documents, recordings, embeddings, generated content and operational records within authorised infrastructure, with role-based access control, encryption and audit logging.</w:t>
      </w:r>
    </w:p>
    <w:p>
      <w:pPr>
        <w:pStyle w:val="Heading3"/>
      </w:pPr>
      <w:r>
        <w:t>3.2  Faster response to public-information requirements</w:t>
      </w:r>
    </w:p>
    <w:p>
      <w:pPr>
        <w:spacing w:line="278" w:lineRule="auto"/>
      </w:pPr>
      <w:r>
        <w:rPr>
          <w:rFonts w:ascii="Calibri" w:hAnsi="Calibri"/>
          <w:b w:val="0"/>
          <w:i w:val="0"/>
          <w:color w:val="1A1A1A"/>
          <w:sz w:val="21"/>
        </w:rPr>
        <w:t>Announcements, meetings and policy decisions require simultaneous communication through news articles, social platforms, websites and video. AI NewsRoom removes the repeated conversion of the same source into each format and allows long processing tasks to continue in the background while officers handle other work.</w:t>
      </w:r>
    </w:p>
    <w:p>
      <w:pPr>
        <w:pStyle w:val="Heading3"/>
      </w:pPr>
      <w:r>
        <w:t>3.3  Stronger factual control</w:t>
      </w:r>
    </w:p>
    <w:p>
      <w:pPr>
        <w:spacing w:line="278" w:lineRule="auto"/>
      </w:pPr>
      <w:r>
        <w:rPr>
          <w:rFonts w:ascii="Calibri" w:hAnsi="Calibri"/>
          <w:b w:val="0"/>
          <w:i w:val="0"/>
          <w:color w:val="1A1A1A"/>
          <w:sz w:val="21"/>
        </w:rPr>
        <w:t>General-purpose writing tools produce fluent text without making it easy to determine which source supported a statement. AI NewsRoom inverts this: official inputs provide the facts, while historical articles and design templates provide style and structure only. Review stages, source views and fact-coverage checks keep the officer close to the original material.</w:t>
      </w:r>
    </w:p>
    <w:p>
      <w:pPr>
        <w:pStyle w:val="Heading3"/>
      </w:pPr>
      <w:r>
        <w:t>3.4  Consistent Marathi and official terminology</w:t>
      </w:r>
    </w:p>
    <w:p>
      <w:pPr>
        <w:spacing w:line="278" w:lineRule="auto"/>
      </w:pPr>
      <w:r>
        <w:rPr>
          <w:rFonts w:ascii="Calibri" w:hAnsi="Calibri"/>
          <w:b w:val="0"/>
          <w:i w:val="0"/>
          <w:color w:val="1A1A1A"/>
          <w:sz w:val="21"/>
        </w:rPr>
        <w:t>Government communication requires consistent spellings of people, places, departments and schemes, correct current designations, appropriate Devanagari rendering and a recognisable Mahasamvad editorial voice. A shared verified glossary and specialised Marathi workflows make this consistency repeatable across headquarters, divisional and district offices.</w:t>
      </w:r>
    </w:p>
    <w:p>
      <w:pPr>
        <w:pStyle w:val="Heading3"/>
      </w:pPr>
      <w:r>
        <w:t>3.5  One workflow instead of scattered tools</w:t>
      </w:r>
    </w:p>
    <w:p>
      <w:pPr>
        <w:spacing w:line="278" w:lineRule="auto"/>
      </w:pPr>
      <w:r>
        <w:rPr>
          <w:rFonts w:ascii="Calibri" w:hAnsi="Calibri"/>
          <w:b w:val="0"/>
          <w:i w:val="0"/>
          <w:color w:val="1A1A1A"/>
          <w:sz w:val="21"/>
        </w:rPr>
        <w:t>Transcription, drafting, translation, proofreading, poster creation, caption writing, video preparation and historical research are presently performed in separate applications or by separate vendors. Bringing these into one workflow reduces hand-offs, duplicate data entry and loss of context.</w:t>
      </w:r>
    </w:p>
    <w:p>
      <w:pPr>
        <w:pStyle w:val="Heading3"/>
      </w:pPr>
      <w:r>
        <w:t>3.6  Better use of institutional knowledge</w:t>
      </w:r>
    </w:p>
    <w:p>
      <w:pPr>
        <w:spacing w:line="278" w:lineRule="auto"/>
      </w:pPr>
      <w:r>
        <w:rPr>
          <w:rFonts w:ascii="Calibri" w:hAnsi="Calibri"/>
          <w:b w:val="0"/>
          <w:i w:val="0"/>
          <w:color w:val="1A1A1A"/>
          <w:sz w:val="21"/>
        </w:rPr>
        <w:t>Previously published Mahasamvad material contains valuable knowledge about departmental writing style and the history of schemes, projects and decisions. AI NewsRoom converts that archive into a searchable institutional resource rather than a collection that must be searched manually.</w:t>
      </w:r>
    </w:p>
    <w:p>
      <w:pPr>
        <w:pStyle w:val="Heading3"/>
      </w:pPr>
      <w:r>
        <w:t>3.7  Transparent operations and management visibility</w:t>
      </w:r>
    </w:p>
    <w:p>
      <w:pPr>
        <w:spacing w:line="278" w:lineRule="auto"/>
      </w:pPr>
      <w:r>
        <w:rPr>
          <w:rFonts w:ascii="Calibri" w:hAnsi="Calibri"/>
          <w:b w:val="0"/>
          <w:i w:val="0"/>
          <w:color w:val="1A1A1A"/>
          <w:sz w:val="21"/>
        </w:rPr>
        <w:t>Management can see how many outputs are produced, which functions are used, how activity changes over time and which tasks account for processing activity — supporting planning, utilisation review and informed procurement oversight, without profiling individual officers.</w:t>
      </w:r>
    </w:p>
    <w:p>
      <w:pPr>
        <w:pStyle w:val="Heading3"/>
      </w:pPr>
      <w:r>
        <w:t>3.8  Continuing on-site training and support</w:t>
      </w:r>
    </w:p>
    <w:p>
      <w:pPr>
        <w:spacing w:line="278" w:lineRule="auto"/>
      </w:pPr>
      <w:r>
        <w:rPr>
          <w:rFonts w:ascii="Calibri" w:hAnsi="Calibri"/>
          <w:b w:val="0"/>
          <w:i w:val="0"/>
          <w:color w:val="1A1A1A"/>
          <w:sz w:val="21"/>
        </w:rPr>
        <w:t>Adoption requires more than making software available. HashCase has been visiting the DGIPR office to train employees in the use of the tool and to understand the department's practical working requirements, and will continue these visits, hands-on sessions and follow-up assistance throughout the engagement. Two full-time professionals will be stationed at headquarters for the contracted period.</w:t>
      </w:r>
    </w:p>
    <w:p>
      <w:pPr>
        <w:pStyle w:val="Heading1"/>
      </w:pPr>
      <w:r>
        <w:t>4.  Solution architecture</w:t>
      </w:r>
    </w:p>
    <w:p>
      <w:pPr>
        <w:pStyle w:val="Heading2"/>
      </w:pPr>
      <w:r>
        <w:t>4.1  Department-controlled AI foundation</w:t>
      </w:r>
    </w:p>
    <w:p>
      <w:pPr>
        <w:spacing w:after="80" w:line="278" w:lineRule="auto"/>
      </w:pPr>
      <w:r>
        <w:rPr>
          <w:rFonts w:ascii="Calibri" w:hAnsi="Calibri"/>
          <w:b w:val="0"/>
          <w:i w:val="0"/>
          <w:color w:val="1A1A1A"/>
          <w:sz w:val="21"/>
        </w:rPr>
        <w:t>The foundation of AI NewsRoom is a private AI environment deployed within DGIPR-controlled infrastructure or an approved government data centre. HashCase will deploy, configure and adapt approved language, vision, speech and document-processing models for the department's Marathi-first requirements. Departmental information will not be used to train a public model. In outline, the stack comprises:</w:t>
      </w:r>
    </w:p>
    <w:p>
      <w:pPr>
        <w:pStyle w:val="ListBullet"/>
        <w:ind w:left="374" w:hanging="230"/>
      </w:pPr>
      <w:r>
        <w:rPr>
          <w:rFonts w:ascii="Calibri" w:hAnsi="Calibri"/>
          <w:color w:val="1A1A1A"/>
          <w:sz w:val="21"/>
        </w:rPr>
        <w:t>locally hosted language, speech, vision and document-understanding models;</w:t>
      </w:r>
    </w:p>
    <w:p>
      <w:pPr>
        <w:pStyle w:val="ListBullet"/>
        <w:ind w:left="374" w:hanging="230"/>
      </w:pPr>
      <w:r>
        <w:rPr>
          <w:rFonts w:ascii="Calibri" w:hAnsi="Calibri"/>
          <w:color w:val="1A1A1A"/>
          <w:sz w:val="21"/>
        </w:rPr>
        <w:t>a private departmental knowledge base of authorised government and Mahasamvad material;</w:t>
      </w:r>
    </w:p>
    <w:p>
      <w:pPr>
        <w:pStyle w:val="ListBullet"/>
        <w:ind w:left="374" w:hanging="230"/>
      </w:pPr>
      <w:r>
        <w:rPr>
          <w:rFonts w:ascii="Calibri" w:hAnsi="Calibri"/>
          <w:color w:val="1A1A1A"/>
          <w:sz w:val="21"/>
        </w:rPr>
        <w:t>semantic search and Retrieval-Augmented Generation, so every output is grounded in approved sources;</w:t>
      </w:r>
    </w:p>
    <w:p>
      <w:pPr>
        <w:pStyle w:val="ListBullet"/>
        <w:ind w:left="374" w:hanging="230"/>
      </w:pPr>
      <w:r>
        <w:rPr>
          <w:rFonts w:ascii="Calibri" w:hAnsi="Calibri"/>
          <w:color w:val="1A1A1A"/>
          <w:sz w:val="21"/>
        </w:rPr>
        <w:t>citations, source provenance and traceability from input to generated output;</w:t>
      </w:r>
    </w:p>
    <w:p>
      <w:pPr>
        <w:pStyle w:val="ListBullet"/>
        <w:ind w:left="374" w:hanging="230"/>
      </w:pPr>
      <w:r>
        <w:rPr>
          <w:rFonts w:ascii="Calibri" w:hAnsi="Calibri"/>
          <w:color w:val="1A1A1A"/>
          <w:sz w:val="21"/>
        </w:rPr>
        <w:t>role-based access control, encryption, audit logging and configurable retention;</w:t>
      </w:r>
    </w:p>
    <w:p>
      <w:pPr>
        <w:pStyle w:val="ListBullet"/>
        <w:ind w:left="374" w:hanging="230"/>
      </w:pPr>
      <w:r>
        <w:rPr>
          <w:rFonts w:ascii="Calibri" w:hAnsi="Calibri"/>
          <w:color w:val="1A1A1A"/>
          <w:sz w:val="21"/>
        </w:rPr>
        <w:t>an MLOps layer for evaluation, monitoring, controlled upgrades, backup and recovery.</w:t>
      </w:r>
    </w:p>
    <w:p>
      <w:pPr>
        <w:spacing w:before="80" w:line="278" w:lineRule="auto"/>
      </w:pPr>
      <w:r>
        <w:rPr>
          <w:rFonts w:ascii="Calibri" w:hAnsi="Calibri"/>
          <w:b w:val="0"/>
          <w:i w:val="0"/>
          <w:color w:val="1A1A1A"/>
          <w:sz w:val="21"/>
        </w:rPr>
        <w:t>The AI model is not treated as the department's factual database. Official documents remain the source of truth; retrieval supplies relevant authorised material for each task as controlled context, so departmental knowledge can be updated without repeatedly retraining the model.</w:t>
      </w:r>
    </w:p>
    <w:p>
      <w:pPr>
        <w:pStyle w:val="Heading2"/>
      </w:pPr>
      <w:r>
        <w:t>4.2  Division of infrastructure responsibility</w:t>
      </w:r>
    </w:p>
    <w:p>
      <w:pPr>
        <w:spacing w:line="278" w:lineRule="auto"/>
      </w:pPr>
      <w:r>
        <w:rPr>
          <w:rFonts w:ascii="Calibri" w:hAnsi="Calibri"/>
          <w:b w:val="0"/>
          <w:i w:val="0"/>
          <w:color w:val="1A1A1A"/>
          <w:sz w:val="21"/>
        </w:rPr>
        <w:t>As provided in the department's note, enterprise-grade GPU compute systems, high-speed storage, networking, power protection, cooling support and related infrastructure will be made available through the Electronics, Information Technology and Artificial Intelligence Department. HashCase will carry out production architecture sizing, installation, configuration, integration, benchmarking, optimisation and continuing operation of the AI software stack on that infrastructure. The cost of GPU, compute, storage, networking, power and cooling hardware is accordingly not included in the ₹5.00 crore proposed value.</w:t>
      </w:r>
    </w:p>
    <w:p>
      <w:pPr>
        <w:pStyle w:val="Heading2"/>
      </w:pPr>
      <w:r>
        <w:t>4.3  Source-to-publication workflow</w:t>
      </w:r>
    </w:p>
    <w:p>
      <w:pPr>
        <w:spacing w:after="80" w:line="278" w:lineRule="auto"/>
      </w:pPr>
      <w:r>
        <w:rPr>
          <w:rFonts w:ascii="Calibri" w:hAnsi="Calibri"/>
          <w:b w:val="0"/>
          <w:i w:val="0"/>
          <w:color w:val="1A1A1A"/>
          <w:sz w:val="21"/>
        </w:rPr>
        <w:t>Every capability in the product follows the same governed sequence, so officers learn one workflow and apply it to any output format:</w:t>
      </w:r>
    </w:p>
    <w:p>
      <w:pPr>
        <w:pStyle w:val="ListBullet"/>
        <w:ind w:left="374" w:hanging="230"/>
      </w:pPr>
      <w:r>
        <w:rPr>
          <w:rFonts w:ascii="Calibri" w:hAnsi="Calibri"/>
          <w:color w:val="1A1A1A"/>
          <w:sz w:val="21"/>
        </w:rPr>
        <w:t>Receive — notes, recordings, links, documents or photographs.</w:t>
      </w:r>
    </w:p>
    <w:p>
      <w:pPr>
        <w:pStyle w:val="ListBullet"/>
        <w:ind w:left="374" w:hanging="230"/>
      </w:pPr>
      <w:r>
        <w:rPr>
          <w:rFonts w:ascii="Calibri" w:hAnsi="Calibri"/>
          <w:color w:val="1A1A1A"/>
          <w:sz w:val="21"/>
        </w:rPr>
        <w:t>Convert — speech and documents become reviewable text.</w:t>
      </w:r>
    </w:p>
    <w:p>
      <w:pPr>
        <w:pStyle w:val="ListBullet"/>
        <w:ind w:left="374" w:hanging="230"/>
      </w:pPr>
      <w:r>
        <w:rPr>
          <w:rFonts w:ascii="Calibri" w:hAnsi="Calibri"/>
          <w:color w:val="1A1A1A"/>
          <w:sz w:val="21"/>
        </w:rPr>
        <w:t>Select — the officer keeps only the relevant pages and sources.</w:t>
      </w:r>
    </w:p>
    <w:p>
      <w:pPr>
        <w:pStyle w:val="ListBullet"/>
        <w:ind w:left="374" w:hanging="230"/>
      </w:pPr>
      <w:r>
        <w:rPr>
          <w:rFonts w:ascii="Calibri" w:hAnsi="Calibri"/>
          <w:color w:val="1A1A1A"/>
          <w:sz w:val="21"/>
        </w:rPr>
        <w:t>Correct — extraction errors, names, designations and key facts are confirmed.</w:t>
      </w:r>
    </w:p>
    <w:p>
      <w:pPr>
        <w:pStyle w:val="ListBullet"/>
        <w:ind w:left="374" w:hanging="230"/>
      </w:pPr>
      <w:r>
        <w:rPr>
          <w:rFonts w:ascii="Calibri" w:hAnsi="Calibri"/>
          <w:color w:val="1A1A1A"/>
          <w:sz w:val="21"/>
        </w:rPr>
        <w:t>Create — an article, caption, poster, thumbnail, translation, transcript or video is produced.</w:t>
      </w:r>
    </w:p>
    <w:p>
      <w:pPr>
        <w:pStyle w:val="ListBullet"/>
        <w:ind w:left="374" w:hanging="230"/>
      </w:pPr>
      <w:r>
        <w:rPr>
          <w:rFonts w:ascii="Calibri" w:hAnsi="Calibri"/>
          <w:color w:val="1A1A1A"/>
          <w:sz w:val="21"/>
        </w:rPr>
        <w:t>Review — coverage, wording, layout, imagery and branding are checked against the source.</w:t>
      </w:r>
    </w:p>
    <w:p>
      <w:pPr>
        <w:pStyle w:val="ListBullet"/>
        <w:ind w:left="374" w:hanging="230"/>
      </w:pPr>
      <w:r>
        <w:rPr>
          <w:rFonts w:ascii="Calibri" w:hAnsi="Calibri"/>
          <w:color w:val="1A1A1A"/>
          <w:sz w:val="21"/>
        </w:rPr>
        <w:t>Revise — precise changes are requested without restarting the task.</w:t>
      </w:r>
    </w:p>
    <w:p>
      <w:pPr>
        <w:pStyle w:val="ListBullet"/>
        <w:ind w:left="374" w:hanging="230"/>
      </w:pPr>
      <w:r>
        <w:rPr>
          <w:rFonts w:ascii="Calibri" w:hAnsi="Calibri"/>
          <w:color w:val="1A1A1A"/>
          <w:sz w:val="21"/>
        </w:rPr>
        <w:t>Publish — the approved output is downloaded or published through the authorised channel.</w:t>
      </w:r>
    </w:p>
    <w:p>
      <w:pPr>
        <w:pStyle w:val="ListBullet"/>
        <w:ind w:left="374" w:hanging="230"/>
      </w:pPr>
      <w:r>
        <w:rPr>
          <w:rFonts w:ascii="Calibri" w:hAnsi="Calibri"/>
          <w:color w:val="1A1A1A"/>
          <w:sz w:val="21"/>
        </w:rPr>
        <w:t>Reuse — the same approved material is reused for other formats and remains searchable.</w:t>
      </w:r>
    </w:p>
    <w:p>
      <w:pPr>
        <w:spacing w:after="0"/>
      </w:pPr>
      <w:r>
        <w:br w:type="page"/>
      </w:r>
    </w:p>
    <w:p>
      <w:pPr>
        <w:pStyle w:val="Heading1"/>
      </w:pPr>
      <w:r>
        <w:t>5.  Product components, build time and cost</w:t>
      </w:r>
    </w:p>
    <w:p>
      <w:pPr>
        <w:spacing w:line="278" w:lineRule="auto"/>
      </w:pPr>
      <w:r>
        <w:rPr>
          <w:rFonts w:ascii="Calibri" w:hAnsi="Calibri"/>
          <w:b w:val="0"/>
          <w:i w:val="0"/>
          <w:color w:val="1A1A1A"/>
          <w:sz w:val="21"/>
        </w:rPr>
        <w:t>The product has been divided into eight high-level components. Each component is a distinct, independently specifiable part of the product with its own user-visible outcome, its own build effort and its own acceptance criteria. Capabilities that are shared across the product — authentication, storage, job orchestration, retrieval, history and audit — are built once in Component 1 and Component 2 and are not charged again under any later component.</w:t>
      </w:r>
    </w:p>
    <w:p>
      <w:pPr>
        <w:spacing w:line="278" w:lineRule="auto"/>
      </w:pPr>
      <w:r>
        <w:rPr>
          <w:rFonts w:ascii="Calibri" w:hAnsi="Calibri"/>
          <w:b w:val="0"/>
          <w:i w:val="0"/>
          <w:color w:val="1A1A1A"/>
          <w:sz w:val="21"/>
        </w:rPr>
        <w:t>Build duration is engineering duration for that component. Components are built by parallel teams, so the sum of build durations is longer than the delivery schedule in Section 7. “Operational from” indicates the release in which the component becomes available to officers.</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172" w:type="dxa"/>
      </w:tblPr>
      <w:tblGrid>
        <w:gridCol w:w="432"/>
        <w:gridCol w:w="2160"/>
        <w:gridCol w:w="4420"/>
        <w:gridCol w:w="864"/>
        <w:gridCol w:w="1296"/>
      </w:tblGrid>
      <w:tr>
        <w:trPr>
          <w:tblHeader w:val="true"/>
        </w:trPr>
        <w:tc>
          <w:tcPr>
            <w:shd w:val="clear" w:fill="5B2D8E"/>
            <w:tcW w:w="432" w:type="dxa"/>
          </w:tcPr>
          <w:p>
            <w:pPr>
              <w:spacing w:before="30" w:after="30" w:line="254" w:lineRule="auto"/>
            </w:pPr>
            <w:r>
              <w:rPr>
                <w:rFonts w:ascii="Calibri" w:hAnsi="Calibri"/>
                <w:b/>
                <w:color w:val="FFFFFF"/>
                <w:sz w:val="17"/>
              </w:rPr>
              <w:t>#</w:t>
            </w:r>
          </w:p>
        </w:tc>
        <w:tc>
          <w:tcPr>
            <w:shd w:val="clear" w:fill="5B2D8E"/>
            <w:tcW w:w="2160" w:type="dxa"/>
          </w:tcPr>
          <w:p>
            <w:pPr>
              <w:spacing w:before="30" w:after="30" w:line="254" w:lineRule="auto"/>
            </w:pPr>
            <w:r>
              <w:rPr>
                <w:rFonts w:ascii="Calibri" w:hAnsi="Calibri"/>
                <w:b/>
                <w:color w:val="FFFFFF"/>
                <w:sz w:val="17"/>
              </w:rPr>
              <w:t>Component</w:t>
            </w:r>
          </w:p>
        </w:tc>
        <w:tc>
          <w:tcPr>
            <w:shd w:val="clear" w:fill="5B2D8E"/>
            <w:tcW w:w="4420" w:type="dxa"/>
          </w:tcPr>
          <w:p>
            <w:pPr>
              <w:spacing w:before="30" w:after="30" w:line="254" w:lineRule="auto"/>
            </w:pPr>
            <w:r>
              <w:rPr>
                <w:rFonts w:ascii="Calibri" w:hAnsi="Calibri"/>
                <w:b/>
                <w:color w:val="FFFFFF"/>
                <w:sz w:val="17"/>
              </w:rPr>
              <w:t>Scope in brief</w:t>
            </w:r>
          </w:p>
        </w:tc>
        <w:tc>
          <w:tcPr>
            <w:shd w:val="clear" w:fill="5B2D8E"/>
            <w:tcW w:w="864" w:type="dxa"/>
          </w:tcPr>
          <w:p>
            <w:pPr>
              <w:spacing w:before="30" w:after="30" w:line="254" w:lineRule="auto"/>
            </w:pPr>
            <w:r>
              <w:rPr>
                <w:rFonts w:ascii="Calibri" w:hAnsi="Calibri"/>
                <w:b/>
                <w:color w:val="FFFFFF"/>
                <w:sz w:val="17"/>
              </w:rPr>
              <w:t>Build</w:t>
            </w:r>
          </w:p>
        </w:tc>
        <w:tc>
          <w:tcPr>
            <w:shd w:val="clear" w:fill="5B2D8E"/>
            <w:tcW w:w="1296" w:type="dxa"/>
          </w:tcPr>
          <w:p>
            <w:pPr>
              <w:spacing w:before="30" w:after="30" w:line="254" w:lineRule="auto"/>
              <w:jc w:val="right"/>
            </w:pPr>
            <w:r>
              <w:rPr>
                <w:rFonts w:ascii="Calibri" w:hAnsi="Calibri"/>
                <w:b/>
                <w:color w:val="FFFFFF"/>
                <w:sz w:val="17"/>
              </w:rPr>
              <w:t>Estimate</w:t>
            </w:r>
          </w:p>
        </w:tc>
      </w:tr>
      <w:tr>
        <w:tc>
          <w:tcPr>
            <w:tcW w:w="432" w:type="dxa"/>
          </w:tcPr>
          <w:p>
            <w:pPr>
              <w:spacing w:before="30" w:after="30" w:line="254" w:lineRule="auto"/>
            </w:pPr>
            <w:r>
              <w:rPr>
                <w:rFonts w:ascii="Calibri" w:hAnsi="Calibri"/>
                <w:color w:val="1A1A1A"/>
                <w:sz w:val="17"/>
              </w:rPr>
              <w:t>1</w:t>
            </w:r>
          </w:p>
        </w:tc>
        <w:tc>
          <w:tcPr>
            <w:tcW w:w="2160" w:type="dxa"/>
          </w:tcPr>
          <w:p>
            <w:pPr>
              <w:spacing w:before="30" w:after="30" w:line="254" w:lineRule="auto"/>
            </w:pPr>
            <w:r>
              <w:rPr>
                <w:rFonts w:ascii="Calibri" w:hAnsi="Calibri"/>
                <w:color w:val="1A1A1A"/>
                <w:sz w:val="17"/>
              </w:rPr>
              <w:t>Core Platform, Security and Workflow Foundation</w:t>
            </w:r>
          </w:p>
        </w:tc>
        <w:tc>
          <w:tcPr>
            <w:tcW w:w="4420" w:type="dxa"/>
          </w:tcPr>
          <w:p>
            <w:pPr>
              <w:spacing w:before="30" w:after="30" w:line="254" w:lineRule="auto"/>
            </w:pPr>
            <w:r>
              <w:rPr>
                <w:rFonts w:ascii="Calibri" w:hAnsi="Calibri"/>
                <w:color w:val="1A1A1A"/>
                <w:sz w:val="17"/>
              </w:rPr>
              <w:t>Private AI stack, access control, audit, workflow orchestration, background jobs, Marathi-first web workspace, backup and recovery</w:t>
            </w:r>
          </w:p>
        </w:tc>
        <w:tc>
          <w:tcPr>
            <w:tcW w:w="864" w:type="dxa"/>
          </w:tcPr>
          <w:p>
            <w:pPr>
              <w:spacing w:before="30" w:after="30" w:line="254" w:lineRule="auto"/>
            </w:pPr>
            <w:r>
              <w:rPr>
                <w:rFonts w:ascii="Calibri" w:hAnsi="Calibri"/>
                <w:color w:val="1A1A1A"/>
                <w:sz w:val="17"/>
              </w:rPr>
              <w:t>8 weeks</w:t>
            </w:r>
          </w:p>
        </w:tc>
        <w:tc>
          <w:tcPr>
            <w:tcW w:w="1296" w:type="dxa"/>
          </w:tcPr>
          <w:p>
            <w:pPr>
              <w:spacing w:before="30" w:after="30" w:line="254" w:lineRule="auto"/>
              <w:jc w:val="right"/>
            </w:pPr>
            <w:r>
              <w:rPr>
                <w:rFonts w:ascii="Calibri" w:hAnsi="Calibri"/>
                <w:color w:val="1A1A1A"/>
                <w:sz w:val="17"/>
              </w:rPr>
              <w:t>₹48 lakh</w:t>
            </w:r>
          </w:p>
        </w:tc>
      </w:tr>
      <w:tr>
        <w:tc>
          <w:tcPr>
            <w:tcW w:w="432" w:type="dxa"/>
          </w:tcPr>
          <w:p>
            <w:pPr>
              <w:spacing w:before="30" w:after="30" w:line="254" w:lineRule="auto"/>
            </w:pPr>
            <w:r>
              <w:rPr>
                <w:rFonts w:ascii="Calibri" w:hAnsi="Calibri"/>
                <w:color w:val="1A1A1A"/>
                <w:sz w:val="17"/>
              </w:rPr>
              <w:t>2</w:t>
            </w:r>
          </w:p>
        </w:tc>
        <w:tc>
          <w:tcPr>
            <w:tcW w:w="2160" w:type="dxa"/>
          </w:tcPr>
          <w:p>
            <w:pPr>
              <w:spacing w:before="30" w:after="30" w:line="254" w:lineRule="auto"/>
            </w:pPr>
            <w:r>
              <w:rPr>
                <w:rFonts w:ascii="Calibri" w:hAnsi="Calibri"/>
                <w:color w:val="1A1A1A"/>
                <w:sz w:val="17"/>
              </w:rPr>
              <w:t>Data and Document Intelligence</w:t>
            </w:r>
          </w:p>
        </w:tc>
        <w:tc>
          <w:tcPr>
            <w:tcW w:w="4420" w:type="dxa"/>
          </w:tcPr>
          <w:p>
            <w:pPr>
              <w:spacing w:before="30" w:after="30" w:line="254" w:lineRule="auto"/>
            </w:pPr>
            <w:r>
              <w:rPr>
                <w:rFonts w:ascii="Calibri" w:hAnsi="Calibri"/>
                <w:color w:val="1A1A1A"/>
                <w:sz w:val="17"/>
              </w:rPr>
              <w:t>Multi-format intake, long and scanned document handling, OCR, audio and YouTube transcription, knowledge base, embeddings, vector search and RAG grounding</w:t>
            </w:r>
          </w:p>
        </w:tc>
        <w:tc>
          <w:tcPr>
            <w:tcW w:w="864" w:type="dxa"/>
          </w:tcPr>
          <w:p>
            <w:pPr>
              <w:spacing w:before="30" w:after="30" w:line="254" w:lineRule="auto"/>
            </w:pPr>
            <w:r>
              <w:rPr>
                <w:rFonts w:ascii="Calibri" w:hAnsi="Calibri"/>
                <w:color w:val="1A1A1A"/>
                <w:sz w:val="17"/>
              </w:rPr>
              <w:t>10 weeks</w:t>
            </w:r>
          </w:p>
        </w:tc>
        <w:tc>
          <w:tcPr>
            <w:tcW w:w="1296" w:type="dxa"/>
          </w:tcPr>
          <w:p>
            <w:pPr>
              <w:spacing w:before="30" w:after="30" w:line="254" w:lineRule="auto"/>
              <w:jc w:val="right"/>
            </w:pPr>
            <w:r>
              <w:rPr>
                <w:rFonts w:ascii="Calibri" w:hAnsi="Calibri"/>
                <w:color w:val="1A1A1A"/>
                <w:sz w:val="17"/>
              </w:rPr>
              <w:t>₹40 lakh</w:t>
            </w:r>
          </w:p>
        </w:tc>
      </w:tr>
      <w:tr>
        <w:tc>
          <w:tcPr>
            <w:tcW w:w="432" w:type="dxa"/>
          </w:tcPr>
          <w:p>
            <w:pPr>
              <w:spacing w:before="30" w:after="30" w:line="254" w:lineRule="auto"/>
            </w:pPr>
            <w:r>
              <w:rPr>
                <w:rFonts w:ascii="Calibri" w:hAnsi="Calibri"/>
                <w:color w:val="1A1A1A"/>
                <w:sz w:val="17"/>
              </w:rPr>
              <w:t>3</w:t>
            </w:r>
          </w:p>
        </w:tc>
        <w:tc>
          <w:tcPr>
            <w:tcW w:w="2160" w:type="dxa"/>
          </w:tcPr>
          <w:p>
            <w:pPr>
              <w:spacing w:before="30" w:after="30" w:line="254" w:lineRule="auto"/>
            </w:pPr>
            <w:r>
              <w:rPr>
                <w:rFonts w:ascii="Calibri" w:hAnsi="Calibri"/>
                <w:color w:val="1A1A1A"/>
                <w:sz w:val="17"/>
              </w:rPr>
              <w:t>Editorial Engine</w:t>
            </w:r>
          </w:p>
        </w:tc>
        <w:tc>
          <w:tcPr>
            <w:tcW w:w="4420" w:type="dxa"/>
          </w:tcPr>
          <w:p>
            <w:pPr>
              <w:spacing w:before="30" w:after="30" w:line="254" w:lineRule="auto"/>
            </w:pPr>
            <w:r>
              <w:rPr>
                <w:rFonts w:ascii="Calibri" w:hAnsi="Calibri"/>
                <w:color w:val="1A1A1A"/>
                <w:sz w:val="17"/>
              </w:rPr>
              <w:t>Meeting-to-article and document-to-article production, Mahasamvad style intelligence, designation review, verified glossary, translation, proofreading and fact verification</w:t>
            </w:r>
          </w:p>
        </w:tc>
        <w:tc>
          <w:tcPr>
            <w:tcW w:w="864" w:type="dxa"/>
          </w:tcPr>
          <w:p>
            <w:pPr>
              <w:spacing w:before="30" w:after="30" w:line="254" w:lineRule="auto"/>
            </w:pPr>
            <w:r>
              <w:rPr>
                <w:rFonts w:ascii="Calibri" w:hAnsi="Calibri"/>
                <w:color w:val="1A1A1A"/>
                <w:sz w:val="17"/>
              </w:rPr>
              <w:t>12 weeks</w:t>
            </w:r>
          </w:p>
        </w:tc>
        <w:tc>
          <w:tcPr>
            <w:tcW w:w="1296" w:type="dxa"/>
          </w:tcPr>
          <w:p>
            <w:pPr>
              <w:spacing w:before="30" w:after="30" w:line="254" w:lineRule="auto"/>
              <w:jc w:val="right"/>
            </w:pPr>
            <w:r>
              <w:rPr>
                <w:rFonts w:ascii="Calibri" w:hAnsi="Calibri"/>
                <w:color w:val="1A1A1A"/>
                <w:sz w:val="17"/>
              </w:rPr>
              <w:t>₹55 lakh</w:t>
            </w:r>
          </w:p>
        </w:tc>
      </w:tr>
      <w:tr>
        <w:tc>
          <w:tcPr>
            <w:tcW w:w="432" w:type="dxa"/>
          </w:tcPr>
          <w:p>
            <w:pPr>
              <w:spacing w:before="30" w:after="30" w:line="254" w:lineRule="auto"/>
            </w:pPr>
            <w:r>
              <w:rPr>
                <w:rFonts w:ascii="Calibri" w:hAnsi="Calibri"/>
                <w:color w:val="1A1A1A"/>
                <w:sz w:val="17"/>
              </w:rPr>
              <w:t>4</w:t>
            </w:r>
          </w:p>
        </w:tc>
        <w:tc>
          <w:tcPr>
            <w:tcW w:w="2160" w:type="dxa"/>
          </w:tcPr>
          <w:p>
            <w:pPr>
              <w:spacing w:before="30" w:after="30" w:line="254" w:lineRule="auto"/>
            </w:pPr>
            <w:r>
              <w:rPr>
                <w:rFonts w:ascii="Calibri" w:hAnsi="Calibri"/>
                <w:color w:val="1A1A1A"/>
                <w:sz w:val="17"/>
              </w:rPr>
              <w:t>Creatives Studio</w:t>
            </w:r>
          </w:p>
        </w:tc>
        <w:tc>
          <w:tcPr>
            <w:tcW w:w="4420" w:type="dxa"/>
          </w:tcPr>
          <w:p>
            <w:pPr>
              <w:spacing w:before="30" w:after="30" w:line="254" w:lineRule="auto"/>
            </w:pPr>
            <w:r>
              <w:rPr>
                <w:rFonts w:ascii="Calibri" w:hAnsi="Calibri"/>
                <w:color w:val="1A1A1A"/>
                <w:sz w:val="17"/>
              </w:rPr>
              <w:t>Social creatives, article posters, campaign banners, YouTube thumbnails, template and reference libraries, government branding, captions, visual feedback and version control</w:t>
            </w:r>
          </w:p>
        </w:tc>
        <w:tc>
          <w:tcPr>
            <w:tcW w:w="864" w:type="dxa"/>
          </w:tcPr>
          <w:p>
            <w:pPr>
              <w:spacing w:before="30" w:after="30" w:line="254" w:lineRule="auto"/>
            </w:pPr>
            <w:r>
              <w:rPr>
                <w:rFonts w:ascii="Calibri" w:hAnsi="Calibri"/>
                <w:color w:val="1A1A1A"/>
                <w:sz w:val="17"/>
              </w:rPr>
              <w:t>10 weeks</w:t>
            </w:r>
          </w:p>
        </w:tc>
        <w:tc>
          <w:tcPr>
            <w:tcW w:w="1296" w:type="dxa"/>
          </w:tcPr>
          <w:p>
            <w:pPr>
              <w:spacing w:before="30" w:after="30" w:line="254" w:lineRule="auto"/>
              <w:jc w:val="right"/>
            </w:pPr>
            <w:r>
              <w:rPr>
                <w:rFonts w:ascii="Calibri" w:hAnsi="Calibri"/>
                <w:color w:val="1A1A1A"/>
                <w:sz w:val="17"/>
              </w:rPr>
              <w:t>₹38 lakh</w:t>
            </w:r>
          </w:p>
        </w:tc>
      </w:tr>
      <w:tr>
        <w:tc>
          <w:tcPr>
            <w:tcW w:w="432" w:type="dxa"/>
          </w:tcPr>
          <w:p>
            <w:pPr>
              <w:spacing w:before="30" w:after="30" w:line="254" w:lineRule="auto"/>
            </w:pPr>
            <w:r>
              <w:rPr>
                <w:rFonts w:ascii="Calibri" w:hAnsi="Calibri"/>
                <w:color w:val="1A1A1A"/>
                <w:sz w:val="17"/>
              </w:rPr>
              <w:t>5</w:t>
            </w:r>
          </w:p>
        </w:tc>
        <w:tc>
          <w:tcPr>
            <w:tcW w:w="2160" w:type="dxa"/>
          </w:tcPr>
          <w:p>
            <w:pPr>
              <w:spacing w:before="30" w:after="30" w:line="254" w:lineRule="auto"/>
            </w:pPr>
            <w:r>
              <w:rPr>
                <w:rFonts w:ascii="Calibri" w:hAnsi="Calibri"/>
                <w:color w:val="1A1A1A"/>
                <w:sz w:val="17"/>
              </w:rPr>
              <w:t>Video Production Suite</w:t>
            </w:r>
          </w:p>
        </w:tc>
        <w:tc>
          <w:tcPr>
            <w:tcW w:w="4420" w:type="dxa"/>
          </w:tcPr>
          <w:p>
            <w:pPr>
              <w:spacing w:before="30" w:after="30" w:line="254" w:lineRule="auto"/>
            </w:pPr>
            <w:r>
              <w:rPr>
                <w:rFonts w:ascii="Calibri" w:hAnsi="Calibri"/>
                <w:color w:val="1A1A1A"/>
                <w:sz w:val="17"/>
              </w:rPr>
              <w:t>Branded explainer videos, poster-to-motion creatives, studio interview and anchor-video production, subtitles, derivatives and channel-ready finishing</w:t>
            </w:r>
          </w:p>
        </w:tc>
        <w:tc>
          <w:tcPr>
            <w:tcW w:w="864" w:type="dxa"/>
          </w:tcPr>
          <w:p>
            <w:pPr>
              <w:spacing w:before="30" w:after="30" w:line="254" w:lineRule="auto"/>
            </w:pPr>
            <w:r>
              <w:rPr>
                <w:rFonts w:ascii="Calibri" w:hAnsi="Calibri"/>
                <w:color w:val="1A1A1A"/>
                <w:sz w:val="17"/>
              </w:rPr>
              <w:t>14 weeks</w:t>
            </w:r>
          </w:p>
        </w:tc>
        <w:tc>
          <w:tcPr>
            <w:tcW w:w="1296" w:type="dxa"/>
          </w:tcPr>
          <w:p>
            <w:pPr>
              <w:spacing w:before="30" w:after="30" w:line="254" w:lineRule="auto"/>
              <w:jc w:val="right"/>
            </w:pPr>
            <w:r>
              <w:rPr>
                <w:rFonts w:ascii="Calibri" w:hAnsi="Calibri"/>
                <w:color w:val="1A1A1A"/>
                <w:sz w:val="17"/>
              </w:rPr>
              <w:t>₹52 lakh</w:t>
            </w:r>
          </w:p>
        </w:tc>
      </w:tr>
      <w:tr>
        <w:tc>
          <w:tcPr>
            <w:tcW w:w="432" w:type="dxa"/>
          </w:tcPr>
          <w:p>
            <w:pPr>
              <w:spacing w:before="30" w:after="30" w:line="254" w:lineRule="auto"/>
            </w:pPr>
            <w:r>
              <w:rPr>
                <w:rFonts w:ascii="Calibri" w:hAnsi="Calibri"/>
                <w:color w:val="1A1A1A"/>
                <w:sz w:val="17"/>
              </w:rPr>
              <w:t>6</w:t>
            </w:r>
          </w:p>
        </w:tc>
        <w:tc>
          <w:tcPr>
            <w:tcW w:w="2160" w:type="dxa"/>
          </w:tcPr>
          <w:p>
            <w:pPr>
              <w:spacing w:before="30" w:after="30" w:line="254" w:lineRule="auto"/>
            </w:pPr>
            <w:r>
              <w:rPr>
                <w:rFonts w:ascii="Calibri" w:hAnsi="Calibri"/>
                <w:color w:val="1A1A1A"/>
                <w:sz w:val="17"/>
              </w:rPr>
              <w:t>Media Intelligence</w:t>
            </w:r>
          </w:p>
        </w:tc>
        <w:tc>
          <w:tcPr>
            <w:tcW w:w="4420" w:type="dxa"/>
          </w:tcPr>
          <w:p>
            <w:pPr>
              <w:spacing w:before="30" w:after="30" w:line="254" w:lineRule="auto"/>
            </w:pPr>
            <w:r>
              <w:rPr>
                <w:rFonts w:ascii="Calibri" w:hAnsi="Calibri"/>
                <w:color w:val="1A1A1A"/>
                <w:sz w:val="17"/>
              </w:rPr>
              <w:t>Newspaper and media monitoring, multilingual OCR and clipping, classification, sentiment and risk review, alerts, digests, archives, trends and campaign-impact analysis</w:t>
            </w:r>
          </w:p>
        </w:tc>
        <w:tc>
          <w:tcPr>
            <w:tcW w:w="864" w:type="dxa"/>
          </w:tcPr>
          <w:p>
            <w:pPr>
              <w:spacing w:before="30" w:after="30" w:line="254" w:lineRule="auto"/>
            </w:pPr>
            <w:r>
              <w:rPr>
                <w:rFonts w:ascii="Calibri" w:hAnsi="Calibri"/>
                <w:color w:val="1A1A1A"/>
                <w:sz w:val="17"/>
              </w:rPr>
              <w:t>10 weeks</w:t>
            </w:r>
          </w:p>
        </w:tc>
        <w:tc>
          <w:tcPr>
            <w:tcW w:w="1296" w:type="dxa"/>
          </w:tcPr>
          <w:p>
            <w:pPr>
              <w:spacing w:before="30" w:after="30" w:line="254" w:lineRule="auto"/>
              <w:jc w:val="right"/>
            </w:pPr>
            <w:r>
              <w:rPr>
                <w:rFonts w:ascii="Calibri" w:hAnsi="Calibri"/>
                <w:color w:val="1A1A1A"/>
                <w:sz w:val="17"/>
              </w:rPr>
              <w:t>₹32 lakh</w:t>
            </w:r>
          </w:p>
        </w:tc>
      </w:tr>
      <w:tr>
        <w:tc>
          <w:tcPr>
            <w:tcW w:w="432" w:type="dxa"/>
          </w:tcPr>
          <w:p>
            <w:pPr>
              <w:spacing w:before="30" w:after="30" w:line="254" w:lineRule="auto"/>
            </w:pPr>
            <w:r>
              <w:rPr>
                <w:rFonts w:ascii="Calibri" w:hAnsi="Calibri"/>
                <w:color w:val="1A1A1A"/>
                <w:sz w:val="17"/>
              </w:rPr>
              <w:t>7</w:t>
            </w:r>
          </w:p>
        </w:tc>
        <w:tc>
          <w:tcPr>
            <w:tcW w:w="2160" w:type="dxa"/>
          </w:tcPr>
          <w:p>
            <w:pPr>
              <w:spacing w:before="30" w:after="30" w:line="254" w:lineRule="auto"/>
            </w:pPr>
            <w:r>
              <w:rPr>
                <w:rFonts w:ascii="Calibri" w:hAnsi="Calibri"/>
                <w:color w:val="1A1A1A"/>
                <w:sz w:val="17"/>
              </w:rPr>
              <w:t>Mobile Application and Cross-device Experience</w:t>
            </w:r>
          </w:p>
        </w:tc>
        <w:tc>
          <w:tcPr>
            <w:tcW w:w="4420" w:type="dxa"/>
          </w:tcPr>
          <w:p>
            <w:pPr>
              <w:spacing w:before="30" w:after="30" w:line="254" w:lineRule="auto"/>
            </w:pPr>
            <w:r>
              <w:rPr>
                <w:rFonts w:ascii="Calibri" w:hAnsi="Calibri"/>
                <w:color w:val="1A1A1A"/>
                <w:sz w:val="17"/>
              </w:rPr>
              <w:t>Installable Marathi-first mobile application, share-to-app capture, field intake, notifications, mobile review and approval, cross-device continuity</w:t>
            </w:r>
          </w:p>
        </w:tc>
        <w:tc>
          <w:tcPr>
            <w:tcW w:w="864" w:type="dxa"/>
          </w:tcPr>
          <w:p>
            <w:pPr>
              <w:spacing w:before="30" w:after="30" w:line="254" w:lineRule="auto"/>
            </w:pPr>
            <w:r>
              <w:rPr>
                <w:rFonts w:ascii="Calibri" w:hAnsi="Calibri"/>
                <w:color w:val="1A1A1A"/>
                <w:sz w:val="17"/>
              </w:rPr>
              <w:t>8 weeks</w:t>
            </w:r>
          </w:p>
        </w:tc>
        <w:tc>
          <w:tcPr>
            <w:tcW w:w="1296" w:type="dxa"/>
          </w:tcPr>
          <w:p>
            <w:pPr>
              <w:spacing w:before="30" w:after="30" w:line="254" w:lineRule="auto"/>
              <w:jc w:val="right"/>
            </w:pPr>
            <w:r>
              <w:rPr>
                <w:rFonts w:ascii="Calibri" w:hAnsi="Calibri"/>
                <w:color w:val="1A1A1A"/>
                <w:sz w:val="17"/>
              </w:rPr>
              <w:t>₹28 lakh</w:t>
            </w:r>
          </w:p>
        </w:tc>
      </w:tr>
      <w:tr>
        <w:tc>
          <w:tcPr>
            <w:tcW w:w="432" w:type="dxa"/>
          </w:tcPr>
          <w:p>
            <w:pPr>
              <w:spacing w:before="30" w:after="30" w:line="254" w:lineRule="auto"/>
            </w:pPr>
            <w:r>
              <w:rPr>
                <w:rFonts w:ascii="Calibri" w:hAnsi="Calibri"/>
                <w:color w:val="1A1A1A"/>
                <w:sz w:val="17"/>
              </w:rPr>
              <w:t>8</w:t>
            </w:r>
          </w:p>
        </w:tc>
        <w:tc>
          <w:tcPr>
            <w:tcW w:w="2160" w:type="dxa"/>
          </w:tcPr>
          <w:p>
            <w:pPr>
              <w:spacing w:before="30" w:after="30" w:line="254" w:lineRule="auto"/>
            </w:pPr>
            <w:r>
              <w:rPr>
                <w:rFonts w:ascii="Calibri" w:hAnsi="Calibri"/>
                <w:color w:val="1A1A1A"/>
                <w:sz w:val="17"/>
              </w:rPr>
              <w:t>Administration, Integrations and Work Assistant</w:t>
            </w:r>
          </w:p>
        </w:tc>
        <w:tc>
          <w:tcPr>
            <w:tcW w:w="4420" w:type="dxa"/>
          </w:tcPr>
          <w:p>
            <w:pPr>
              <w:spacing w:before="30" w:after="30" w:line="254" w:lineRule="auto"/>
            </w:pPr>
            <w:r>
              <w:rPr>
                <w:rFonts w:ascii="Calibri" w:hAnsi="Calibri"/>
                <w:color w:val="1A1A1A"/>
                <w:sz w:val="17"/>
              </w:rPr>
              <w:t>Governed work assistant, presentations and RFP drafting, searchable history and reuse, downloads, department analytics, administration console and approved integrations</w:t>
            </w:r>
          </w:p>
        </w:tc>
        <w:tc>
          <w:tcPr>
            <w:tcW w:w="864" w:type="dxa"/>
          </w:tcPr>
          <w:p>
            <w:pPr>
              <w:spacing w:before="30" w:after="30" w:line="254" w:lineRule="auto"/>
            </w:pPr>
            <w:r>
              <w:rPr>
                <w:rFonts w:ascii="Calibri" w:hAnsi="Calibri"/>
                <w:color w:val="1A1A1A"/>
                <w:sz w:val="17"/>
              </w:rPr>
              <w:t>8 weeks</w:t>
            </w:r>
          </w:p>
        </w:tc>
        <w:tc>
          <w:tcPr>
            <w:tcW w:w="1296" w:type="dxa"/>
          </w:tcPr>
          <w:p>
            <w:pPr>
              <w:spacing w:before="30" w:after="30" w:line="254" w:lineRule="auto"/>
              <w:jc w:val="right"/>
            </w:pPr>
            <w:r>
              <w:rPr>
                <w:rFonts w:ascii="Calibri" w:hAnsi="Calibri"/>
                <w:color w:val="1A1A1A"/>
                <w:sz w:val="17"/>
              </w:rPr>
              <w:t>₹27 lakh</w:t>
            </w:r>
          </w:p>
        </w:tc>
      </w:tr>
      <w:tr>
        <w:tc>
          <w:tcPr>
            <w:shd w:val="clear" w:fill="F3EFF8"/>
            <w:tcW w:w="432" w:type="dxa"/>
          </w:tcPr>
          <w:p>
            <w:pPr>
              <w:spacing w:before="30" w:after="30" w:line="254" w:lineRule="auto"/>
            </w:pPr>
            <w:r>
              <w:rPr>
                <w:rFonts w:ascii="Calibri" w:hAnsi="Calibri"/>
                <w:b/>
                <w:color w:val="1A1A1A"/>
                <w:sz w:val="17"/>
              </w:rPr>
            </w:r>
          </w:p>
        </w:tc>
        <w:tc>
          <w:tcPr>
            <w:shd w:val="clear" w:fill="F3EFF8"/>
            <w:tcW w:w="2160" w:type="dxa"/>
          </w:tcPr>
          <w:p>
            <w:pPr>
              <w:spacing w:before="30" w:after="30" w:line="254" w:lineRule="auto"/>
            </w:pPr>
            <w:r>
              <w:rPr>
                <w:rFonts w:ascii="Calibri" w:hAnsi="Calibri"/>
                <w:b/>
                <w:color w:val="1A1A1A"/>
                <w:sz w:val="17"/>
              </w:rPr>
              <w:t>Subtotal — eight product components</w:t>
            </w:r>
          </w:p>
        </w:tc>
        <w:tc>
          <w:tcPr>
            <w:shd w:val="clear" w:fill="F3EFF8"/>
            <w:tcW w:w="4420" w:type="dxa"/>
          </w:tcPr>
          <w:p>
            <w:pPr>
              <w:spacing w:before="30" w:after="30" w:line="254" w:lineRule="auto"/>
            </w:pPr>
            <w:r>
              <w:rPr>
                <w:rFonts w:ascii="Calibri" w:hAnsi="Calibri"/>
                <w:b/>
                <w:color w:val="1A1A1A"/>
                <w:sz w:val="17"/>
              </w:rPr>
            </w:r>
          </w:p>
        </w:tc>
        <w:tc>
          <w:tcPr>
            <w:shd w:val="clear" w:fill="F3EFF8"/>
            <w:tcW w:w="864" w:type="dxa"/>
          </w:tcPr>
          <w:p>
            <w:pPr>
              <w:spacing w:before="30" w:after="30" w:line="254" w:lineRule="auto"/>
            </w:pPr>
            <w:r>
              <w:rPr>
                <w:rFonts w:ascii="Calibri" w:hAnsi="Calibri"/>
                <w:b/>
                <w:color w:val="1A1A1A"/>
                <w:sz w:val="17"/>
              </w:rPr>
            </w:r>
          </w:p>
        </w:tc>
        <w:tc>
          <w:tcPr>
            <w:shd w:val="clear" w:fill="F3EFF8"/>
            <w:tcW w:w="1296" w:type="dxa"/>
          </w:tcPr>
          <w:p>
            <w:pPr>
              <w:spacing w:before="30" w:after="30" w:line="254" w:lineRule="auto"/>
              <w:jc w:val="right"/>
            </w:pPr>
            <w:r>
              <w:rPr>
                <w:rFonts w:ascii="Calibri" w:hAnsi="Calibri"/>
                <w:b/>
                <w:color w:val="1A1A1A"/>
                <w:sz w:val="17"/>
              </w:rPr>
              <w:t>₹3.20 crore</w:t>
            </w:r>
          </w:p>
        </w:tc>
      </w:tr>
      <w:tr>
        <w:tc>
          <w:tcPr>
            <w:tcW w:w="432" w:type="dxa"/>
          </w:tcPr>
          <w:p>
            <w:pPr>
              <w:spacing w:before="30" w:after="30" w:line="254" w:lineRule="auto"/>
            </w:pPr>
            <w:r>
              <w:rPr>
                <w:rFonts w:ascii="Calibri" w:hAnsi="Calibri"/>
                <w:color w:val="1A1A1A"/>
                <w:sz w:val="17"/>
              </w:rPr>
              <w:t>9</w:t>
            </w:r>
          </w:p>
        </w:tc>
        <w:tc>
          <w:tcPr>
            <w:tcW w:w="2160" w:type="dxa"/>
          </w:tcPr>
          <w:p>
            <w:pPr>
              <w:spacing w:before="30" w:after="30" w:line="254" w:lineRule="auto"/>
            </w:pPr>
            <w:r>
              <w:rPr>
                <w:rFonts w:ascii="Calibri" w:hAnsi="Calibri"/>
                <w:color w:val="1A1A1A"/>
                <w:sz w:val="17"/>
              </w:rPr>
              <w:t>AI compute and metered technology services</w:t>
            </w:r>
          </w:p>
        </w:tc>
        <w:tc>
          <w:tcPr>
            <w:tcW w:w="4420" w:type="dxa"/>
          </w:tcPr>
          <w:p>
            <w:pPr>
              <w:spacing w:before="30" w:after="30" w:line="254" w:lineRule="auto"/>
            </w:pPr>
            <w:r>
              <w:rPr>
                <w:rFonts w:ascii="Calibri" w:hAnsi="Calibri"/>
                <w:color w:val="1A1A1A"/>
                <w:sz w:val="17"/>
              </w:rPr>
              <w:t>Twelve-month provision for approved language, vision, speech, transcription, OCR, translation, image and video services consumed by the platform (not a development component)</w:t>
            </w:r>
          </w:p>
        </w:tc>
        <w:tc>
          <w:tcPr>
            <w:tcW w:w="864" w:type="dxa"/>
          </w:tcPr>
          <w:p>
            <w:pPr>
              <w:spacing w:before="30" w:after="30" w:line="254" w:lineRule="auto"/>
            </w:pPr>
            <w:r>
              <w:rPr>
                <w:rFonts w:ascii="Calibri" w:hAnsi="Calibri"/>
                <w:color w:val="1A1A1A"/>
                <w:sz w:val="17"/>
              </w:rPr>
              <w:t>—</w:t>
            </w:r>
          </w:p>
        </w:tc>
        <w:tc>
          <w:tcPr>
            <w:tcW w:w="1296" w:type="dxa"/>
          </w:tcPr>
          <w:p>
            <w:pPr>
              <w:spacing w:before="30" w:after="30" w:line="254" w:lineRule="auto"/>
              <w:jc w:val="right"/>
            </w:pPr>
            <w:r>
              <w:rPr>
                <w:rFonts w:ascii="Calibri" w:hAnsi="Calibri"/>
                <w:color w:val="1A1A1A"/>
                <w:sz w:val="17"/>
              </w:rPr>
              <w:t>₹55 lakh</w:t>
            </w:r>
          </w:p>
        </w:tc>
      </w:tr>
      <w:tr>
        <w:tc>
          <w:tcPr>
            <w:shd w:val="clear" w:fill="F3EFF8"/>
            <w:tcW w:w="432" w:type="dxa"/>
          </w:tcPr>
          <w:p>
            <w:pPr>
              <w:spacing w:before="30" w:after="30" w:line="254" w:lineRule="auto"/>
            </w:pPr>
            <w:r>
              <w:rPr>
                <w:rFonts w:ascii="Calibri" w:hAnsi="Calibri"/>
                <w:b/>
                <w:color w:val="1A1A1A"/>
                <w:sz w:val="17"/>
              </w:rPr>
            </w:r>
          </w:p>
        </w:tc>
        <w:tc>
          <w:tcPr>
            <w:shd w:val="clear" w:fill="F3EFF8"/>
            <w:tcW w:w="2160" w:type="dxa"/>
          </w:tcPr>
          <w:p>
            <w:pPr>
              <w:spacing w:before="30" w:after="30" w:line="254" w:lineRule="auto"/>
            </w:pPr>
            <w:r>
              <w:rPr>
                <w:rFonts w:ascii="Calibri" w:hAnsi="Calibri"/>
                <w:b/>
                <w:color w:val="1A1A1A"/>
                <w:sz w:val="17"/>
              </w:rPr>
              <w:t>Total — platform development and product components</w:t>
            </w:r>
          </w:p>
        </w:tc>
        <w:tc>
          <w:tcPr>
            <w:shd w:val="clear" w:fill="F3EFF8"/>
            <w:tcW w:w="4420" w:type="dxa"/>
          </w:tcPr>
          <w:p>
            <w:pPr>
              <w:spacing w:before="30" w:after="30" w:line="254" w:lineRule="auto"/>
            </w:pPr>
            <w:r>
              <w:rPr>
                <w:rFonts w:ascii="Calibri" w:hAnsi="Calibri"/>
                <w:b/>
                <w:color w:val="1A1A1A"/>
                <w:sz w:val="17"/>
              </w:rPr>
            </w:r>
          </w:p>
        </w:tc>
        <w:tc>
          <w:tcPr>
            <w:shd w:val="clear" w:fill="F3EFF8"/>
            <w:tcW w:w="864" w:type="dxa"/>
          </w:tcPr>
          <w:p>
            <w:pPr>
              <w:spacing w:before="30" w:after="30" w:line="254" w:lineRule="auto"/>
            </w:pPr>
            <w:r>
              <w:rPr>
                <w:rFonts w:ascii="Calibri" w:hAnsi="Calibri"/>
                <w:b/>
                <w:color w:val="1A1A1A"/>
                <w:sz w:val="17"/>
              </w:rPr>
            </w:r>
          </w:p>
        </w:tc>
        <w:tc>
          <w:tcPr>
            <w:shd w:val="clear" w:fill="F3EFF8"/>
            <w:tcW w:w="1296" w:type="dxa"/>
          </w:tcPr>
          <w:p>
            <w:pPr>
              <w:spacing w:before="30" w:after="30" w:line="254" w:lineRule="auto"/>
              <w:jc w:val="right"/>
            </w:pPr>
            <w:r>
              <w:rPr>
                <w:rFonts w:ascii="Calibri" w:hAnsi="Calibri"/>
                <w:b/>
                <w:color w:val="1A1A1A"/>
                <w:sz w:val="17"/>
              </w:rPr>
              <w:t>₹3.75 crore</w:t>
            </w:r>
          </w:p>
        </w:tc>
      </w:tr>
    </w:tbl>
    <w:p>
      <w:pPr>
        <w:spacing w:after="80"/>
      </w:pPr>
    </w:p>
    <w:p>
      <w:pPr>
        <w:pStyle w:val="Heading2"/>
      </w:pPr>
      <w:r>
        <w:t>5.1  Component 1 — Core Platform, Security and Workflow Foundation</w:t>
      </w:r>
    </w:p>
    <w:p>
      <w:pPr>
        <w:spacing w:line="278" w:lineRule="auto"/>
      </w:pPr>
      <w:r>
        <w:rPr>
          <w:rFonts w:ascii="Calibri" w:hAnsi="Calibri"/>
          <w:b w:val="0"/>
          <w:i w:val="0"/>
          <w:color w:val="1A1A1A"/>
          <w:sz w:val="21"/>
        </w:rPr>
        <w:t>The foundation every other component is built on. It provides the department-controlled AI environment, the security model governing who may see and do what, the workflow engine that carries every task from source to approved output, and the Marathi-first web workspace used by headquarters, divisional and district offices. Access control, encryption, audit trails, background processing, backup and recovery are established once here and used by every component that follows.</w:t>
      </w:r>
    </w:p>
    <w:p>
      <w:pPr>
        <w:spacing w:before="0" w:after="40" w:line="269" w:lineRule="auto"/>
        <w:ind w:left="144"/>
      </w:pPr>
      <w:r>
        <w:rPr>
          <w:rFonts w:ascii="Calibri" w:hAnsi="Calibri"/>
          <w:b/>
          <w:color w:val="5B2D8E"/>
          <w:sz w:val="19"/>
        </w:rPr>
        <w:t xml:space="preserve">Covers  </w:t>
      </w:r>
      <w:r>
        <w:rPr>
          <w:rFonts w:ascii="Calibri" w:hAnsi="Calibri"/>
          <w:color w:val="5A5A5A"/>
          <w:sz w:val="19"/>
        </w:rPr>
        <w:t>Private AI stack and model serving; authentication and role-based access; audit trails and source-to-output lineage; workflow orchestration and background jobs; Marathi-first web workspace; backup, recovery and business continuity.</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8 weeks</w:t>
      </w:r>
      <w:r>
        <w:rPr>
          <w:sz w:val="18"/>
        </w:rPr>
        <w:t xml:space="preserve">     </w:t>
      </w:r>
      <w:r>
        <w:rPr>
          <w:rFonts w:ascii="Calibri" w:hAnsi="Calibri"/>
          <w:b/>
          <w:color w:val="5B2D8E"/>
          <w:sz w:val="18"/>
        </w:rPr>
        <w:t xml:space="preserve">Operational from  </w:t>
      </w:r>
      <w:r>
        <w:rPr>
          <w:rFonts w:ascii="Calibri" w:hAnsi="Calibri"/>
          <w:color w:val="1A1A1A"/>
          <w:sz w:val="18"/>
        </w:rPr>
        <w:t>Release 1 — Month 1</w:t>
      </w:r>
      <w:r>
        <w:rPr>
          <w:sz w:val="18"/>
        </w:rPr>
        <w:t xml:space="preserve">     </w:t>
      </w:r>
      <w:r>
        <w:rPr>
          <w:rFonts w:ascii="Calibri" w:hAnsi="Calibri"/>
          <w:b/>
          <w:color w:val="5B2D8E"/>
          <w:sz w:val="18"/>
        </w:rPr>
        <w:t xml:space="preserve">One-year estimate  </w:t>
      </w:r>
      <w:r>
        <w:rPr>
          <w:rFonts w:ascii="Calibri" w:hAnsi="Calibri"/>
          <w:color w:val="1A1A1A"/>
          <w:sz w:val="18"/>
        </w:rPr>
        <w:t>₹48 lakh</w:t>
      </w:r>
    </w:p>
    <w:p>
      <w:pPr>
        <w:pStyle w:val="Heading2"/>
      </w:pPr>
      <w:r>
        <w:t>5.2  Component 2 — Data and Document Intelligence</w:t>
      </w:r>
    </w:p>
    <w:p>
      <w:pPr>
        <w:spacing w:line="278" w:lineRule="auto"/>
      </w:pPr>
      <w:r>
        <w:rPr>
          <w:rFonts w:ascii="Calibri" w:hAnsi="Calibri"/>
          <w:b w:val="0"/>
          <w:i w:val="0"/>
          <w:color w:val="1A1A1A"/>
          <w:sz w:val="21"/>
        </w:rPr>
        <w:t>Everything that turns raw government material into reviewable, trustworthy text, together with the departmental knowledge base that grounds every generated output. Officers submit notes, documents, scanned pages, photographs, recordings and approved video links; the platform converts them into text the officer can check and correct before anything is produced from them.</w:t>
      </w:r>
    </w:p>
    <w:p>
      <w:pPr>
        <w:spacing w:before="0" w:after="40" w:line="269" w:lineRule="auto"/>
        <w:ind w:left="144"/>
      </w:pPr>
      <w:r>
        <w:rPr>
          <w:rFonts w:ascii="Calibri" w:hAnsi="Calibri"/>
          <w:b/>
          <w:color w:val="5B2D8E"/>
          <w:sz w:val="19"/>
        </w:rPr>
        <w:t xml:space="preserve">Covers  </w:t>
      </w:r>
      <w:r>
        <w:rPr>
          <w:rFonts w:ascii="Calibri" w:hAnsi="Calibri"/>
          <w:color w:val="5A5A5A"/>
          <w:sz w:val="19"/>
        </w:rPr>
        <w:t>Multi-format source intake; document parsing and page selection; Marathi OCR; audio and YouTube transcription; officer correction of extracted text; departmental knowledge base, embeddings and retrieval with source provenance.</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10 weeks</w:t>
      </w:r>
      <w:r>
        <w:rPr>
          <w:sz w:val="18"/>
        </w:rPr>
        <w:t xml:space="preserve">     </w:t>
      </w:r>
      <w:r>
        <w:rPr>
          <w:rFonts w:ascii="Calibri" w:hAnsi="Calibri"/>
          <w:b/>
          <w:color w:val="5B2D8E"/>
          <w:sz w:val="18"/>
        </w:rPr>
        <w:t xml:space="preserve">Operational from  </w:t>
      </w:r>
      <w:r>
        <w:rPr>
          <w:rFonts w:ascii="Calibri" w:hAnsi="Calibri"/>
          <w:color w:val="1A1A1A"/>
          <w:sz w:val="18"/>
        </w:rPr>
        <w:t>Release 1 (core) — Release 2 (full retrieval)</w:t>
      </w:r>
      <w:r>
        <w:rPr>
          <w:sz w:val="18"/>
        </w:rPr>
        <w:t xml:space="preserve">     </w:t>
      </w:r>
      <w:r>
        <w:rPr>
          <w:rFonts w:ascii="Calibri" w:hAnsi="Calibri"/>
          <w:b/>
          <w:color w:val="5B2D8E"/>
          <w:sz w:val="18"/>
        </w:rPr>
        <w:t xml:space="preserve">One-year estimate  </w:t>
      </w:r>
      <w:r>
        <w:rPr>
          <w:rFonts w:ascii="Calibri" w:hAnsi="Calibri"/>
          <w:color w:val="1A1A1A"/>
          <w:sz w:val="18"/>
        </w:rPr>
        <w:t>₹40 lakh</w:t>
      </w:r>
    </w:p>
    <w:p>
      <w:pPr>
        <w:pStyle w:val="Heading2"/>
      </w:pPr>
      <w:r>
        <w:t>5.3  Component 3 — Editorial Engine</w:t>
      </w:r>
    </w:p>
    <w:p>
      <w:pPr>
        <w:spacing w:line="278" w:lineRule="auto"/>
      </w:pPr>
      <w:r>
        <w:rPr>
          <w:rFonts w:ascii="Calibri" w:hAnsi="Calibri"/>
          <w:b w:val="0"/>
          <w:i w:val="0"/>
          <w:color w:val="1A1A1A"/>
          <w:sz w:val="21"/>
        </w:rPr>
        <w:t>The department's core writing capability. Approved source material becomes publication-ready Marathi news reports and articles in the department's own editorial voice, with names, designations and terminology held consistent, translation and proofreading available in the same workflow, and every fact traceable to the officer's source.</w:t>
      </w:r>
    </w:p>
    <w:p>
      <w:pPr>
        <w:spacing w:before="0" w:after="40" w:line="269" w:lineRule="auto"/>
        <w:ind w:left="144"/>
      </w:pPr>
      <w:r>
        <w:rPr>
          <w:rFonts w:ascii="Calibri" w:hAnsi="Calibri"/>
          <w:b/>
          <w:color w:val="5B2D8E"/>
          <w:sz w:val="19"/>
        </w:rPr>
        <w:t xml:space="preserve">Covers  </w:t>
      </w:r>
      <w:r>
        <w:rPr>
          <w:rFonts w:ascii="Calibri" w:hAnsi="Calibri"/>
          <w:color w:val="5A5A5A"/>
          <w:sz w:val="19"/>
        </w:rPr>
        <w:t>Meeting-to-article and document-to-article production; Mahasamvad style intelligence; person, designation and terminology review; shared verified glossary; English and Hindi translation; Marathi and English proofreading; fact coverage and source verification; revisions and publication-ready export.</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12 weeks</w:t>
      </w:r>
      <w:r>
        <w:rPr>
          <w:sz w:val="18"/>
        </w:rPr>
        <w:t xml:space="preserve">     </w:t>
      </w:r>
      <w:r>
        <w:rPr>
          <w:rFonts w:ascii="Calibri" w:hAnsi="Calibri"/>
          <w:b/>
          <w:color w:val="5B2D8E"/>
          <w:sz w:val="18"/>
        </w:rPr>
        <w:t xml:space="preserve">Operational from  </w:t>
      </w:r>
      <w:r>
        <w:rPr>
          <w:rFonts w:ascii="Calibri" w:hAnsi="Calibri"/>
          <w:color w:val="1A1A1A"/>
          <w:sz w:val="18"/>
        </w:rPr>
        <w:t>Release 1 (news and article core) — Release 2 (full)</w:t>
      </w:r>
      <w:r>
        <w:rPr>
          <w:sz w:val="18"/>
        </w:rPr>
        <w:t xml:space="preserve">     </w:t>
      </w:r>
      <w:r>
        <w:rPr>
          <w:rFonts w:ascii="Calibri" w:hAnsi="Calibri"/>
          <w:b/>
          <w:color w:val="5B2D8E"/>
          <w:sz w:val="18"/>
        </w:rPr>
        <w:t xml:space="preserve">One-year estimate  </w:t>
      </w:r>
      <w:r>
        <w:rPr>
          <w:rFonts w:ascii="Calibri" w:hAnsi="Calibri"/>
          <w:color w:val="1A1A1A"/>
          <w:sz w:val="18"/>
        </w:rPr>
        <w:t>₹55 lakh</w:t>
      </w:r>
    </w:p>
    <w:p>
      <w:pPr>
        <w:pStyle w:val="Heading2"/>
      </w:pPr>
      <w:r>
        <w:t>5.4  Component 4 — Creatives Studio</w:t>
      </w:r>
    </w:p>
    <w:p>
      <w:pPr>
        <w:spacing w:line="278" w:lineRule="auto"/>
      </w:pPr>
      <w:r>
        <w:rPr>
          <w:rFonts w:ascii="Calibri" w:hAnsi="Calibri"/>
          <w:b w:val="0"/>
          <w:i w:val="0"/>
          <w:color w:val="1A1A1A"/>
          <w:sz w:val="21"/>
        </w:rPr>
        <w:t>Production of the department's visual communication from officer-approved source material, under controlled government branding. Officers create posters, social creatives and thumbnails from the same material an article was written from, review them visually, and request precise changes without starting the work again.</w:t>
      </w:r>
    </w:p>
    <w:p>
      <w:pPr>
        <w:spacing w:before="0" w:after="40" w:line="269" w:lineRule="auto"/>
        <w:ind w:left="144"/>
      </w:pPr>
      <w:r>
        <w:rPr>
          <w:rFonts w:ascii="Calibri" w:hAnsi="Calibri"/>
          <w:b/>
          <w:color w:val="5B2D8E"/>
          <w:sz w:val="19"/>
        </w:rPr>
        <w:t xml:space="preserve">Covers  </w:t>
      </w:r>
      <w:r>
        <w:rPr>
          <w:rFonts w:ascii="Calibri" w:hAnsi="Calibri"/>
          <w:color w:val="5A5A5A"/>
          <w:sz w:val="19"/>
        </w:rPr>
        <w:t>Social creatives, article posters and campaign banners; YouTube thumbnails; template and reference libraries; Devanagari typesetting and official branding; caption creation; visual feedback and version control; channel-ready exports and authorised publishing support.</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10 weeks</w:t>
      </w:r>
      <w:r>
        <w:rPr>
          <w:sz w:val="18"/>
        </w:rPr>
        <w:t xml:space="preserve">     </w:t>
      </w:r>
      <w:r>
        <w:rPr>
          <w:rFonts w:ascii="Calibri" w:hAnsi="Calibri"/>
          <w:b/>
          <w:color w:val="5B2D8E"/>
          <w:sz w:val="18"/>
        </w:rPr>
        <w:t xml:space="preserve">Operational from  </w:t>
      </w:r>
      <w:r>
        <w:rPr>
          <w:rFonts w:ascii="Calibri" w:hAnsi="Calibri"/>
          <w:color w:val="1A1A1A"/>
          <w:sz w:val="18"/>
        </w:rPr>
        <w:t>Release 2 — Month 4</w:t>
      </w:r>
      <w:r>
        <w:rPr>
          <w:sz w:val="18"/>
        </w:rPr>
        <w:t xml:space="preserve">     </w:t>
      </w:r>
      <w:r>
        <w:rPr>
          <w:rFonts w:ascii="Calibri" w:hAnsi="Calibri"/>
          <w:b/>
          <w:color w:val="5B2D8E"/>
          <w:sz w:val="18"/>
        </w:rPr>
        <w:t xml:space="preserve">One-year estimate  </w:t>
      </w:r>
      <w:r>
        <w:rPr>
          <w:rFonts w:ascii="Calibri" w:hAnsi="Calibri"/>
          <w:color w:val="1A1A1A"/>
          <w:sz w:val="18"/>
        </w:rPr>
        <w:t>₹38 lakh</w:t>
      </w:r>
    </w:p>
    <w:p>
      <w:pPr>
        <w:pStyle w:val="Heading2"/>
      </w:pPr>
      <w:r>
        <w:t>5.5  Component 5 — Video Production Suite</w:t>
      </w:r>
    </w:p>
    <w:p>
      <w:pPr>
        <w:spacing w:line="278" w:lineRule="auto"/>
      </w:pPr>
      <w:r>
        <w:rPr>
          <w:rFonts w:ascii="Calibri" w:hAnsi="Calibri"/>
          <w:b w:val="0"/>
          <w:i w:val="0"/>
          <w:color w:val="1A1A1A"/>
          <w:sz w:val="21"/>
        </w:rPr>
        <w:t>All moving-image output. Explainer videos are built from an approved script through officer-reviewed scenes; approved posters become motion creatives; and studio interviews, press briefings and anchor-led videos receive assistance from research and scripting through to a finished, branded programme with its short-form derivatives.</w:t>
      </w:r>
    </w:p>
    <w:p>
      <w:pPr>
        <w:spacing w:before="0" w:after="40" w:line="269" w:lineRule="auto"/>
        <w:ind w:left="144"/>
      </w:pPr>
      <w:r>
        <w:rPr>
          <w:rFonts w:ascii="Calibri" w:hAnsi="Calibri"/>
          <w:b/>
          <w:color w:val="5B2D8E"/>
          <w:sz w:val="19"/>
        </w:rPr>
        <w:t xml:space="preserve">Covers  </w:t>
      </w:r>
      <w:r>
        <w:rPr>
          <w:rFonts w:ascii="Calibri" w:hAnsi="Calibri"/>
          <w:color w:val="5A5A5A"/>
          <w:sz w:val="19"/>
        </w:rPr>
        <w:t>Branded Marathi explainer videos with officer approval gates; narration, subtitles and SRT; poster-to-motion creatives; studio pre-production and recording assistance; editing, branding and captions; episodes, reels, teasers and translated derivatives.</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14 weeks</w:t>
      </w:r>
      <w:r>
        <w:rPr>
          <w:sz w:val="18"/>
        </w:rPr>
        <w:t xml:space="preserve">     </w:t>
      </w:r>
      <w:r>
        <w:rPr>
          <w:rFonts w:ascii="Calibri" w:hAnsi="Calibri"/>
          <w:b/>
          <w:color w:val="5B2D8E"/>
          <w:sz w:val="18"/>
        </w:rPr>
        <w:t xml:space="preserve">Operational from  </w:t>
      </w:r>
      <w:r>
        <w:rPr>
          <w:rFonts w:ascii="Calibri" w:hAnsi="Calibri"/>
          <w:color w:val="1A1A1A"/>
          <w:sz w:val="18"/>
        </w:rPr>
        <w:t>Release 3 (explainer and motion) — Release 4 (studio and anchor)</w:t>
      </w:r>
      <w:r>
        <w:rPr>
          <w:sz w:val="18"/>
        </w:rPr>
        <w:t xml:space="preserve">     </w:t>
      </w:r>
      <w:r>
        <w:rPr>
          <w:rFonts w:ascii="Calibri" w:hAnsi="Calibri"/>
          <w:b/>
          <w:color w:val="5B2D8E"/>
          <w:sz w:val="18"/>
        </w:rPr>
        <w:t xml:space="preserve">One-year estimate  </w:t>
      </w:r>
      <w:r>
        <w:rPr>
          <w:rFonts w:ascii="Calibri" w:hAnsi="Calibri"/>
          <w:color w:val="1A1A1A"/>
          <w:sz w:val="18"/>
        </w:rPr>
        <w:t>₹52 lakh</w:t>
      </w:r>
    </w:p>
    <w:p>
      <w:pPr>
        <w:pStyle w:val="Heading2"/>
      </w:pPr>
      <w:r>
        <w:t>5.6  Component 6 — Media Intelligence</w:t>
      </w:r>
    </w:p>
    <w:p>
      <w:pPr>
        <w:spacing w:line="278" w:lineRule="auto"/>
      </w:pPr>
      <w:r>
        <w:rPr>
          <w:rFonts w:ascii="Calibri" w:hAnsi="Calibri"/>
          <w:b w:val="0"/>
          <w:i w:val="0"/>
          <w:color w:val="1A1A1A"/>
          <w:sz w:val="21"/>
        </w:rPr>
        <w:t>What the press and the public are saying about the department's communication, organised so that it can be reported, searched and acted on. Authorised newspaper and media sources are read, classified and archived daily, and campaign performance is measured against authorised platform data.</w:t>
      </w:r>
    </w:p>
    <w:p>
      <w:pPr>
        <w:spacing w:before="0" w:after="40" w:line="269" w:lineRule="auto"/>
        <w:ind w:left="144"/>
      </w:pPr>
      <w:r>
        <w:rPr>
          <w:rFonts w:ascii="Calibri" w:hAnsi="Calibri"/>
          <w:b/>
          <w:color w:val="5B2D8E"/>
          <w:sz w:val="19"/>
        </w:rPr>
        <w:t xml:space="preserve">Covers  </w:t>
      </w:r>
      <w:r>
        <w:rPr>
          <w:rFonts w:ascii="Calibri" w:hAnsi="Calibri"/>
          <w:color w:val="5A5A5A"/>
          <w:sz w:val="19"/>
        </w:rPr>
        <w:t>Newspaper and media ingestion; multilingual OCR and clipping; classification and duplicate grouping; sentiment and risk review; keyword alerts and daily digests; searchable archive and exportable reports; trends, share of coverage and campaign-impact analysis.</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10 weeks</w:t>
      </w:r>
      <w:r>
        <w:rPr>
          <w:sz w:val="18"/>
        </w:rPr>
        <w:t xml:space="preserve">     </w:t>
      </w:r>
      <w:r>
        <w:rPr>
          <w:rFonts w:ascii="Calibri" w:hAnsi="Calibri"/>
          <w:b/>
          <w:color w:val="5B2D8E"/>
          <w:sz w:val="18"/>
        </w:rPr>
        <w:t xml:space="preserve">Operational from  </w:t>
      </w:r>
      <w:r>
        <w:rPr>
          <w:rFonts w:ascii="Calibri" w:hAnsi="Calibri"/>
          <w:color w:val="1A1A1A"/>
          <w:sz w:val="18"/>
        </w:rPr>
        <w:t>Release 3 (monitoring) — Release 4 (impact analysis)</w:t>
      </w:r>
      <w:r>
        <w:rPr>
          <w:sz w:val="18"/>
        </w:rPr>
        <w:t xml:space="preserve">     </w:t>
      </w:r>
      <w:r>
        <w:rPr>
          <w:rFonts w:ascii="Calibri" w:hAnsi="Calibri"/>
          <w:b/>
          <w:color w:val="5B2D8E"/>
          <w:sz w:val="18"/>
        </w:rPr>
        <w:t xml:space="preserve">One-year estimate  </w:t>
      </w:r>
      <w:r>
        <w:rPr>
          <w:rFonts w:ascii="Calibri" w:hAnsi="Calibri"/>
          <w:color w:val="1A1A1A"/>
          <w:sz w:val="18"/>
        </w:rPr>
        <w:t>₹32 lakh</w:t>
      </w:r>
    </w:p>
    <w:p>
      <w:pPr>
        <w:pStyle w:val="Heading2"/>
      </w:pPr>
      <w:r>
        <w:t>5.7  Component 7 — Mobile Application and Cross-device Experience</w:t>
      </w:r>
    </w:p>
    <w:p>
      <w:pPr>
        <w:spacing w:line="278" w:lineRule="auto"/>
      </w:pPr>
      <w:r>
        <w:rPr>
          <w:rFonts w:ascii="Calibri" w:hAnsi="Calibri"/>
          <w:b w:val="0"/>
          <w:i w:val="0"/>
          <w:color w:val="1A1A1A"/>
          <w:sz w:val="21"/>
        </w:rPr>
        <w:t>A Marathi-first mobile application for officers working away from a desk — at events, in the field, and in district and divisional offices — carrying the same governed workflow and the same approval gates as the web workspace, so work started on one device is continued on another.</w:t>
      </w:r>
    </w:p>
    <w:p>
      <w:pPr>
        <w:spacing w:before="0" w:after="40" w:line="269" w:lineRule="auto"/>
        <w:ind w:left="144"/>
      </w:pPr>
      <w:r>
        <w:rPr>
          <w:rFonts w:ascii="Calibri" w:hAnsi="Calibri"/>
          <w:b/>
          <w:color w:val="5B2D8E"/>
          <w:sz w:val="19"/>
        </w:rPr>
        <w:t xml:space="preserve">Covers  </w:t>
      </w:r>
      <w:r>
        <w:rPr>
          <w:rFonts w:ascii="Calibri" w:hAnsi="Calibri"/>
          <w:color w:val="5A5A5A"/>
          <w:sz w:val="19"/>
        </w:rPr>
        <w:t>Installable Android and iOS application; field capture of photographs, voice notes and text; share-to-application intake; mobile review and approval; notifications; offline-tolerant drafting; cross-device continuity of a single work thread.</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8 weeks</w:t>
      </w:r>
      <w:r>
        <w:rPr>
          <w:sz w:val="18"/>
        </w:rPr>
        <w:t xml:space="preserve">     </w:t>
      </w:r>
      <w:r>
        <w:rPr>
          <w:rFonts w:ascii="Calibri" w:hAnsi="Calibri"/>
          <w:b/>
          <w:color w:val="5B2D8E"/>
          <w:sz w:val="18"/>
        </w:rPr>
        <w:t xml:space="preserve">Operational from  </w:t>
      </w:r>
      <w:r>
        <w:rPr>
          <w:rFonts w:ascii="Calibri" w:hAnsi="Calibri"/>
          <w:color w:val="1A1A1A"/>
          <w:sz w:val="18"/>
        </w:rPr>
        <w:t>Release 1 (baseline) — Release 2 (full)</w:t>
      </w:r>
      <w:r>
        <w:rPr>
          <w:sz w:val="18"/>
        </w:rPr>
        <w:t xml:space="preserve">     </w:t>
      </w:r>
      <w:r>
        <w:rPr>
          <w:rFonts w:ascii="Calibri" w:hAnsi="Calibri"/>
          <w:b/>
          <w:color w:val="5B2D8E"/>
          <w:sz w:val="18"/>
        </w:rPr>
        <w:t xml:space="preserve">One-year estimate  </w:t>
      </w:r>
      <w:r>
        <w:rPr>
          <w:rFonts w:ascii="Calibri" w:hAnsi="Calibri"/>
          <w:color w:val="1A1A1A"/>
          <w:sz w:val="18"/>
        </w:rPr>
        <w:t>₹28 lakh</w:t>
      </w:r>
    </w:p>
    <w:p>
      <w:pPr>
        <w:pStyle w:val="Heading2"/>
      </w:pPr>
      <w:r>
        <w:t>5.8  Component 8 — Administration, Integrations and Work Assistant</w:t>
      </w:r>
    </w:p>
    <w:p>
      <w:pPr>
        <w:spacing w:line="278" w:lineRule="auto"/>
      </w:pPr>
      <w:r>
        <w:rPr>
          <w:rFonts w:ascii="Calibri" w:hAnsi="Calibri"/>
          <w:b w:val="0"/>
          <w:i w:val="0"/>
          <w:color w:val="1A1A1A"/>
          <w:sz w:val="21"/>
        </w:rPr>
        <w:t>The department's everyday assistant, the record of all work done, and the layer that keeps the platform configurable without redevelopment. Officers get drafting help for routine departmental work, administrators retain control of users, templates, branding and connected services, and management receives a departmental usage record.</w:t>
      </w:r>
    </w:p>
    <w:p>
      <w:pPr>
        <w:spacing w:before="0" w:after="40" w:line="269" w:lineRule="auto"/>
        <w:ind w:left="144"/>
      </w:pPr>
      <w:r>
        <w:rPr>
          <w:rFonts w:ascii="Calibri" w:hAnsi="Calibri"/>
          <w:b/>
          <w:color w:val="5B2D8E"/>
          <w:sz w:val="19"/>
        </w:rPr>
        <w:t xml:space="preserve">Covers  </w:t>
      </w:r>
      <w:r>
        <w:rPr>
          <w:rFonts w:ascii="Calibri" w:hAnsi="Calibri"/>
          <w:color w:val="5A5A5A"/>
          <w:sz w:val="19"/>
        </w:rPr>
        <w:t>Governed work assistant for notes, briefs, replies and summaries; presentations and RFP drafting; searchable history, reuse and downloads; department-level usage analytics; administration console; approved integrations and technical tooling.</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8 weeks</w:t>
      </w:r>
      <w:r>
        <w:rPr>
          <w:sz w:val="18"/>
        </w:rPr>
        <w:t xml:space="preserve">     </w:t>
      </w:r>
      <w:r>
        <w:rPr>
          <w:rFonts w:ascii="Calibri" w:hAnsi="Calibri"/>
          <w:b/>
          <w:color w:val="5B2D8E"/>
          <w:sz w:val="18"/>
        </w:rPr>
        <w:t xml:space="preserve">Operational from  </w:t>
      </w:r>
      <w:r>
        <w:rPr>
          <w:rFonts w:ascii="Calibri" w:hAnsi="Calibri"/>
          <w:color w:val="1A1A1A"/>
          <w:sz w:val="18"/>
        </w:rPr>
        <w:t>Release 1 (baseline) — Release 2 (full)</w:t>
      </w:r>
      <w:r>
        <w:rPr>
          <w:sz w:val="18"/>
        </w:rPr>
        <w:t xml:space="preserve">     </w:t>
      </w:r>
      <w:r>
        <w:rPr>
          <w:rFonts w:ascii="Calibri" w:hAnsi="Calibri"/>
          <w:b/>
          <w:color w:val="5B2D8E"/>
          <w:sz w:val="18"/>
        </w:rPr>
        <w:t xml:space="preserve">One-year estimate  </w:t>
      </w:r>
      <w:r>
        <w:rPr>
          <w:rFonts w:ascii="Calibri" w:hAnsi="Calibri"/>
          <w:color w:val="1A1A1A"/>
          <w:sz w:val="18"/>
        </w:rPr>
        <w:t>₹27 lakh</w:t>
      </w:r>
    </w:p>
    <w:p>
      <w:pPr>
        <w:pStyle w:val="Heading2"/>
      </w:pPr>
      <w:r>
        <w:t>5.9  Provision 9 — AI compute and metered technology services</w:t>
      </w:r>
    </w:p>
    <w:p>
      <w:pPr>
        <w:spacing w:line="278" w:lineRule="auto"/>
      </w:pPr>
      <w:r>
        <w:rPr>
          <w:rFonts w:ascii="Calibri" w:hAnsi="Calibri"/>
          <w:b w:val="0"/>
          <w:i w:val="0"/>
          <w:color w:val="1A1A1A"/>
          <w:sz w:val="21"/>
        </w:rPr>
        <w:t>A consolidated twelve-month provision for the approved metered services the platform consumes in operation — language, vision, speech, transcription, OCR, translation, image and video processing - together with usage metering, task-level cost attribution, budget ceilings and periodic review of quality and price. This is a consumption provision, not a development component, and therefore carries no build duration.</w:t>
      </w:r>
    </w:p>
    <w:p>
      <w:pPr>
        <w:spacing w:before="60" w:after="180"/>
        <w:ind w:left="144"/>
        <w:pBdr>
          <w:left w:val="single" w:sz="18" w:space="6" w:color="5B2D8E"/>
        </w:pBdr>
      </w:pPr>
      <w:r>
        <w:rPr>
          <w:rFonts w:ascii="Calibri" w:hAnsi="Calibri"/>
          <w:b/>
          <w:color w:val="5B2D8E"/>
          <w:sz w:val="18"/>
        </w:rPr>
        <w:t xml:space="preserve">Build duration  </w:t>
      </w:r>
      <w:r>
        <w:rPr>
          <w:rFonts w:ascii="Calibri" w:hAnsi="Calibri"/>
          <w:color w:val="1A1A1A"/>
          <w:sz w:val="18"/>
        </w:rPr>
        <w:t>Not applicable</w:t>
      </w:r>
      <w:r>
        <w:rPr>
          <w:sz w:val="18"/>
        </w:rPr>
        <w:t xml:space="preserve">     </w:t>
      </w:r>
      <w:r>
        <w:rPr>
          <w:rFonts w:ascii="Calibri" w:hAnsi="Calibri"/>
          <w:b/>
          <w:color w:val="5B2D8E"/>
          <w:sz w:val="18"/>
        </w:rPr>
        <w:t xml:space="preserve">Operational from  </w:t>
      </w:r>
      <w:r>
        <w:rPr>
          <w:rFonts w:ascii="Calibri" w:hAnsi="Calibri"/>
          <w:color w:val="1A1A1A"/>
          <w:sz w:val="18"/>
        </w:rPr>
        <w:t>Month 1 onwards</w:t>
      </w:r>
      <w:r>
        <w:rPr>
          <w:sz w:val="18"/>
        </w:rPr>
        <w:t xml:space="preserve">     </w:t>
      </w:r>
      <w:r>
        <w:rPr>
          <w:rFonts w:ascii="Calibri" w:hAnsi="Calibri"/>
          <w:b/>
          <w:color w:val="5B2D8E"/>
          <w:sz w:val="18"/>
        </w:rPr>
        <w:t xml:space="preserve">One-year estimate  </w:t>
      </w:r>
      <w:r>
        <w:rPr>
          <w:rFonts w:ascii="Calibri" w:hAnsi="Calibri"/>
          <w:color w:val="1A1A1A"/>
          <w:sz w:val="18"/>
        </w:rPr>
        <w:t>₹55 lakh</w:t>
      </w:r>
    </w:p>
    <w:p>
      <w:pPr>
        <w:pStyle w:val="Heading1"/>
      </w:pPr>
      <w:r>
        <w:t>6.  Delivery, operations and support</w:t>
      </w:r>
    </w:p>
    <w:p>
      <w:pPr>
        <w:spacing w:line="278" w:lineRule="auto"/>
      </w:pPr>
      <w:r>
        <w:rPr>
          <w:rFonts w:ascii="Calibri" w:hAnsi="Calibri"/>
          <w:b w:val="0"/>
          <w:i w:val="0"/>
          <w:color w:val="1A1A1A"/>
          <w:sz w:val="21"/>
        </w:rPr>
        <w:t>Beyond building the product, HashCase will configure it to DGIPR's approved working rules, deploy it into production, operate it alongside departmental staff, maintain it, improve it under control and train the department's users. This block corresponds to the training, operational and change component of the department's note and accounts for 25% of the proposed value.</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376"/>
        <w:gridCol w:w="5832"/>
        <w:gridCol w:w="1252"/>
      </w:tblGrid>
      <w:tr>
        <w:trPr>
          <w:tblHeader w:val="true"/>
        </w:trPr>
        <w:tc>
          <w:tcPr>
            <w:shd w:val="clear" w:fill="5B2D8E"/>
            <w:tcW w:w="2376" w:type="dxa"/>
          </w:tcPr>
          <w:p>
            <w:pPr>
              <w:spacing w:before="30" w:after="30" w:line="254" w:lineRule="auto"/>
            </w:pPr>
            <w:r>
              <w:rPr>
                <w:rFonts w:ascii="Calibri" w:hAnsi="Calibri"/>
                <w:b/>
                <w:color w:val="FFFFFF"/>
                <w:sz w:val="18"/>
              </w:rPr>
              <w:t>Service component</w:t>
            </w:r>
          </w:p>
        </w:tc>
        <w:tc>
          <w:tcPr>
            <w:shd w:val="clear" w:fill="5B2D8E"/>
            <w:tcW w:w="5832" w:type="dxa"/>
          </w:tcPr>
          <w:p>
            <w:pPr>
              <w:spacing w:before="30" w:after="30" w:line="254" w:lineRule="auto"/>
            </w:pPr>
            <w:r>
              <w:rPr>
                <w:rFonts w:ascii="Calibri" w:hAnsi="Calibri"/>
                <w:b/>
                <w:color w:val="FFFFFF"/>
                <w:sz w:val="18"/>
              </w:rPr>
              <w:t>Coverage</w:t>
            </w:r>
          </w:p>
        </w:tc>
        <w:tc>
          <w:tcPr>
            <w:shd w:val="clear" w:fill="5B2D8E"/>
            <w:tcW w:w="1252" w:type="dxa"/>
          </w:tcPr>
          <w:p>
            <w:pPr>
              <w:spacing w:before="30" w:after="30" w:line="254" w:lineRule="auto"/>
              <w:jc w:val="right"/>
            </w:pPr>
            <w:r>
              <w:rPr>
                <w:rFonts w:ascii="Calibri" w:hAnsi="Calibri"/>
                <w:b/>
                <w:color w:val="FFFFFF"/>
                <w:sz w:val="18"/>
              </w:rPr>
              <w:t>Estimate</w:t>
            </w:r>
          </w:p>
        </w:tc>
      </w:tr>
      <w:tr>
        <w:tc>
          <w:tcPr>
            <w:tcW w:w="2376" w:type="dxa"/>
          </w:tcPr>
          <w:p>
            <w:pPr>
              <w:spacing w:before="30" w:after="30" w:line="254" w:lineRule="auto"/>
            </w:pPr>
            <w:r>
              <w:rPr>
                <w:rFonts w:ascii="Calibri" w:hAnsi="Calibri"/>
                <w:color w:val="1A1A1A"/>
                <w:sz w:val="18"/>
              </w:rPr>
              <w:t>Feature development and DGIPR-specific configuration</w:t>
            </w:r>
          </w:p>
        </w:tc>
        <w:tc>
          <w:tcPr>
            <w:tcW w:w="5832" w:type="dxa"/>
          </w:tcPr>
          <w:p>
            <w:pPr>
              <w:spacing w:before="30" w:after="30" w:line="254" w:lineRule="auto"/>
            </w:pPr>
            <w:r>
              <w:rPr>
                <w:rFonts w:ascii="Calibri" w:hAnsi="Calibri"/>
                <w:color w:val="1A1A1A"/>
                <w:sz w:val="18"/>
              </w:rPr>
              <w:t>Continuing development and adaptation of the committed capabilities to the department's approved workflows, interface content, editorial rules, approval gates, branding, templates and glossary</w:t>
            </w:r>
          </w:p>
        </w:tc>
        <w:tc>
          <w:tcPr>
            <w:tcW w:w="1252" w:type="dxa"/>
          </w:tcPr>
          <w:p>
            <w:pPr>
              <w:spacing w:before="30" w:after="30" w:line="254" w:lineRule="auto"/>
              <w:jc w:val="right"/>
            </w:pPr>
            <w:r>
              <w:rPr>
                <w:rFonts w:ascii="Calibri" w:hAnsi="Calibri"/>
                <w:color w:val="1A1A1A"/>
                <w:sz w:val="18"/>
              </w:rPr>
              <w:t>₹20 lakh</w:t>
            </w:r>
          </w:p>
        </w:tc>
      </w:tr>
      <w:tr>
        <w:tc>
          <w:tcPr>
            <w:tcW w:w="2376" w:type="dxa"/>
          </w:tcPr>
          <w:p>
            <w:pPr>
              <w:spacing w:before="30" w:after="30" w:line="254" w:lineRule="auto"/>
            </w:pPr>
            <w:r>
              <w:rPr>
                <w:rFonts w:ascii="Calibri" w:hAnsi="Calibri"/>
                <w:color w:val="1A1A1A"/>
                <w:sz w:val="18"/>
              </w:rPr>
              <w:t>Production deployment and systems integration</w:t>
            </w:r>
          </w:p>
        </w:tc>
        <w:tc>
          <w:tcPr>
            <w:tcW w:w="5832" w:type="dxa"/>
          </w:tcPr>
          <w:p>
            <w:pPr>
              <w:spacing w:before="30" w:after="30" w:line="254" w:lineRule="auto"/>
            </w:pPr>
            <w:r>
              <w:rPr>
                <w:rFonts w:ascii="Calibri" w:hAnsi="Calibri"/>
                <w:color w:val="1A1A1A"/>
                <w:sz w:val="18"/>
              </w:rPr>
              <w:t>Environment sizing, installation and commissioning on the infrastructure provided by the department, including security and performance validation, acceptance testing and go-live transition</w:t>
            </w:r>
          </w:p>
        </w:tc>
        <w:tc>
          <w:tcPr>
            <w:tcW w:w="1252" w:type="dxa"/>
          </w:tcPr>
          <w:p>
            <w:pPr>
              <w:spacing w:before="30" w:after="30" w:line="254" w:lineRule="auto"/>
              <w:jc w:val="right"/>
            </w:pPr>
            <w:r>
              <w:rPr>
                <w:rFonts w:ascii="Calibri" w:hAnsi="Calibri"/>
                <w:color w:val="1A1A1A"/>
                <w:sz w:val="18"/>
              </w:rPr>
              <w:t>₹12 lakh</w:t>
            </w:r>
          </w:p>
        </w:tc>
      </w:tr>
      <w:tr>
        <w:tc>
          <w:tcPr>
            <w:tcW w:w="2376" w:type="dxa"/>
          </w:tcPr>
          <w:p>
            <w:pPr>
              <w:spacing w:before="30" w:after="30" w:line="254" w:lineRule="auto"/>
            </w:pPr>
            <w:r>
              <w:rPr>
                <w:rFonts w:ascii="Calibri" w:hAnsi="Calibri"/>
                <w:color w:val="1A1A1A"/>
                <w:sz w:val="18"/>
              </w:rPr>
              <w:t>Central engineering and MLOps support</w:t>
            </w:r>
          </w:p>
        </w:tc>
        <w:tc>
          <w:tcPr>
            <w:tcW w:w="5832" w:type="dxa"/>
          </w:tcPr>
          <w:p>
            <w:pPr>
              <w:spacing w:before="30" w:after="30" w:line="254" w:lineRule="auto"/>
            </w:pPr>
            <w:r>
              <w:rPr>
                <w:rFonts w:ascii="Calibri" w:hAnsi="Calibri"/>
                <w:color w:val="1A1A1A"/>
                <w:sz w:val="18"/>
              </w:rPr>
              <w:t>Continuing AI, application, data, integration, infrastructure, security and quality-assurance engineering, with production monitoring, evaluation, incident response and controlled releases</w:t>
            </w:r>
          </w:p>
        </w:tc>
        <w:tc>
          <w:tcPr>
            <w:tcW w:w="1252" w:type="dxa"/>
          </w:tcPr>
          <w:p>
            <w:pPr>
              <w:spacing w:before="30" w:after="30" w:line="254" w:lineRule="auto"/>
              <w:jc w:val="right"/>
            </w:pPr>
            <w:r>
              <w:rPr>
                <w:rFonts w:ascii="Calibri" w:hAnsi="Calibri"/>
                <w:color w:val="1A1A1A"/>
                <w:sz w:val="18"/>
              </w:rPr>
              <w:t>₹25 lakh</w:t>
            </w:r>
          </w:p>
        </w:tc>
      </w:tr>
      <w:tr>
        <w:tc>
          <w:tcPr>
            <w:tcW w:w="2376" w:type="dxa"/>
          </w:tcPr>
          <w:p>
            <w:pPr>
              <w:spacing w:before="30" w:after="30" w:line="254" w:lineRule="auto"/>
            </w:pPr>
            <w:r>
              <w:rPr>
                <w:rFonts w:ascii="Calibri" w:hAnsi="Calibri"/>
                <w:color w:val="1A1A1A"/>
                <w:sz w:val="18"/>
              </w:rPr>
              <w:t>Two on-site professionals with equipment</w:t>
            </w:r>
          </w:p>
        </w:tc>
        <w:tc>
          <w:tcPr>
            <w:tcW w:w="5832" w:type="dxa"/>
          </w:tcPr>
          <w:p>
            <w:pPr>
              <w:spacing w:before="30" w:after="30" w:line="254" w:lineRule="auto"/>
            </w:pPr>
            <w:r>
              <w:rPr>
                <w:rFonts w:ascii="Calibri" w:hAnsi="Calibri"/>
                <w:color w:val="1A1A1A"/>
                <w:sz w:val="18"/>
              </w:rPr>
              <w:t>Two full-time professionals at DGIPR headquarters for the contracted period, with their equipment, to operate workflows, assist officers and prepare review-ready outputs</w:t>
            </w:r>
          </w:p>
        </w:tc>
        <w:tc>
          <w:tcPr>
            <w:tcW w:w="1252" w:type="dxa"/>
          </w:tcPr>
          <w:p>
            <w:pPr>
              <w:spacing w:before="30" w:after="30" w:line="254" w:lineRule="auto"/>
              <w:jc w:val="right"/>
            </w:pPr>
            <w:r>
              <w:rPr>
                <w:rFonts w:ascii="Calibri" w:hAnsi="Calibri"/>
                <w:color w:val="1A1A1A"/>
                <w:sz w:val="18"/>
              </w:rPr>
              <w:t>₹23 lakh</w:t>
            </w:r>
          </w:p>
        </w:tc>
      </w:tr>
      <w:tr>
        <w:tc>
          <w:tcPr>
            <w:tcW w:w="2376" w:type="dxa"/>
          </w:tcPr>
          <w:p>
            <w:pPr>
              <w:spacing w:before="30" w:after="30" w:line="254" w:lineRule="auto"/>
            </w:pPr>
            <w:r>
              <w:rPr>
                <w:rFonts w:ascii="Calibri" w:hAnsi="Calibri"/>
                <w:color w:val="1A1A1A"/>
                <w:sz w:val="18"/>
              </w:rPr>
              <w:t>Maintenance and technical support</w:t>
            </w:r>
          </w:p>
        </w:tc>
        <w:tc>
          <w:tcPr>
            <w:tcW w:w="5832" w:type="dxa"/>
          </w:tcPr>
          <w:p>
            <w:pPr>
              <w:spacing w:before="30" w:after="30" w:line="254" w:lineRule="auto"/>
            </w:pPr>
            <w:r>
              <w:rPr>
                <w:rFonts w:ascii="Calibri" w:hAnsi="Calibri"/>
                <w:color w:val="1A1A1A"/>
                <w:sz w:val="18"/>
              </w:rPr>
              <w:t>Corrective, preventive and adaptive maintenance, defect and failed-job resolution, security and compatibility updates, and severity-based incident response</w:t>
            </w:r>
          </w:p>
        </w:tc>
        <w:tc>
          <w:tcPr>
            <w:tcW w:w="1252" w:type="dxa"/>
          </w:tcPr>
          <w:p>
            <w:pPr>
              <w:spacing w:before="30" w:after="30" w:line="254" w:lineRule="auto"/>
              <w:jc w:val="right"/>
            </w:pPr>
            <w:r>
              <w:rPr>
                <w:rFonts w:ascii="Calibri" w:hAnsi="Calibri"/>
                <w:color w:val="1A1A1A"/>
                <w:sz w:val="18"/>
              </w:rPr>
              <w:t>₹15 lakh</w:t>
            </w:r>
          </w:p>
        </w:tc>
      </w:tr>
      <w:tr>
        <w:tc>
          <w:tcPr>
            <w:tcW w:w="2376" w:type="dxa"/>
          </w:tcPr>
          <w:p>
            <w:pPr>
              <w:spacing w:before="30" w:after="30" w:line="254" w:lineRule="auto"/>
            </w:pPr>
            <w:r>
              <w:rPr>
                <w:rFonts w:ascii="Calibri" w:hAnsi="Calibri"/>
                <w:color w:val="1A1A1A"/>
                <w:sz w:val="18"/>
              </w:rPr>
              <w:t>Controlled upgrades and incremental improvements</w:t>
            </w:r>
          </w:p>
        </w:tc>
        <w:tc>
          <w:tcPr>
            <w:tcW w:w="5832" w:type="dxa"/>
          </w:tcPr>
          <w:p>
            <w:pPr>
              <w:spacing w:before="30" w:after="30" w:line="254" w:lineRule="auto"/>
            </w:pPr>
            <w:r>
              <w:rPr>
                <w:rFonts w:ascii="Calibri" w:hAnsi="Calibri"/>
                <w:color w:val="1A1A1A"/>
                <w:sz w:val="18"/>
              </w:rPr>
              <w:t>Governed upgrades arising from officer feedback, policy or branding changes, new formats and newly approved departmental integrations, released under change control</w:t>
            </w:r>
          </w:p>
        </w:tc>
        <w:tc>
          <w:tcPr>
            <w:tcW w:w="1252" w:type="dxa"/>
          </w:tcPr>
          <w:p>
            <w:pPr>
              <w:spacing w:before="30" w:after="30" w:line="254" w:lineRule="auto"/>
              <w:jc w:val="right"/>
            </w:pPr>
            <w:r>
              <w:rPr>
                <w:rFonts w:ascii="Calibri" w:hAnsi="Calibri"/>
                <w:color w:val="1A1A1A"/>
                <w:sz w:val="18"/>
              </w:rPr>
              <w:t>₹10 lakh</w:t>
            </w:r>
          </w:p>
        </w:tc>
      </w:tr>
      <w:tr>
        <w:tc>
          <w:tcPr>
            <w:tcW w:w="2376" w:type="dxa"/>
          </w:tcPr>
          <w:p>
            <w:pPr>
              <w:spacing w:before="30" w:after="30" w:line="254" w:lineRule="auto"/>
            </w:pPr>
            <w:r>
              <w:rPr>
                <w:rFonts w:ascii="Calibri" w:hAnsi="Calibri"/>
                <w:color w:val="1A1A1A"/>
                <w:sz w:val="18"/>
              </w:rPr>
              <w:t>Continuing operational and production support</w:t>
            </w:r>
          </w:p>
        </w:tc>
        <w:tc>
          <w:tcPr>
            <w:tcW w:w="5832" w:type="dxa"/>
          </w:tcPr>
          <w:p>
            <w:pPr>
              <w:spacing w:before="30" w:after="30" w:line="254" w:lineRule="auto"/>
            </w:pPr>
            <w:r>
              <w:rPr>
                <w:rFonts w:ascii="Calibri" w:hAnsi="Calibri"/>
                <w:color w:val="1A1A1A"/>
                <w:sz w:val="18"/>
              </w:rPr>
              <w:t>Day-to-day production assistance across intake, articles, translation, creatives and video, with output-quality checks before work reaches the responsible officer</w:t>
            </w:r>
          </w:p>
        </w:tc>
        <w:tc>
          <w:tcPr>
            <w:tcW w:w="1252" w:type="dxa"/>
          </w:tcPr>
          <w:p>
            <w:pPr>
              <w:spacing w:before="30" w:after="30" w:line="254" w:lineRule="auto"/>
              <w:jc w:val="right"/>
            </w:pPr>
            <w:r>
              <w:rPr>
                <w:rFonts w:ascii="Calibri" w:hAnsi="Calibri"/>
                <w:color w:val="1A1A1A"/>
                <w:sz w:val="18"/>
              </w:rPr>
              <w:t>₹10 lakh</w:t>
            </w:r>
          </w:p>
        </w:tc>
      </w:tr>
      <w:tr>
        <w:tc>
          <w:tcPr>
            <w:tcW w:w="2376" w:type="dxa"/>
          </w:tcPr>
          <w:p>
            <w:pPr>
              <w:spacing w:before="30" w:after="30" w:line="254" w:lineRule="auto"/>
            </w:pPr>
            <w:r>
              <w:rPr>
                <w:rFonts w:ascii="Calibri" w:hAnsi="Calibri"/>
                <w:color w:val="1A1A1A"/>
                <w:sz w:val="18"/>
              </w:rPr>
              <w:t>Project management, training and coordination</w:t>
            </w:r>
          </w:p>
        </w:tc>
        <w:tc>
          <w:tcPr>
            <w:tcW w:w="5832" w:type="dxa"/>
          </w:tcPr>
          <w:p>
            <w:pPr>
              <w:spacing w:before="30" w:after="30" w:line="254" w:lineRule="auto"/>
            </w:pPr>
            <w:r>
              <w:rPr>
                <w:rFonts w:ascii="Calibri" w:hAnsi="Calibri"/>
                <w:color w:val="1A1A1A"/>
                <w:sz w:val="18"/>
              </w:rPr>
              <w:t>Programme governance, milestone and deliverable control, status and consumption reporting, role-based training, documentation and final handover</w:t>
            </w:r>
          </w:p>
        </w:tc>
        <w:tc>
          <w:tcPr>
            <w:tcW w:w="1252" w:type="dxa"/>
          </w:tcPr>
          <w:p>
            <w:pPr>
              <w:spacing w:before="30" w:after="30" w:line="254" w:lineRule="auto"/>
              <w:jc w:val="right"/>
            </w:pPr>
            <w:r>
              <w:rPr>
                <w:rFonts w:ascii="Calibri" w:hAnsi="Calibri"/>
                <w:color w:val="1A1A1A"/>
                <w:sz w:val="18"/>
              </w:rPr>
              <w:t>₹10 lakh</w:t>
            </w:r>
          </w:p>
        </w:tc>
      </w:tr>
      <w:tr>
        <w:tc>
          <w:tcPr>
            <w:shd w:val="clear" w:fill="F3EFF8"/>
            <w:tcW w:w="2376" w:type="dxa"/>
          </w:tcPr>
          <w:p>
            <w:pPr>
              <w:spacing w:before="30" w:after="30" w:line="254" w:lineRule="auto"/>
            </w:pPr>
            <w:r>
              <w:rPr>
                <w:rFonts w:ascii="Calibri" w:hAnsi="Calibri"/>
                <w:b/>
                <w:color w:val="1A1A1A"/>
                <w:sz w:val="18"/>
              </w:rPr>
              <w:t>Total — training, operations, support and changes</w:t>
            </w:r>
          </w:p>
        </w:tc>
        <w:tc>
          <w:tcPr>
            <w:shd w:val="clear" w:fill="F3EFF8"/>
            <w:tcW w:w="5832" w:type="dxa"/>
          </w:tcPr>
          <w:p>
            <w:pPr>
              <w:spacing w:before="30" w:after="30" w:line="254" w:lineRule="auto"/>
            </w:pPr>
            <w:r>
              <w:rPr>
                <w:rFonts w:ascii="Calibri" w:hAnsi="Calibri"/>
                <w:b/>
                <w:color w:val="1A1A1A"/>
                <w:sz w:val="18"/>
              </w:rPr>
            </w:r>
          </w:p>
        </w:tc>
        <w:tc>
          <w:tcPr>
            <w:shd w:val="clear" w:fill="F3EFF8"/>
            <w:tcW w:w="1252" w:type="dxa"/>
          </w:tcPr>
          <w:p>
            <w:pPr>
              <w:spacing w:before="30" w:after="30" w:line="254" w:lineRule="auto"/>
              <w:jc w:val="right"/>
            </w:pPr>
            <w:r>
              <w:rPr>
                <w:rFonts w:ascii="Calibri" w:hAnsi="Calibri"/>
                <w:b/>
                <w:color w:val="1A1A1A"/>
                <w:sz w:val="18"/>
              </w:rPr>
              <w:t>₹1.25 crore</w:t>
            </w:r>
          </w:p>
        </w:tc>
      </w:tr>
    </w:tbl>
    <w:p>
      <w:pPr>
        <w:spacing w:after="80"/>
      </w:pPr>
    </w:p>
    <w:p>
      <w:pPr>
        <w:pStyle w:val="Heading1"/>
      </w:pPr>
      <w:r>
        <w:t>7.  Build timeline and release plan</w:t>
      </w:r>
    </w:p>
    <w:p>
      <w:pPr>
        <w:spacing w:line="278" w:lineRule="auto"/>
      </w:pPr>
      <w:r>
        <w:rPr>
          <w:rFonts w:ascii="Calibri" w:hAnsi="Calibri"/>
          <w:b w:val="0"/>
          <w:i w:val="0"/>
          <w:color w:val="1A1A1A"/>
          <w:sz w:val="21"/>
        </w:rPr>
        <w:t>Components are built by parallel teams and delivered through four scheduled releases. The web and mobile workspace becomes operational within one month of the work order, as required by the department's note; the remaining components are delivered progressively and are covered by the same platform development value, with no additional platform charge.</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1800"/>
        <w:gridCol w:w="1080"/>
        <w:gridCol w:w="3384"/>
        <w:gridCol w:w="3196"/>
      </w:tblGrid>
      <w:tr>
        <w:trPr>
          <w:tblHeader w:val="true"/>
        </w:trPr>
        <w:tc>
          <w:tcPr>
            <w:shd w:val="clear" w:fill="5B2D8E"/>
            <w:tcW w:w="1800" w:type="dxa"/>
          </w:tcPr>
          <w:p>
            <w:pPr>
              <w:spacing w:before="30" w:after="30" w:line="254" w:lineRule="auto"/>
            </w:pPr>
            <w:r>
              <w:rPr>
                <w:rFonts w:ascii="Calibri" w:hAnsi="Calibri"/>
                <w:b/>
                <w:color w:val="FFFFFF"/>
                <w:sz w:val="18"/>
              </w:rPr>
              <w:t>Release</w:t>
            </w:r>
          </w:p>
        </w:tc>
        <w:tc>
          <w:tcPr>
            <w:shd w:val="clear" w:fill="5B2D8E"/>
            <w:tcW w:w="1080" w:type="dxa"/>
          </w:tcPr>
          <w:p>
            <w:pPr>
              <w:spacing w:before="30" w:after="30" w:line="254" w:lineRule="auto"/>
            </w:pPr>
            <w:r>
              <w:rPr>
                <w:rFonts w:ascii="Calibri" w:hAnsi="Calibri"/>
                <w:b/>
                <w:color w:val="FFFFFF"/>
                <w:sz w:val="18"/>
              </w:rPr>
              <w:t>Period</w:t>
            </w:r>
          </w:p>
        </w:tc>
        <w:tc>
          <w:tcPr>
            <w:shd w:val="clear" w:fill="5B2D8E"/>
            <w:tcW w:w="3384" w:type="dxa"/>
          </w:tcPr>
          <w:p>
            <w:pPr>
              <w:spacing w:before="30" w:after="30" w:line="254" w:lineRule="auto"/>
            </w:pPr>
            <w:r>
              <w:rPr>
                <w:rFonts w:ascii="Calibri" w:hAnsi="Calibri"/>
                <w:b/>
                <w:color w:val="FFFFFF"/>
                <w:sz w:val="18"/>
              </w:rPr>
              <w:t>Components delivered</w:t>
            </w:r>
          </w:p>
        </w:tc>
        <w:tc>
          <w:tcPr>
            <w:shd w:val="clear" w:fill="5B2D8E"/>
            <w:tcW w:w="3196" w:type="dxa"/>
          </w:tcPr>
          <w:p>
            <w:pPr>
              <w:spacing w:before="30" w:after="30" w:line="254" w:lineRule="auto"/>
            </w:pPr>
            <w:r>
              <w:rPr>
                <w:rFonts w:ascii="Calibri" w:hAnsi="Calibri"/>
                <w:b/>
                <w:color w:val="FFFFFF"/>
                <w:sz w:val="18"/>
              </w:rPr>
              <w:t>Outcome for the department</w:t>
            </w:r>
          </w:p>
        </w:tc>
      </w:tr>
      <w:tr>
        <w:tc>
          <w:tcPr>
            <w:tcW w:w="1800" w:type="dxa"/>
          </w:tcPr>
          <w:p>
            <w:pPr>
              <w:spacing w:before="30" w:after="30" w:line="254" w:lineRule="auto"/>
            </w:pPr>
            <w:r>
              <w:rPr>
                <w:rFonts w:ascii="Calibri" w:hAnsi="Calibri"/>
                <w:color w:val="1A1A1A"/>
                <w:sz w:val="18"/>
              </w:rPr>
              <w:t>Mobilisation</w:t>
            </w:r>
          </w:p>
        </w:tc>
        <w:tc>
          <w:tcPr>
            <w:tcW w:w="1080" w:type="dxa"/>
          </w:tcPr>
          <w:p>
            <w:pPr>
              <w:spacing w:before="30" w:after="30" w:line="254" w:lineRule="auto"/>
            </w:pPr>
            <w:r>
              <w:rPr>
                <w:rFonts w:ascii="Calibri" w:hAnsi="Calibri"/>
                <w:color w:val="1A1A1A"/>
                <w:sz w:val="18"/>
              </w:rPr>
              <w:t>Weeks 1–2</w:t>
            </w:r>
          </w:p>
        </w:tc>
        <w:tc>
          <w:tcPr>
            <w:tcW w:w="3384" w:type="dxa"/>
          </w:tcPr>
          <w:p>
            <w:pPr>
              <w:spacing w:before="30" w:after="30" w:line="254" w:lineRule="auto"/>
            </w:pPr>
            <w:r>
              <w:rPr>
                <w:rFonts w:ascii="Calibri" w:hAnsi="Calibri"/>
                <w:color w:val="1A1A1A"/>
                <w:sz w:val="18"/>
              </w:rPr>
              <w:t>Discovery, environments, security model, branding and glossary preparation</w:t>
            </w:r>
          </w:p>
        </w:tc>
        <w:tc>
          <w:tcPr>
            <w:tcW w:w="3196" w:type="dxa"/>
          </w:tcPr>
          <w:p>
            <w:pPr>
              <w:spacing w:before="30" w:after="30" w:line="254" w:lineRule="auto"/>
            </w:pPr>
            <w:r>
              <w:rPr>
                <w:rFonts w:ascii="Calibri" w:hAnsi="Calibri"/>
                <w:color w:val="1A1A1A"/>
                <w:sz w:val="18"/>
              </w:rPr>
              <w:t>Approved specification and sign-off on workflows and access</w:t>
            </w:r>
          </w:p>
        </w:tc>
      </w:tr>
      <w:tr>
        <w:tc>
          <w:tcPr>
            <w:tcW w:w="1800" w:type="dxa"/>
          </w:tcPr>
          <w:p>
            <w:pPr>
              <w:spacing w:before="30" w:after="30" w:line="254" w:lineRule="auto"/>
            </w:pPr>
            <w:r>
              <w:rPr>
                <w:rFonts w:ascii="Calibri" w:hAnsi="Calibri"/>
                <w:color w:val="1A1A1A"/>
                <w:sz w:val="18"/>
              </w:rPr>
              <w:t>Release 1 — Platform go-live</w:t>
            </w:r>
          </w:p>
        </w:tc>
        <w:tc>
          <w:tcPr>
            <w:tcW w:w="1080" w:type="dxa"/>
          </w:tcPr>
          <w:p>
            <w:pPr>
              <w:spacing w:before="30" w:after="30" w:line="254" w:lineRule="auto"/>
            </w:pPr>
            <w:r>
              <w:rPr>
                <w:rFonts w:ascii="Calibri" w:hAnsi="Calibri"/>
                <w:color w:val="1A1A1A"/>
                <w:sz w:val="18"/>
              </w:rPr>
              <w:t>Month 1</w:t>
            </w:r>
          </w:p>
        </w:tc>
        <w:tc>
          <w:tcPr>
            <w:tcW w:w="3384" w:type="dxa"/>
          </w:tcPr>
          <w:p>
            <w:pPr>
              <w:spacing w:before="30" w:after="30" w:line="254" w:lineRule="auto"/>
            </w:pPr>
            <w:r>
              <w:rPr>
                <w:rFonts w:ascii="Calibri" w:hAnsi="Calibri"/>
                <w:color w:val="1A1A1A"/>
                <w:sz w:val="18"/>
              </w:rPr>
              <w:t>Components 1, 2 (intake and transcription), 3 (news and articles), 7 (baseline), 8 (baseline)</w:t>
            </w:r>
          </w:p>
        </w:tc>
        <w:tc>
          <w:tcPr>
            <w:tcW w:w="3196" w:type="dxa"/>
          </w:tcPr>
          <w:p>
            <w:pPr>
              <w:spacing w:before="30" w:after="30" w:line="254" w:lineRule="auto"/>
            </w:pPr>
            <w:r>
              <w:rPr>
                <w:rFonts w:ascii="Calibri" w:hAnsi="Calibri"/>
                <w:color w:val="1A1A1A"/>
                <w:sz w:val="18"/>
              </w:rPr>
              <w:t>Web and mobile workspace operational; article production live</w:t>
            </w:r>
          </w:p>
        </w:tc>
      </w:tr>
      <w:tr>
        <w:tc>
          <w:tcPr>
            <w:tcW w:w="1800" w:type="dxa"/>
          </w:tcPr>
          <w:p>
            <w:pPr>
              <w:spacing w:before="30" w:after="30" w:line="254" w:lineRule="auto"/>
            </w:pPr>
            <w:r>
              <w:rPr>
                <w:rFonts w:ascii="Calibri" w:hAnsi="Calibri"/>
                <w:color w:val="1A1A1A"/>
                <w:sz w:val="18"/>
              </w:rPr>
              <w:t>Release 2 — Editorial and creative depth</w:t>
            </w:r>
          </w:p>
        </w:tc>
        <w:tc>
          <w:tcPr>
            <w:tcW w:w="1080" w:type="dxa"/>
          </w:tcPr>
          <w:p>
            <w:pPr>
              <w:spacing w:before="30" w:after="30" w:line="254" w:lineRule="auto"/>
            </w:pPr>
            <w:r>
              <w:rPr>
                <w:rFonts w:ascii="Calibri" w:hAnsi="Calibri"/>
                <w:color w:val="1A1A1A"/>
                <w:sz w:val="18"/>
              </w:rPr>
              <w:t>Months 2–4</w:t>
            </w:r>
          </w:p>
        </w:tc>
        <w:tc>
          <w:tcPr>
            <w:tcW w:w="3384" w:type="dxa"/>
          </w:tcPr>
          <w:p>
            <w:pPr>
              <w:spacing w:before="30" w:after="30" w:line="254" w:lineRule="auto"/>
            </w:pPr>
            <w:r>
              <w:rPr>
                <w:rFonts w:ascii="Calibri" w:hAnsi="Calibri"/>
                <w:color w:val="1A1A1A"/>
                <w:sz w:val="18"/>
              </w:rPr>
              <w:t>Components 2, 3, 7 and 8 completed; Component 4 delivered</w:t>
            </w:r>
          </w:p>
        </w:tc>
        <w:tc>
          <w:tcPr>
            <w:tcW w:w="3196" w:type="dxa"/>
          </w:tcPr>
          <w:p>
            <w:pPr>
              <w:spacing w:before="30" w:after="30" w:line="254" w:lineRule="auto"/>
            </w:pPr>
            <w:r>
              <w:rPr>
                <w:rFonts w:ascii="Calibri" w:hAnsi="Calibri"/>
                <w:color w:val="1A1A1A"/>
                <w:sz w:val="18"/>
              </w:rPr>
              <w:t>Full editorial control, multilingual output, poster and thumbnail production, history and analytics</w:t>
            </w:r>
          </w:p>
        </w:tc>
      </w:tr>
      <w:tr>
        <w:tc>
          <w:tcPr>
            <w:tcW w:w="1800" w:type="dxa"/>
          </w:tcPr>
          <w:p>
            <w:pPr>
              <w:spacing w:before="30" w:after="30" w:line="254" w:lineRule="auto"/>
            </w:pPr>
            <w:r>
              <w:rPr>
                <w:rFonts w:ascii="Calibri" w:hAnsi="Calibri"/>
                <w:color w:val="1A1A1A"/>
                <w:sz w:val="18"/>
              </w:rPr>
              <w:t>Release 3 — Video and media monitoring</w:t>
            </w:r>
          </w:p>
        </w:tc>
        <w:tc>
          <w:tcPr>
            <w:tcW w:w="1080" w:type="dxa"/>
          </w:tcPr>
          <w:p>
            <w:pPr>
              <w:spacing w:before="30" w:after="30" w:line="254" w:lineRule="auto"/>
            </w:pPr>
            <w:r>
              <w:rPr>
                <w:rFonts w:ascii="Calibri" w:hAnsi="Calibri"/>
                <w:color w:val="1A1A1A"/>
                <w:sz w:val="18"/>
              </w:rPr>
              <w:t>Months 5–8</w:t>
            </w:r>
          </w:p>
        </w:tc>
        <w:tc>
          <w:tcPr>
            <w:tcW w:w="3384" w:type="dxa"/>
          </w:tcPr>
          <w:p>
            <w:pPr>
              <w:spacing w:before="30" w:after="30" w:line="254" w:lineRule="auto"/>
            </w:pPr>
            <w:r>
              <w:rPr>
                <w:rFonts w:ascii="Calibri" w:hAnsi="Calibri"/>
                <w:color w:val="1A1A1A"/>
                <w:sz w:val="18"/>
              </w:rPr>
              <w:t>Component 5 (explainer and motion); Component 6 (monitoring and archive)</w:t>
            </w:r>
          </w:p>
        </w:tc>
        <w:tc>
          <w:tcPr>
            <w:tcW w:w="3196" w:type="dxa"/>
          </w:tcPr>
          <w:p>
            <w:pPr>
              <w:spacing w:before="30" w:after="30" w:line="254" w:lineRule="auto"/>
            </w:pPr>
            <w:r>
              <w:rPr>
                <w:rFonts w:ascii="Calibri" w:hAnsi="Calibri"/>
                <w:color w:val="1A1A1A"/>
                <w:sz w:val="18"/>
              </w:rPr>
              <w:t>In-house video production and daily press monitoring</w:t>
            </w:r>
          </w:p>
        </w:tc>
      </w:tr>
      <w:tr>
        <w:tc>
          <w:tcPr>
            <w:tcW w:w="1800" w:type="dxa"/>
          </w:tcPr>
          <w:p>
            <w:pPr>
              <w:spacing w:before="30" w:after="30" w:line="254" w:lineRule="auto"/>
            </w:pPr>
            <w:r>
              <w:rPr>
                <w:rFonts w:ascii="Calibri" w:hAnsi="Calibri"/>
                <w:color w:val="1A1A1A"/>
                <w:sz w:val="18"/>
              </w:rPr>
              <w:t>Release 4 — Studio, impact and hardening</w:t>
            </w:r>
          </w:p>
        </w:tc>
        <w:tc>
          <w:tcPr>
            <w:tcW w:w="1080" w:type="dxa"/>
          </w:tcPr>
          <w:p>
            <w:pPr>
              <w:spacing w:before="30" w:after="30" w:line="254" w:lineRule="auto"/>
            </w:pPr>
            <w:r>
              <w:rPr>
                <w:rFonts w:ascii="Calibri" w:hAnsi="Calibri"/>
                <w:color w:val="1A1A1A"/>
                <w:sz w:val="18"/>
              </w:rPr>
              <w:t>Months 9–12</w:t>
            </w:r>
          </w:p>
        </w:tc>
        <w:tc>
          <w:tcPr>
            <w:tcW w:w="3384" w:type="dxa"/>
          </w:tcPr>
          <w:p>
            <w:pPr>
              <w:spacing w:before="30" w:after="30" w:line="254" w:lineRule="auto"/>
            </w:pPr>
            <w:r>
              <w:rPr>
                <w:rFonts w:ascii="Calibri" w:hAnsi="Calibri"/>
                <w:color w:val="1A1A1A"/>
                <w:sz w:val="18"/>
              </w:rPr>
              <w:t>Component 5 (studio and anchor); Component 6 (impact analysis); hardening and rollout</w:t>
            </w:r>
          </w:p>
        </w:tc>
        <w:tc>
          <w:tcPr>
            <w:tcW w:w="3196" w:type="dxa"/>
          </w:tcPr>
          <w:p>
            <w:pPr>
              <w:spacing w:before="30" w:after="30" w:line="254" w:lineRule="auto"/>
            </w:pPr>
            <w:r>
              <w:rPr>
                <w:rFonts w:ascii="Calibri" w:hAnsi="Calibri"/>
                <w:color w:val="1A1A1A"/>
                <w:sz w:val="18"/>
              </w:rPr>
              <w:t>Studio programme support, measurable campaign impact, statewide rollout</w:t>
            </w:r>
          </w:p>
        </w:tc>
      </w:tr>
    </w:tbl>
    <w:p>
      <w:pPr>
        <w:spacing w:after="80"/>
      </w:pPr>
    </w:p>
    <w:p>
      <w:pPr>
        <w:spacing w:line="278" w:lineRule="auto"/>
      </w:pPr>
      <w:r>
        <w:rPr>
          <w:rFonts w:ascii="Calibri" w:hAnsi="Calibri"/>
          <w:b w:val="0"/>
          <w:i w:val="0"/>
          <w:color w:val="1A1A1A"/>
          <w:sz w:val="20"/>
        </w:rPr>
        <w:t>Throughout the engagement, the two on-site professionals operate live workflows from Month 1, training runs continuously, and maintenance, monitoring and controlled upgrades run alongside each release.</w:t>
      </w:r>
    </w:p>
    <w:p>
      <w:pPr>
        <w:pStyle w:val="Heading1"/>
      </w:pPr>
      <w:r>
        <w:t>8.  Commercial summary</w:t>
      </w:r>
    </w:p>
    <w:p>
      <w:pPr>
        <w:spacing w:line="278" w:lineRule="auto"/>
      </w:pPr>
      <w:r>
        <w:rPr>
          <w:rFonts w:ascii="Calibri" w:hAnsi="Calibri"/>
          <w:b w:val="0"/>
          <w:i w:val="0"/>
          <w:color w:val="1A1A1A"/>
          <w:sz w:val="21"/>
        </w:rPr>
        <w:t>The total proposed value for the complete AI NewsRoom solution is ₹5.00 crore (Rupees Five Crore only) for a period of twelve months. In line with the department's note, the value is divided in a 75:25 ratio between platform development and the training, operations and change component.</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520"/>
        <w:gridCol w:w="5544"/>
        <w:gridCol w:w="1396"/>
      </w:tblGrid>
      <w:tr>
        <w:trPr>
          <w:tblHeader w:val="true"/>
        </w:trPr>
        <w:tc>
          <w:tcPr>
            <w:shd w:val="clear" w:fill="5B2D8E"/>
            <w:tcW w:w="2520" w:type="dxa"/>
          </w:tcPr>
          <w:p>
            <w:pPr>
              <w:spacing w:before="30" w:after="30" w:line="254" w:lineRule="auto"/>
            </w:pPr>
            <w:r>
              <w:rPr>
                <w:rFonts w:ascii="Calibri" w:hAnsi="Calibri"/>
                <w:b/>
                <w:color w:val="FFFFFF"/>
                <w:sz w:val="18"/>
              </w:rPr>
              <w:t>Part</w:t>
            </w:r>
          </w:p>
        </w:tc>
        <w:tc>
          <w:tcPr>
            <w:shd w:val="clear" w:fill="5B2D8E"/>
            <w:tcW w:w="5544" w:type="dxa"/>
          </w:tcPr>
          <w:p>
            <w:pPr>
              <w:spacing w:before="30" w:after="30" w:line="254" w:lineRule="auto"/>
            </w:pPr>
            <w:r>
              <w:rPr>
                <w:rFonts w:ascii="Calibri" w:hAnsi="Calibri"/>
                <w:b/>
                <w:color w:val="FFFFFF"/>
                <w:sz w:val="18"/>
              </w:rPr>
              <w:t>Coverage</w:t>
            </w:r>
          </w:p>
        </w:tc>
        <w:tc>
          <w:tcPr>
            <w:shd w:val="clear" w:fill="5B2D8E"/>
            <w:tcW w:w="1396" w:type="dxa"/>
          </w:tcPr>
          <w:p>
            <w:pPr>
              <w:spacing w:before="30" w:after="30" w:line="254" w:lineRule="auto"/>
              <w:jc w:val="right"/>
            </w:pPr>
            <w:r>
              <w:rPr>
                <w:rFonts w:ascii="Calibri" w:hAnsi="Calibri"/>
                <w:b/>
                <w:color w:val="FFFFFF"/>
                <w:sz w:val="18"/>
              </w:rPr>
              <w:t>Value</w:t>
            </w:r>
          </w:p>
        </w:tc>
      </w:tr>
      <w:tr>
        <w:tc>
          <w:tcPr>
            <w:tcW w:w="2520" w:type="dxa"/>
          </w:tcPr>
          <w:p>
            <w:pPr>
              <w:spacing w:before="30" w:after="30" w:line="254" w:lineRule="auto"/>
            </w:pPr>
            <w:r>
              <w:rPr>
                <w:rFonts w:ascii="Calibri" w:hAnsi="Calibri"/>
                <w:color w:val="1A1A1A"/>
                <w:sz w:val="18"/>
              </w:rPr>
              <w:t>Part A — Platform development and product components</w:t>
            </w:r>
          </w:p>
        </w:tc>
        <w:tc>
          <w:tcPr>
            <w:tcW w:w="5544" w:type="dxa"/>
          </w:tcPr>
          <w:p>
            <w:pPr>
              <w:spacing w:before="30" w:after="30" w:line="254" w:lineRule="auto"/>
            </w:pPr>
            <w:r>
              <w:rPr>
                <w:rFonts w:ascii="Calibri" w:hAnsi="Calibri"/>
                <w:color w:val="1A1A1A"/>
                <w:sz w:val="18"/>
              </w:rPr>
              <w:t>Eight high-level product components (₹3.20 crore) and the twelve-month AI compute and metered technology-service provision (₹55 lakh)</w:t>
            </w:r>
          </w:p>
        </w:tc>
        <w:tc>
          <w:tcPr>
            <w:tcW w:w="1396" w:type="dxa"/>
          </w:tcPr>
          <w:p>
            <w:pPr>
              <w:spacing w:before="30" w:after="30" w:line="254" w:lineRule="auto"/>
              <w:jc w:val="right"/>
            </w:pPr>
            <w:r>
              <w:rPr>
                <w:rFonts w:ascii="Calibri" w:hAnsi="Calibri"/>
                <w:color w:val="1A1A1A"/>
                <w:sz w:val="18"/>
              </w:rPr>
              <w:t>₹3.75 crore</w:t>
            </w:r>
          </w:p>
        </w:tc>
      </w:tr>
      <w:tr>
        <w:tc>
          <w:tcPr>
            <w:tcW w:w="2520" w:type="dxa"/>
          </w:tcPr>
          <w:p>
            <w:pPr>
              <w:spacing w:before="30" w:after="30" w:line="254" w:lineRule="auto"/>
            </w:pPr>
            <w:r>
              <w:rPr>
                <w:rFonts w:ascii="Calibri" w:hAnsi="Calibri"/>
                <w:color w:val="1A1A1A"/>
                <w:sz w:val="18"/>
              </w:rPr>
              <w:t>Part B — Training, operations, support and changes</w:t>
            </w:r>
          </w:p>
        </w:tc>
        <w:tc>
          <w:tcPr>
            <w:tcW w:w="5544" w:type="dxa"/>
          </w:tcPr>
          <w:p>
            <w:pPr>
              <w:spacing w:before="30" w:after="30" w:line="254" w:lineRule="auto"/>
            </w:pPr>
            <w:r>
              <w:rPr>
                <w:rFonts w:ascii="Calibri" w:hAnsi="Calibri"/>
                <w:color w:val="1A1A1A"/>
                <w:sz w:val="18"/>
              </w:rPr>
              <w:t>DGIPR-specific configuration and continuing development, production deployment and integration, central engineering and MLOps, two on-site professionals with equipment, maintenance, controlled upgrades, operational support, project management and training</w:t>
            </w:r>
          </w:p>
        </w:tc>
        <w:tc>
          <w:tcPr>
            <w:tcW w:w="1396" w:type="dxa"/>
          </w:tcPr>
          <w:p>
            <w:pPr>
              <w:spacing w:before="30" w:after="30" w:line="254" w:lineRule="auto"/>
              <w:jc w:val="right"/>
            </w:pPr>
            <w:r>
              <w:rPr>
                <w:rFonts w:ascii="Calibri" w:hAnsi="Calibri"/>
                <w:color w:val="1A1A1A"/>
                <w:sz w:val="18"/>
              </w:rPr>
              <w:t>₹1.25 crore</w:t>
            </w:r>
          </w:p>
        </w:tc>
      </w:tr>
      <w:tr>
        <w:tc>
          <w:tcPr>
            <w:shd w:val="clear" w:fill="F3EFF8"/>
            <w:tcW w:w="2520" w:type="dxa"/>
          </w:tcPr>
          <w:p>
            <w:pPr>
              <w:spacing w:before="30" w:after="30" w:line="254" w:lineRule="auto"/>
            </w:pPr>
            <w:r>
              <w:rPr>
                <w:rFonts w:ascii="Calibri" w:hAnsi="Calibri"/>
                <w:b/>
                <w:color w:val="1A1A1A"/>
                <w:sz w:val="18"/>
              </w:rPr>
              <w:t>Total proposed value</w:t>
            </w:r>
          </w:p>
        </w:tc>
        <w:tc>
          <w:tcPr>
            <w:shd w:val="clear" w:fill="F3EFF8"/>
            <w:tcW w:w="5544" w:type="dxa"/>
          </w:tcPr>
          <w:p>
            <w:pPr>
              <w:spacing w:before="30" w:after="30" w:line="254" w:lineRule="auto"/>
            </w:pPr>
            <w:r>
              <w:rPr>
                <w:rFonts w:ascii="Calibri" w:hAnsi="Calibri"/>
                <w:b/>
                <w:color w:val="1A1A1A"/>
                <w:sz w:val="18"/>
              </w:rPr>
              <w:t>Complete AI NewsRoom solution for twelve months</w:t>
            </w:r>
          </w:p>
        </w:tc>
        <w:tc>
          <w:tcPr>
            <w:shd w:val="clear" w:fill="F3EFF8"/>
            <w:tcW w:w="1396" w:type="dxa"/>
          </w:tcPr>
          <w:p>
            <w:pPr>
              <w:spacing w:before="30" w:after="30" w:line="254" w:lineRule="auto"/>
              <w:jc w:val="right"/>
            </w:pPr>
            <w:r>
              <w:rPr>
                <w:rFonts w:ascii="Calibri" w:hAnsi="Calibri"/>
                <w:b/>
                <w:color w:val="1A1A1A"/>
                <w:sz w:val="18"/>
              </w:rPr>
              <w:t>₹5.00 crore</w:t>
            </w:r>
          </w:p>
        </w:tc>
      </w:tr>
    </w:tbl>
    <w:p>
      <w:pPr>
        <w:spacing w:after="80"/>
      </w:pPr>
    </w:p>
    <w:p>
      <w:pPr>
        <w:pStyle w:val="Heading2"/>
      </w:pPr>
      <w:r>
        <w:t>8.1  Payment structure</w:t>
      </w:r>
    </w:p>
    <w:p>
      <w:pPr>
        <w:spacing w:line="278" w:lineRule="auto"/>
      </w:pPr>
      <w:r>
        <w:rPr>
          <w:rFonts w:ascii="Calibri" w:hAnsi="Calibri"/>
          <w:b w:val="0"/>
          <w:i w:val="0"/>
          <w:color w:val="1A1A1A"/>
          <w:sz w:val="21"/>
        </w:rPr>
        <w:t>Following the structure set out in the department's note, the platform development value becomes payable on acceptance of the platform following its development within one month, and the training, operations and change value is invoiced monthly across the remaining eleven months.</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520"/>
        <w:gridCol w:w="5544"/>
        <w:gridCol w:w="1396"/>
      </w:tblGrid>
      <w:tr>
        <w:trPr>
          <w:tblHeader w:val="true"/>
        </w:trPr>
        <w:tc>
          <w:tcPr>
            <w:shd w:val="clear" w:fill="5B2D8E"/>
            <w:tcW w:w="2520" w:type="dxa"/>
          </w:tcPr>
          <w:p>
            <w:pPr>
              <w:spacing w:before="30" w:after="30" w:line="254" w:lineRule="auto"/>
            </w:pPr>
            <w:r>
              <w:rPr>
                <w:rFonts w:ascii="Calibri" w:hAnsi="Calibri"/>
                <w:b/>
                <w:color w:val="FFFFFF"/>
                <w:sz w:val="18"/>
              </w:rPr>
              <w:t>Stage</w:t>
            </w:r>
          </w:p>
        </w:tc>
        <w:tc>
          <w:tcPr>
            <w:shd w:val="clear" w:fill="5B2D8E"/>
            <w:tcW w:w="5544" w:type="dxa"/>
          </w:tcPr>
          <w:p>
            <w:pPr>
              <w:spacing w:before="30" w:after="30" w:line="254" w:lineRule="auto"/>
            </w:pPr>
            <w:r>
              <w:rPr>
                <w:rFonts w:ascii="Calibri" w:hAnsi="Calibri"/>
                <w:b/>
                <w:color w:val="FFFFFF"/>
                <w:sz w:val="18"/>
              </w:rPr>
              <w:t>Trigger</w:t>
            </w:r>
          </w:p>
        </w:tc>
        <w:tc>
          <w:tcPr>
            <w:shd w:val="clear" w:fill="5B2D8E"/>
            <w:tcW w:w="1396" w:type="dxa"/>
          </w:tcPr>
          <w:p>
            <w:pPr>
              <w:spacing w:before="30" w:after="30" w:line="254" w:lineRule="auto"/>
              <w:jc w:val="right"/>
            </w:pPr>
            <w:r>
              <w:rPr>
                <w:rFonts w:ascii="Calibri" w:hAnsi="Calibri"/>
                <w:b/>
                <w:color w:val="FFFFFF"/>
                <w:sz w:val="18"/>
              </w:rPr>
              <w:t>Amount</w:t>
            </w:r>
          </w:p>
        </w:tc>
      </w:tr>
      <w:tr>
        <w:tc>
          <w:tcPr>
            <w:tcW w:w="2520" w:type="dxa"/>
          </w:tcPr>
          <w:p>
            <w:pPr>
              <w:spacing w:before="30" w:after="30" w:line="254" w:lineRule="auto"/>
            </w:pPr>
            <w:r>
              <w:rPr>
                <w:rFonts w:ascii="Calibri" w:hAnsi="Calibri"/>
                <w:color w:val="1A1A1A"/>
                <w:sz w:val="18"/>
              </w:rPr>
              <w:t>Platform development</w:t>
            </w:r>
          </w:p>
        </w:tc>
        <w:tc>
          <w:tcPr>
            <w:tcW w:w="5544" w:type="dxa"/>
          </w:tcPr>
          <w:p>
            <w:pPr>
              <w:spacing w:before="30" w:after="30" w:line="254" w:lineRule="auto"/>
            </w:pPr>
            <w:r>
              <w:rPr>
                <w:rFonts w:ascii="Calibri" w:hAnsi="Calibri"/>
                <w:color w:val="1A1A1A"/>
                <w:sz w:val="18"/>
              </w:rPr>
              <w:t>Acceptance of the web and mobile workspace on completion of Release 1, at the end of Month 1</w:t>
            </w:r>
          </w:p>
        </w:tc>
        <w:tc>
          <w:tcPr>
            <w:tcW w:w="1396" w:type="dxa"/>
          </w:tcPr>
          <w:p>
            <w:pPr>
              <w:spacing w:before="30" w:after="30" w:line="254" w:lineRule="auto"/>
              <w:jc w:val="right"/>
            </w:pPr>
            <w:r>
              <w:rPr>
                <w:rFonts w:ascii="Calibri" w:hAnsi="Calibri"/>
                <w:color w:val="1A1A1A"/>
                <w:sz w:val="18"/>
              </w:rPr>
              <w:t>₹3.75 crore</w:t>
            </w:r>
          </w:p>
        </w:tc>
      </w:tr>
      <w:tr>
        <w:tc>
          <w:tcPr>
            <w:tcW w:w="2520" w:type="dxa"/>
          </w:tcPr>
          <w:p>
            <w:pPr>
              <w:spacing w:before="30" w:after="30" w:line="254" w:lineRule="auto"/>
            </w:pPr>
            <w:r>
              <w:rPr>
                <w:rFonts w:ascii="Calibri" w:hAnsi="Calibri"/>
                <w:color w:val="1A1A1A"/>
                <w:sz w:val="18"/>
              </w:rPr>
              <w:t>Training, operations and changes</w:t>
            </w:r>
          </w:p>
        </w:tc>
        <w:tc>
          <w:tcPr>
            <w:tcW w:w="5544" w:type="dxa"/>
          </w:tcPr>
          <w:p>
            <w:pPr>
              <w:spacing w:before="30" w:after="30" w:line="254" w:lineRule="auto"/>
            </w:pPr>
            <w:r>
              <w:rPr>
                <w:rFonts w:ascii="Calibri" w:hAnsi="Calibri"/>
                <w:color w:val="1A1A1A"/>
                <w:sz w:val="18"/>
              </w:rPr>
              <w:t>Monthly invoice on submission of the monthly work and consumption report, Months 2 to 12 (eleven instalments)</w:t>
            </w:r>
          </w:p>
        </w:tc>
        <w:tc>
          <w:tcPr>
            <w:tcW w:w="1396" w:type="dxa"/>
          </w:tcPr>
          <w:p>
            <w:pPr>
              <w:spacing w:before="30" w:after="30" w:line="254" w:lineRule="auto"/>
              <w:jc w:val="right"/>
            </w:pPr>
            <w:r>
              <w:rPr>
                <w:rFonts w:ascii="Calibri" w:hAnsi="Calibri"/>
                <w:color w:val="1A1A1A"/>
                <w:sz w:val="18"/>
              </w:rPr>
              <w:t>₹1.25 crore</w:t>
            </w:r>
          </w:p>
        </w:tc>
      </w:tr>
      <w:tr>
        <w:tc>
          <w:tcPr>
            <w:shd w:val="clear" w:fill="F3EFF8"/>
            <w:tcW w:w="2520" w:type="dxa"/>
          </w:tcPr>
          <w:p>
            <w:pPr>
              <w:spacing w:before="30" w:after="30" w:line="254" w:lineRule="auto"/>
            </w:pPr>
            <w:r>
              <w:rPr>
                <w:rFonts w:ascii="Calibri" w:hAnsi="Calibri"/>
                <w:b/>
                <w:color w:val="1A1A1A"/>
                <w:sz w:val="18"/>
              </w:rPr>
              <w:t>Total</w:t>
            </w:r>
          </w:p>
        </w:tc>
        <w:tc>
          <w:tcPr>
            <w:shd w:val="clear" w:fill="F3EFF8"/>
            <w:tcW w:w="5544" w:type="dxa"/>
          </w:tcPr>
          <w:p>
            <w:pPr>
              <w:spacing w:before="30" w:after="30" w:line="254" w:lineRule="auto"/>
            </w:pPr>
            <w:r>
              <w:rPr>
                <w:rFonts w:ascii="Calibri" w:hAnsi="Calibri"/>
                <w:b/>
                <w:color w:val="1A1A1A"/>
                <w:sz w:val="18"/>
              </w:rPr>
            </w:r>
          </w:p>
        </w:tc>
        <w:tc>
          <w:tcPr>
            <w:shd w:val="clear" w:fill="F3EFF8"/>
            <w:tcW w:w="1396" w:type="dxa"/>
          </w:tcPr>
          <w:p>
            <w:pPr>
              <w:spacing w:before="30" w:after="30" w:line="254" w:lineRule="auto"/>
              <w:jc w:val="right"/>
            </w:pPr>
            <w:r>
              <w:rPr>
                <w:rFonts w:ascii="Calibri" w:hAnsi="Calibri"/>
                <w:b/>
                <w:color w:val="1A1A1A"/>
                <w:sz w:val="18"/>
              </w:rPr>
              <w:t>₹5.00 crore</w:t>
            </w:r>
          </w:p>
        </w:tc>
      </w:tr>
    </w:tbl>
    <w:p>
      <w:pPr>
        <w:spacing w:after="80"/>
      </w:pPr>
    </w:p>
    <w:p>
      <w:pPr>
        <w:spacing w:line="278" w:lineRule="auto"/>
      </w:pPr>
      <w:r>
        <w:rPr>
          <w:rFonts w:ascii="Calibri" w:hAnsi="Calibri"/>
          <w:b w:val="0"/>
          <w:i w:val="0"/>
          <w:color w:val="1A1A1A"/>
          <w:sz w:val="20"/>
        </w:rPr>
        <w:t>Should the department prefer it, Part A can alternatively be invoiced against acceptance of the four scheduled releases in Section 7, in place of a single payment at the end of Month 1. The final payment schedule, acceptance criteria and service levels will be settled during contracting.</w:t>
      </w:r>
    </w:p>
    <w:p>
      <w:pPr>
        <w:pStyle w:val="Heading1"/>
      </w:pPr>
      <w:r>
        <w:t>9.  Assumptions, dependencies and exclusions</w:t>
      </w:r>
    </w:p>
    <w:p>
      <w:pPr>
        <w:pStyle w:val="ListBullet"/>
        <w:ind w:left="374" w:hanging="230"/>
      </w:pPr>
      <w:r>
        <w:rPr>
          <w:rFonts w:ascii="Calibri" w:hAnsi="Calibri"/>
          <w:color w:val="1A1A1A"/>
          <w:sz w:val="21"/>
        </w:rPr>
        <w:t>GPU compute, storage, networking, power protection and cooling will be provided by the department through the Electronics, Information Technology and Artificial Intelligence Department. This hardware cost is not included in the ₹5.00 crore value.</w:t>
      </w:r>
    </w:p>
    <w:p>
      <w:pPr>
        <w:pStyle w:val="ListBullet"/>
        <w:ind w:left="374" w:hanging="230"/>
      </w:pPr>
      <w:r>
        <w:rPr>
          <w:rFonts w:ascii="Calibri" w:hAnsi="Calibri"/>
          <w:color w:val="1A1A1A"/>
          <w:sz w:val="21"/>
        </w:rPr>
        <w:t>HashCase will size, deploy, configure, integrate and optimise the AI software stack on that infrastructure.</w:t>
      </w:r>
    </w:p>
    <w:p>
      <w:pPr>
        <w:pStyle w:val="ListBullet"/>
        <w:ind w:left="374" w:hanging="230"/>
      </w:pPr>
      <w:r>
        <w:rPr>
          <w:rFonts w:ascii="Calibri" w:hAnsi="Calibri"/>
          <w:color w:val="1A1A1A"/>
          <w:sz w:val="21"/>
        </w:rPr>
        <w:t>The department will provide timely access to the Mahasamvad archive, official branding assets, authorised social-media accounts and, where required, Mahasagar or other official sources.</w:t>
      </w:r>
    </w:p>
    <w:p>
      <w:pPr>
        <w:pStyle w:val="ListBullet"/>
        <w:ind w:left="374" w:hanging="230"/>
      </w:pPr>
      <w:r>
        <w:rPr>
          <w:rFonts w:ascii="Calibri" w:hAnsi="Calibri"/>
          <w:color w:val="1A1A1A"/>
          <w:sz w:val="21"/>
        </w:rPr>
        <w:t>Newspaper subscriptions, e-paper licences and third-party content licensing for media monitoring are not included.</w:t>
      </w:r>
    </w:p>
    <w:p>
      <w:pPr>
        <w:pStyle w:val="ListBullet"/>
        <w:ind w:left="374" w:hanging="230"/>
      </w:pPr>
      <w:r>
        <w:rPr>
          <w:rFonts w:ascii="Calibri" w:hAnsi="Calibri"/>
          <w:color w:val="1A1A1A"/>
          <w:sz w:val="21"/>
        </w:rPr>
        <w:t>Studio premises, cameras, lighting and recording equipment are not included; Component 5 provides production assistance, not studio infrastructure.</w:t>
      </w:r>
    </w:p>
    <w:p>
      <w:pPr>
        <w:pStyle w:val="ListBullet"/>
        <w:ind w:left="374" w:hanging="230"/>
      </w:pPr>
      <w:r>
        <w:rPr>
          <w:rFonts w:ascii="Calibri" w:hAnsi="Calibri"/>
          <w:color w:val="1A1A1A"/>
          <w:sz w:val="21"/>
        </w:rPr>
        <w:t>Metered AI service consumption is provided within the ceiling in Provision 9, with usage metered and reported; consumption materially above the agreed volumes will follow an approval process settled during contracting.</w:t>
      </w:r>
    </w:p>
    <w:p>
      <w:pPr>
        <w:pStyle w:val="ListBullet"/>
        <w:ind w:left="374" w:hanging="230"/>
      </w:pPr>
      <w:r>
        <w:rPr>
          <w:rFonts w:ascii="Calibri" w:hAnsi="Calibri"/>
          <w:color w:val="1A1A1A"/>
          <w:sz w:val="21"/>
        </w:rPr>
        <w:t>Approved AI providers and models may be substituted during the engagement on grounds of quality, security, availability or cost; no named external provider is committed.</w:t>
      </w:r>
    </w:p>
    <w:p>
      <w:pPr>
        <w:pStyle w:val="ListBullet"/>
        <w:ind w:left="374" w:hanging="230"/>
      </w:pPr>
      <w:r>
        <w:rPr>
          <w:rFonts w:ascii="Calibri" w:hAnsi="Calibri"/>
          <w:color w:val="1A1A1A"/>
          <w:sz w:val="21"/>
        </w:rPr>
        <w:t>Departmental information will not be used to train a public model, and final editorial and publication authority remains with authorised DGIPR officers.</w:t>
      </w:r>
    </w:p>
    <w:p>
      <w:pPr>
        <w:pStyle w:val="ListBullet"/>
        <w:ind w:left="374" w:hanging="230"/>
      </w:pPr>
      <w:r>
        <w:rPr>
          <w:rFonts w:ascii="Calibri" w:hAnsi="Calibri"/>
          <w:color w:val="1A1A1A"/>
          <w:sz w:val="21"/>
        </w:rPr>
        <w:t>All amounts are in Indian Rupees. This proposal is valid for 90 days from the date of submission.</w:t>
      </w:r>
    </w:p>
    <w:p>
      <w:pPr>
        <w:pStyle w:val="Heading1"/>
      </w:pPr>
      <w:r>
        <w:t>10.  Conclusion</w:t>
      </w:r>
    </w:p>
    <w:p>
      <w:pPr>
        <w:spacing w:line="278" w:lineRule="auto"/>
      </w:pPr>
      <w:r>
        <w:rPr>
          <w:rFonts w:ascii="Calibri" w:hAnsi="Calibri"/>
          <w:b w:val="0"/>
          <w:i w:val="0"/>
          <w:color w:val="1A1A1A"/>
          <w:sz w:val="21"/>
        </w:rPr>
        <w:t>AI NewsRoom is proposed as a complete, secure and operational AI capability for DGIPR — not merely access to another software tool. It combines a Marathi-first content platform, a private departmental knowledge environment, specialised public-relations workflows and continuing on-site support so that official source material can be converted into finished, review-ready communication through one governed system.</w:t>
      </w:r>
    </w:p>
    <w:p>
      <w:pPr>
        <w:spacing w:line="278" w:lineRule="auto"/>
      </w:pPr>
      <w:r>
        <w:rPr>
          <w:rFonts w:ascii="Calibri" w:hAnsi="Calibri"/>
          <w:b w:val="0"/>
          <w:i w:val="0"/>
          <w:color w:val="1A1A1A"/>
          <w:sz w:val="21"/>
        </w:rPr>
        <w:t>Dividing the product into eight high-level components allows the department to see exactly what is being built, how long each part takes and what each part costs, and to accept each part on its own merits. The department-controlled foundation keeps DGIPR in command of its sensitive information, approved models, embeddings, vector database, institutional knowledge and generated outputs, while the infrastructure provided by the Electronics, Information Technology and Artificial Intelligence Department carries the production workload.</w:t>
      </w:r>
    </w:p>
    <w:p>
      <w:pPr>
        <w:spacing w:line="278" w:lineRule="auto"/>
      </w:pPr>
      <w:r>
        <w:rPr>
          <w:rFonts w:ascii="Calibri" w:hAnsi="Calibri"/>
          <w:b w:val="0"/>
          <w:i w:val="0"/>
          <w:color w:val="1A1A1A"/>
          <w:sz w:val="21"/>
        </w:rPr>
        <w:t>The outcome is a department that receives secure technology, continuing operational support and finished communication outputs across text, image, video and analysis, while retaining complete authority over government information and public publication.</w:t>
      </w:r>
    </w:p>
    <w:p>
      <w:pPr>
        <w:spacing w:before="440" w:line="278" w:lineRule="auto"/>
      </w:pPr>
      <w:r>
        <w:rPr>
          <w:rFonts w:ascii="Calibri" w:hAnsi="Calibri"/>
          <w:b/>
          <w:i w:val="0"/>
          <w:color w:val="1A1A1A"/>
          <w:sz w:val="21"/>
        </w:rPr>
        <w:t>For and on behalf of HashCase</w:t>
      </w:r>
    </w:p>
    <w:p>
      <w:pPr>
        <w:spacing w:before="320" w:line="278" w:lineRule="auto"/>
      </w:pPr>
      <w:r>
        <w:rPr>
          <w:rFonts w:ascii="Calibri" w:hAnsi="Calibri"/>
          <w:b w:val="0"/>
          <w:i w:val="0"/>
          <w:color w:val="5A5A5A"/>
          <w:sz w:val="20"/>
        </w:rPr>
        <w:t>Name:  ______________________________          Designation:  ______________________________</w:t>
      </w:r>
    </w:p>
    <w:p>
      <w:pPr>
        <w:spacing w:before="120" w:line="278" w:lineRule="auto"/>
      </w:pPr>
      <w:r>
        <w:rPr>
          <w:rFonts w:ascii="Calibri" w:hAnsi="Calibri"/>
          <w:b w:val="0"/>
          <w:i w:val="0"/>
          <w:color w:val="5A5A5A"/>
          <w:sz w:val="20"/>
        </w:rPr>
        <w:t>Signature:  __________________________          Date:  ______________________________</w:t>
      </w:r>
    </w:p>
    <w:p>
      <w:pPr>
        <w:spacing w:after="0"/>
      </w:pPr>
      <w:r>
        <w:br w:type="page"/>
      </w:r>
    </w:p>
    <w:p>
      <w:pPr>
        <w:pStyle w:val="Heading1"/>
      </w:pPr>
      <w:r>
        <w:t>Annexure — Component acceptance summary</w:t>
      </w:r>
    </w:p>
    <w:p>
      <w:pPr>
        <w:spacing w:line="278" w:lineRule="auto"/>
      </w:pPr>
      <w:r>
        <w:rPr>
          <w:rFonts w:ascii="Calibri" w:hAnsi="Calibri"/>
          <w:b w:val="0"/>
          <w:i w:val="0"/>
          <w:color w:val="1A1A1A"/>
          <w:sz w:val="21"/>
        </w:rPr>
        <w:t>Each component will be demonstrated and accepted against the outcome below. Detailed acceptance criteria, test cases and service levels will be finalised during contracting.</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664"/>
        <w:gridCol w:w="6796"/>
      </w:tblGrid>
      <w:tr>
        <w:trPr>
          <w:tblHeader w:val="true"/>
        </w:trPr>
        <w:tc>
          <w:tcPr>
            <w:shd w:val="clear" w:fill="5B2D8E"/>
            <w:tcW w:w="2664" w:type="dxa"/>
          </w:tcPr>
          <w:p>
            <w:pPr>
              <w:spacing w:before="30" w:after="30" w:line="254" w:lineRule="auto"/>
            </w:pPr>
            <w:r>
              <w:rPr>
                <w:rFonts w:ascii="Calibri" w:hAnsi="Calibri"/>
                <w:b/>
                <w:color w:val="FFFFFF"/>
                <w:sz w:val="18"/>
              </w:rPr>
              <w:t>Component</w:t>
            </w:r>
          </w:p>
        </w:tc>
        <w:tc>
          <w:tcPr>
            <w:shd w:val="clear" w:fill="5B2D8E"/>
            <w:tcW w:w="6796" w:type="dxa"/>
          </w:tcPr>
          <w:p>
            <w:pPr>
              <w:spacing w:before="30" w:after="30" w:line="254" w:lineRule="auto"/>
            </w:pPr>
            <w:r>
              <w:rPr>
                <w:rFonts w:ascii="Calibri" w:hAnsi="Calibri"/>
                <w:b/>
                <w:color w:val="FFFFFF"/>
                <w:sz w:val="18"/>
              </w:rPr>
              <w:t>Accepted when</w:t>
            </w:r>
          </w:p>
        </w:tc>
      </w:tr>
      <w:tr>
        <w:tc>
          <w:tcPr>
            <w:tcW w:w="2664" w:type="dxa"/>
          </w:tcPr>
          <w:p>
            <w:pPr>
              <w:spacing w:before="30" w:after="30" w:line="254" w:lineRule="auto"/>
            </w:pPr>
            <w:r>
              <w:rPr>
                <w:rFonts w:ascii="Calibri" w:hAnsi="Calibri"/>
                <w:color w:val="1A1A1A"/>
                <w:sz w:val="18"/>
              </w:rPr>
              <w:t>1. Core Platform, Security and Workflow Foundation</w:t>
            </w:r>
          </w:p>
        </w:tc>
        <w:tc>
          <w:tcPr>
            <w:tcW w:w="6796" w:type="dxa"/>
          </w:tcPr>
          <w:p>
            <w:pPr>
              <w:spacing w:before="30" w:after="30" w:line="254" w:lineRule="auto"/>
            </w:pPr>
            <w:r>
              <w:rPr>
                <w:rFonts w:ascii="Calibri" w:hAnsi="Calibri"/>
                <w:color w:val="1A1A1A"/>
                <w:sz w:val="18"/>
              </w:rPr>
              <w:t>The AI stack is running on departmental infrastructure with working access control, audit trails, background processing and a verified backup and restoration test.</w:t>
            </w:r>
          </w:p>
        </w:tc>
      </w:tr>
      <w:tr>
        <w:tc>
          <w:tcPr>
            <w:tcW w:w="2664" w:type="dxa"/>
          </w:tcPr>
          <w:p>
            <w:pPr>
              <w:spacing w:before="30" w:after="30" w:line="254" w:lineRule="auto"/>
            </w:pPr>
            <w:r>
              <w:rPr>
                <w:rFonts w:ascii="Calibri" w:hAnsi="Calibri"/>
                <w:color w:val="1A1A1A"/>
                <w:sz w:val="18"/>
              </w:rPr>
              <w:t>2. Data and Document Intelligence</w:t>
            </w:r>
          </w:p>
        </w:tc>
        <w:tc>
          <w:tcPr>
            <w:tcW w:w="6796" w:type="dxa"/>
          </w:tcPr>
          <w:p>
            <w:pPr>
              <w:spacing w:before="30" w:after="30" w:line="254" w:lineRule="auto"/>
            </w:pPr>
            <w:r>
              <w:rPr>
                <w:rFonts w:ascii="Calibri" w:hAnsi="Calibri"/>
                <w:color w:val="1A1A1A"/>
                <w:sz w:val="18"/>
              </w:rPr>
              <w:t>All listed source formats can be submitted, read and corrected by an officer, and the knowledge base returns grounded results with source provenance.</w:t>
            </w:r>
          </w:p>
        </w:tc>
      </w:tr>
      <w:tr>
        <w:tc>
          <w:tcPr>
            <w:tcW w:w="2664" w:type="dxa"/>
          </w:tcPr>
          <w:p>
            <w:pPr>
              <w:spacing w:before="30" w:after="30" w:line="254" w:lineRule="auto"/>
            </w:pPr>
            <w:r>
              <w:rPr>
                <w:rFonts w:ascii="Calibri" w:hAnsi="Calibri"/>
                <w:color w:val="1A1A1A"/>
                <w:sz w:val="18"/>
              </w:rPr>
              <w:t>3. Editorial Engine</w:t>
            </w:r>
          </w:p>
        </w:tc>
        <w:tc>
          <w:tcPr>
            <w:tcW w:w="6796" w:type="dxa"/>
          </w:tcPr>
          <w:p>
            <w:pPr>
              <w:spacing w:before="30" w:after="30" w:line="254" w:lineRule="auto"/>
            </w:pPr>
            <w:r>
              <w:rPr>
                <w:rFonts w:ascii="Calibri" w:hAnsi="Calibri"/>
                <w:color w:val="1A1A1A"/>
                <w:sz w:val="18"/>
              </w:rPr>
              <w:t>Departmental test material produces publication-ready Marathi articles in the department's style, with correct designations, working glossary, translation, proofreading and a fact-check section.</w:t>
            </w:r>
          </w:p>
        </w:tc>
      </w:tr>
      <w:tr>
        <w:tc>
          <w:tcPr>
            <w:tcW w:w="2664" w:type="dxa"/>
          </w:tcPr>
          <w:p>
            <w:pPr>
              <w:spacing w:before="30" w:after="30" w:line="254" w:lineRule="auto"/>
            </w:pPr>
            <w:r>
              <w:rPr>
                <w:rFonts w:ascii="Calibri" w:hAnsi="Calibri"/>
                <w:color w:val="1A1A1A"/>
                <w:sz w:val="18"/>
              </w:rPr>
              <w:t>4. Creatives Studio</w:t>
            </w:r>
          </w:p>
        </w:tc>
        <w:tc>
          <w:tcPr>
            <w:tcW w:w="6796" w:type="dxa"/>
          </w:tcPr>
          <w:p>
            <w:pPr>
              <w:spacing w:before="30" w:after="30" w:line="254" w:lineRule="auto"/>
            </w:pPr>
            <w:r>
              <w:rPr>
                <w:rFonts w:ascii="Calibri" w:hAnsi="Calibri"/>
                <w:color w:val="1A1A1A"/>
                <w:sz w:val="18"/>
              </w:rPr>
              <w:t>Posters, creatives and thumbnails are produced from approved sources with correct Devanagari, official branding, visual feedback, version history and channel-ready exports.</w:t>
            </w:r>
          </w:p>
        </w:tc>
      </w:tr>
      <w:tr>
        <w:tc>
          <w:tcPr>
            <w:tcW w:w="2664" w:type="dxa"/>
          </w:tcPr>
          <w:p>
            <w:pPr>
              <w:spacing w:before="30" w:after="30" w:line="254" w:lineRule="auto"/>
            </w:pPr>
            <w:r>
              <w:rPr>
                <w:rFonts w:ascii="Calibri" w:hAnsi="Calibri"/>
                <w:color w:val="1A1A1A"/>
                <w:sz w:val="18"/>
              </w:rPr>
              <w:t>5. Video Production Suite</w:t>
            </w:r>
          </w:p>
        </w:tc>
        <w:tc>
          <w:tcPr>
            <w:tcW w:w="6796" w:type="dxa"/>
          </w:tcPr>
          <w:p>
            <w:pPr>
              <w:spacing w:before="30" w:after="30" w:line="254" w:lineRule="auto"/>
            </w:pPr>
            <w:r>
              <w:rPr>
                <w:rFonts w:ascii="Calibri" w:hAnsi="Calibri"/>
                <w:color w:val="1A1A1A"/>
                <w:sz w:val="18"/>
              </w:rPr>
              <w:t>A branded Marathi explainer video is produced through both approval gates with subtitles and scene-level revision, and a studio programme is finished with branding, captions and derivatives.</w:t>
            </w:r>
          </w:p>
        </w:tc>
      </w:tr>
      <w:tr>
        <w:tc>
          <w:tcPr>
            <w:tcW w:w="2664" w:type="dxa"/>
          </w:tcPr>
          <w:p>
            <w:pPr>
              <w:spacing w:before="30" w:after="30" w:line="254" w:lineRule="auto"/>
            </w:pPr>
            <w:r>
              <w:rPr>
                <w:rFonts w:ascii="Calibri" w:hAnsi="Calibri"/>
                <w:color w:val="1A1A1A"/>
                <w:sz w:val="18"/>
              </w:rPr>
              <w:t>6. Media Intelligence</w:t>
            </w:r>
          </w:p>
        </w:tc>
        <w:tc>
          <w:tcPr>
            <w:tcW w:w="6796" w:type="dxa"/>
          </w:tcPr>
          <w:p>
            <w:pPr>
              <w:spacing w:before="30" w:after="30" w:line="254" w:lineRule="auto"/>
            </w:pPr>
            <w:r>
              <w:rPr>
                <w:rFonts w:ascii="Calibri" w:hAnsi="Calibri"/>
                <w:color w:val="1A1A1A"/>
                <w:sz w:val="18"/>
              </w:rPr>
              <w:t>Authorised newspaper sources are read and classified in three languages, with alerts, a daily digest, a searchable archive and a campaign-impact report.</w:t>
            </w:r>
          </w:p>
        </w:tc>
      </w:tr>
      <w:tr>
        <w:tc>
          <w:tcPr>
            <w:tcW w:w="2664" w:type="dxa"/>
          </w:tcPr>
          <w:p>
            <w:pPr>
              <w:spacing w:before="30" w:after="30" w:line="254" w:lineRule="auto"/>
            </w:pPr>
            <w:r>
              <w:rPr>
                <w:rFonts w:ascii="Calibri" w:hAnsi="Calibri"/>
                <w:color w:val="1A1A1A"/>
                <w:sz w:val="18"/>
              </w:rPr>
              <w:t>7. Mobile Application and Cross-device Experience</w:t>
            </w:r>
          </w:p>
        </w:tc>
        <w:tc>
          <w:tcPr>
            <w:tcW w:w="6796" w:type="dxa"/>
          </w:tcPr>
          <w:p>
            <w:pPr>
              <w:spacing w:before="30" w:after="30" w:line="254" w:lineRule="auto"/>
            </w:pPr>
            <w:r>
              <w:rPr>
                <w:rFonts w:ascii="Calibri" w:hAnsi="Calibri"/>
                <w:color w:val="1A1A1A"/>
                <w:sz w:val="18"/>
              </w:rPr>
              <w:t>The application installs on Android and iOS, captures work in the field, supports review and approval, and continues a single work thread across devices.</w:t>
            </w:r>
          </w:p>
        </w:tc>
      </w:tr>
      <w:tr>
        <w:tc>
          <w:tcPr>
            <w:tcW w:w="2664" w:type="dxa"/>
          </w:tcPr>
          <w:p>
            <w:pPr>
              <w:spacing w:before="30" w:after="30" w:line="254" w:lineRule="auto"/>
            </w:pPr>
            <w:r>
              <w:rPr>
                <w:rFonts w:ascii="Calibri" w:hAnsi="Calibri"/>
                <w:color w:val="1A1A1A"/>
                <w:sz w:val="18"/>
              </w:rPr>
              <w:t>8. Administration, Integrations and Work Assistant</w:t>
            </w:r>
          </w:p>
        </w:tc>
        <w:tc>
          <w:tcPr>
            <w:tcW w:w="6796" w:type="dxa"/>
          </w:tcPr>
          <w:p>
            <w:pPr>
              <w:spacing w:before="30" w:after="30" w:line="254" w:lineRule="auto"/>
            </w:pPr>
            <w:r>
              <w:rPr>
                <w:rFonts w:ascii="Calibri" w:hAnsi="Calibri"/>
                <w:color w:val="1A1A1A"/>
                <w:sz w:val="18"/>
              </w:rPr>
              <w:t>The assistant answers on supplied material, history and reuse work end to end, the analytics report is produced, and the administration console and approved integrations are operational.</w:t>
            </w:r>
          </w:p>
        </w:tc>
      </w:tr>
      <w:tr>
        <w:tc>
          <w:tcPr>
            <w:tcW w:w="2664" w:type="dxa"/>
          </w:tcPr>
          <w:p>
            <w:pPr>
              <w:spacing w:before="30" w:after="30" w:line="254" w:lineRule="auto"/>
            </w:pPr>
            <w:r>
              <w:rPr>
                <w:rFonts w:ascii="Calibri" w:hAnsi="Calibri"/>
                <w:color w:val="1A1A1A"/>
                <w:sz w:val="18"/>
              </w:rPr>
              <w:t>9. AI compute and metered technology services</w:t>
            </w:r>
          </w:p>
        </w:tc>
        <w:tc>
          <w:tcPr>
            <w:tcW w:w="6796" w:type="dxa"/>
          </w:tcPr>
          <w:p>
            <w:pPr>
              <w:spacing w:before="30" w:after="30" w:line="254" w:lineRule="auto"/>
            </w:pPr>
            <w:r>
              <w:rPr>
                <w:rFonts w:ascii="Calibri" w:hAnsi="Calibri"/>
                <w:color w:val="1A1A1A"/>
                <w:sz w:val="18"/>
              </w:rPr>
              <w:t>Providers are configured with metering, cost attribution, budget ceilings and a monthly consumption report.</w:t>
            </w:r>
          </w:p>
        </w:tc>
      </w:tr>
    </w:tbl>
    <w:p>
      <w:pPr>
        <w:spacing w:after="80"/>
      </w:pPr>
    </w:p>
    <w:sectPr w:rsidR="00FC693F" w:rsidRPr="0006063C" w:rsidSect="00034616">
      <w:headerReference w:type="default" r:id="rId9"/>
      <w:footerReference w:type="default" r:id="rId10"/>
      <w:pgSz w:w="11909" w:h="16834"/>
      <w:pgMar w:top="1944" w:right="1224" w:bottom="1512" w:left="1224"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Bdr>
        <w:top w:val="single" w:sz="8" w:space="6" w:color="5B2D8E"/>
      </w:pBdr>
    </w:pPr>
    <w:r>
      <w:rPr>
        <w:rFonts w:ascii="Calibri" w:hAnsi="Calibri"/>
        <w:color w:val="5A5A5A"/>
        <w:sz w:val="15"/>
      </w:rPr>
      <w:t>Registered Office: Bandra Red Rose, 1, 27th Rd, Bandra West, Mumbai, Maharashtra 400050</w:t>
    </w:r>
  </w:p>
  <w:p>
    <w:pPr>
      <w:tabs>
        <w:tab w:pos="9461" w:val="right"/>
      </w:tabs>
      <w:spacing w:before="0" w:after="0"/>
    </w:pPr>
    <w:r>
      <w:rPr>
        <w:rFonts w:ascii="Calibri" w:hAnsi="Calibri"/>
        <w:color w:val="5A5A5A"/>
        <w:sz w:val="15"/>
      </w:rPr>
      <w:t>hashcase.tech  |  taaha@hashcase.tech</w:t>
      <w:tab/>
    </w:r>
    <w:r>
      <w:rPr>
        <w:rFonts w:ascii="Calibri" w:hAnsi="Calibri"/>
        <w:color w:val="5A5A5A"/>
        <w:sz w:val="15"/>
      </w:rPr>
      <w:t xml:space="preserve">Page </w:t>
    </w:r>
    <w:r>
      <w:rPr>
        <w:rFonts w:ascii="Calibri" w:hAnsi="Calibri"/>
        <w:color w:val="5A5A5A"/>
        <w:sz w:val="15"/>
      </w:rPr>
      <w:fldChar w:fldCharType="begin"/>
      <w:instrText xml:space="preserve"> PAGE </w:instrText>
      <w:fldChar w:fldCharType="separate"/>
      <w:t>1</w:t>
      <w:fldChar w:fldCharType="end"/>
    </w:r>
    <w:r>
      <w:rPr>
        <w:rFonts w:ascii="Calibri" w:hAnsi="Calibri"/>
        <w:color w:val="5A5A5A"/>
        <w:sz w:val="15"/>
      </w:rPr>
      <w:t xml:space="preserve"> of </w:t>
    </w:r>
    <w:r>
      <w:rPr>
        <w:rFonts w:ascii="Calibri" w:hAnsi="Calibri"/>
        <w:color w:val="5A5A5A"/>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5B2D8E"/>
      </w:pBdr>
    </w:pPr>
    <w:r>
      <w:drawing>
        <wp:inline xmlns:a="http://schemas.openxmlformats.org/drawingml/2006/main" xmlns:pic="http://schemas.openxmlformats.org/drawingml/2006/picture">
          <wp:extent cx="1874519" cy="388455"/>
          <wp:docPr id="1" name="Picture 1"/>
          <wp:cNvGraphicFramePr>
            <a:graphicFrameLocks noChangeAspect="1"/>
          </wp:cNvGraphicFramePr>
          <a:graphic>
            <a:graphicData uri="http://schemas.openxmlformats.org/drawingml/2006/picture">
              <pic:pic>
                <pic:nvPicPr>
                  <pic:cNvPr id="0" name="hashcase-letterhead-logo.png"/>
                  <pic:cNvPicPr/>
                </pic:nvPicPr>
                <pic:blipFill>
                  <a:blip r:embed="rId1"/>
                  <a:stretch>
                    <a:fillRect/>
                  </a:stretch>
                </pic:blipFill>
                <pic:spPr>
                  <a:xfrm>
                    <a:off x="0" y="0"/>
                    <a:ext cx="1874519" cy="38845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5B2D8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5B2D8E"/>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