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aps/>
          <w:color w:val="55606B"/>
          <w:sz w:val="18"/>
          <w:szCs w:val="18"/>
        </w:rPr>
        <w:t xml:space="preserve">Government of Maharashtra</w:t>
      </w:r>
    </w:p>
    <w:p>
      <w:pPr>
        <w:spacing w:after="20"/>
        <w:jc w:val="center"/>
      </w:pPr>
      <w:r>
        <w:rPr>
          <w:rFonts w:ascii="Cambria" w:cs="Cambria" w:eastAsia="Cambria" w:hAnsi="Cambria"/>
          <w:b/>
          <w:bCs/>
          <w:color w:val="17365D"/>
          <w:sz w:val="24"/>
          <w:szCs w:val="24"/>
        </w:rPr>
        <w:t xml:space="preserve">Directorate General of Information and Public Relations</w:t>
      </w:r>
    </w:p>
    <w:p>
      <w:pPr>
        <w:spacing w:after="220"/>
        <w:jc w:val="center"/>
      </w:pPr>
      <w:r>
        <w:rPr>
          <w:rFonts w:ascii="Calibri" w:cs="Calibri" w:eastAsia="Calibri" w:hAnsi="Calibri"/>
          <w:color w:val="55606B"/>
          <w:sz w:val="18"/>
          <w:szCs w:val="18"/>
        </w:rPr>
        <w:t xml:space="preserve">Mantralaya, Mumbai 400 032</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blHeader w:val="false"/>
        </w:trPr>
        <w:tc>
          <w:tcPr>
            <w:tcW w:type="dxa" w:w="4873"/>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New Media Branch / Section Ka-8</w:t>
            </w:r>
          </w:p>
        </w:tc>
        <w:tc>
          <w:tcPr>
            <w:tcW w:type="dxa" w:w="4873"/>
            <w:tcMar>
              <w:top w:type="dxa" w:w="70"/>
              <w:left w:type="dxa" w:w="110"/>
              <w:bottom w:type="dxa" w:w="70"/>
              <w:right w:type="dxa" w:w="110"/>
            </w:tcMar>
            <w:vAlign w:val="top"/>
          </w:tcPr>
          <w:p>
            <w:pPr>
              <w:spacing w:after="40" w:before="40" w:line="240"/>
              <w:jc w:val="right"/>
            </w:pPr>
            <w:r>
              <w:rPr>
                <w:rFonts w:ascii="Calibri" w:cs="Calibri" w:eastAsia="Calibri" w:hAnsi="Calibri"/>
                <w:b/>
                <w:bCs/>
                <w:i w:val="false"/>
                <w:iCs w:val="false"/>
                <w:color w:val="1A1A1A"/>
                <w:sz w:val="17"/>
                <w:szCs w:val="17"/>
              </w:rPr>
              <w:t xml:space="preserve">Date :</w:t>
            </w:r>
          </w:p>
        </w:tc>
      </w:tr>
    </w:tbl>
    <w:p>
      <w:pPr>
        <w:spacing w:after="60"/>
      </w:pPr>
      <w:r>
        <w:rPr>
          <w:sz w:val="12"/>
          <w:szCs w:val="12"/>
        </w:rPr>
        <w:t xml:space="preserve"/>
      </w:r>
    </w:p>
    <w:p>
      <w:pPr>
        <w:pBdr>
          <w:bottom w:val="single" w:color="17365D" w:sz="8" w:space="6"/>
        </w:pBdr>
        <w:spacing w:after="200"/>
      </w:pPr>
      <w:r>
        <w:rPr>
          <w:sz w:val="2"/>
          <w:szCs w:val="2"/>
        </w:rPr>
        <w:t xml:space="preserve"/>
      </w:r>
    </w:p>
    <w:p>
      <w:pPr>
        <w:spacing w:after="60"/>
        <w:jc w:val="center"/>
      </w:pPr>
      <w:r>
        <w:rPr>
          <w:rFonts w:ascii="Cambria" w:cs="Cambria" w:eastAsia="Cambria" w:hAnsi="Cambria"/>
          <w:b/>
          <w:bCs/>
          <w:color w:val="17365D"/>
          <w:sz w:val="28"/>
          <w:szCs w:val="28"/>
        </w:rPr>
        <w:t xml:space="preserve">APPRAISAL NOTE</w:t>
      </w:r>
    </w:p>
    <w:p>
      <w:pPr>
        <w:spacing w:after="220"/>
        <w:jc w:val="center"/>
      </w:pPr>
      <w:r>
        <w:rPr>
          <w:rFonts w:ascii="Calibri" w:cs="Calibri" w:eastAsia="Calibri" w:hAnsi="Calibri"/>
          <w:color w:val="55606B"/>
          <w:sz w:val="19"/>
          <w:szCs w:val="19"/>
        </w:rPr>
        <w:t xml:space="preserve">Examination of the proposal received for establishment of the AI NewsRoom, and of the estimated expenditure of ₹5.90 crore</w:t>
      </w:r>
    </w:p>
    <w:p>
      <w:pPr>
        <w:keepNext w:val="false"/>
        <w:spacing w:after="200" w:before="0" w:line="264"/>
        <w:jc w:val="left"/>
      </w:pPr>
      <w:r>
        <w:rPr>
          <w:rFonts w:ascii="Calibri" w:cs="Calibri" w:eastAsia="Calibri" w:hAnsi="Calibri"/>
          <w:b/>
          <w:bCs/>
          <w:i w:val="false"/>
          <w:iCs w:val="false"/>
          <w:caps w:val="false"/>
          <w:color w:val="1A1A1A"/>
          <w:sz w:val="20"/>
          <w:szCs w:val="20"/>
        </w:rPr>
        <w:t xml:space="preserve">Submitted,</w:t>
      </w:r>
    </w:p>
    <w:p>
      <w:pPr>
        <w:keepNext w:val="false"/>
        <w:spacing w:after="120" w:before="0" w:line="264"/>
        <w:jc w:val="both"/>
      </w:pPr>
      <w:r>
        <w:rPr>
          <w:rFonts w:ascii="Calibri" w:cs="Calibri" w:eastAsia="Calibri" w:hAnsi="Calibri"/>
          <w:b/>
          <w:bCs/>
          <w:i w:val="false"/>
          <w:iCs w:val="false"/>
          <w:caps w:val="false"/>
          <w:color w:val="1A1A1A"/>
          <w:sz w:val="20"/>
          <w:szCs w:val="20"/>
        </w:rPr>
        <w:t xml:space="preserve">1.  Background.  </w:t>
      </w:r>
      <w:r>
        <w:rPr>
          <w:rFonts w:ascii="Calibri" w:cs="Calibri" w:eastAsia="Calibri" w:hAnsi="Calibri"/>
          <w:b w:val="false"/>
          <w:bCs w:val="false"/>
          <w:i w:val="false"/>
          <w:iCs w:val="false"/>
          <w:caps w:val="false"/>
          <w:color w:val="1A1A1A"/>
          <w:sz w:val="20"/>
          <w:szCs w:val="20"/>
        </w:rPr>
        <w:t xml:space="preserve">A note of this Branch has proposed the establishment of an “AI NewsRoom” for the Directorate, so that the accuracy, speed, efficiency and quality of the Directorate’s work at headquarters and at the divisional and district information offices may be improved through the use of artificial intelligence. The note records eight objectives for the AI NewsRoom, ten grounds of necessity, a scope of work in thirty items, a detailed component-wise Annexure in two parts, and an estimated expenditure of ₹5.90 crore (₹5.00 crore together with goods-and-services tax of ₹0.90 crore) for a period of one year. The note further records that the technology and skilled manpower required are not available at the level of the Directorate, that the work must therefore be obtained from an external source, and that an institution having professional experience in this field will be appointed for one year through the prescribed e-tender process on the basis of quality and cost.</w:t>
      </w:r>
    </w:p>
    <w:p>
      <w:pPr>
        <w:keepNext w:val="false"/>
        <w:spacing w:after="120" w:before="0" w:line="264"/>
        <w:jc w:val="both"/>
      </w:pPr>
      <w:r>
        <w:rPr>
          <w:rFonts w:ascii="Calibri" w:cs="Calibri" w:eastAsia="Calibri" w:hAnsi="Calibri"/>
          <w:b/>
          <w:bCs/>
          <w:i w:val="false"/>
          <w:iCs w:val="false"/>
          <w:caps w:val="false"/>
          <w:color w:val="1A1A1A"/>
          <w:sz w:val="20"/>
          <w:szCs w:val="20"/>
        </w:rPr>
        <w:t xml:space="preserve">2.  </w:t>
      </w:r>
      <w:r>
        <w:rPr>
          <w:rFonts w:ascii="Calibri" w:cs="Calibri" w:eastAsia="Calibri" w:hAnsi="Calibri"/>
          <w:b w:val="false"/>
          <w:bCs w:val="false"/>
          <w:i w:val="false"/>
          <w:iCs w:val="false"/>
          <w:caps w:val="false"/>
          <w:color w:val="1A1A1A"/>
          <w:sz w:val="20"/>
          <w:szCs w:val="20"/>
        </w:rPr>
        <w:t xml:space="preserve">The note is also to be read with the circular of the Director (Information) (News and Public Relations) No. Sancha (Vru/Jan)/Paripatrak/Ka-2/41 dated 18 March 2025, under which news released through the newsroom is required to be prepared in Marathi together with English and Hindi, and this is to be done at the divisional and district levels as well as at headquarters.</w:t>
      </w:r>
    </w:p>
    <w:p>
      <w:pPr>
        <w:keepNext w:val="false"/>
        <w:spacing w:after="120" w:before="0" w:line="264"/>
        <w:jc w:val="both"/>
      </w:pPr>
      <w:r>
        <w:rPr>
          <w:rFonts w:ascii="Calibri" w:cs="Calibri" w:eastAsia="Calibri" w:hAnsi="Calibri"/>
          <w:b/>
          <w:bCs/>
          <w:i w:val="false"/>
          <w:iCs w:val="false"/>
          <w:caps w:val="false"/>
          <w:color w:val="1A1A1A"/>
          <w:sz w:val="20"/>
          <w:szCs w:val="20"/>
        </w:rPr>
        <w:t xml:space="preserve">3.  The proposal received.  </w:t>
      </w:r>
      <w:r>
        <w:rPr>
          <w:rFonts w:ascii="Calibri" w:cs="Calibri" w:eastAsia="Calibri" w:hAnsi="Calibri"/>
          <w:b w:val="false"/>
          <w:bCs w:val="false"/>
          <w:i w:val="false"/>
          <w:iCs w:val="false"/>
          <w:caps w:val="false"/>
          <w:color w:val="1A1A1A"/>
          <w:sz w:val="20"/>
          <w:szCs w:val="20"/>
        </w:rPr>
        <w:t xml:space="preserve">A proposal for the establishment of the AI NewsRoom has been received from HashCase, offering development, deployment and one year of operation of the platform for ₹5.00 crore, with the platform to go live within one month of the work order. The proposal divides the work into eight product components together with one provision for metered technology services, and reproduces the eight service lines of the Directorate’s own operating estimate. It has been examined against the note of this Branch and against its Annexure, and the position is placed below.</w:t>
      </w:r>
    </w:p>
    <w:p>
      <w:pPr>
        <w:keepNext w:val="false"/>
        <w:spacing w:after="120" w:before="0" w:line="264"/>
        <w:jc w:val="both"/>
      </w:pPr>
      <w:r>
        <w:rPr>
          <w:rFonts w:ascii="Calibri" w:cs="Calibri" w:eastAsia="Calibri" w:hAnsi="Calibri"/>
          <w:b/>
          <w:bCs/>
          <w:i w:val="false"/>
          <w:iCs w:val="false"/>
          <w:caps w:val="false"/>
          <w:color w:val="1A1A1A"/>
          <w:sz w:val="20"/>
          <w:szCs w:val="20"/>
        </w:rPr>
        <w:t xml:space="preserve">4.  Examination against the scope of work.  </w:t>
      </w:r>
      <w:r>
        <w:rPr>
          <w:rFonts w:ascii="Calibri" w:cs="Calibri" w:eastAsia="Calibri" w:hAnsi="Calibri"/>
          <w:b w:val="false"/>
          <w:bCs w:val="false"/>
          <w:i w:val="false"/>
          <w:iCs w:val="false"/>
          <w:caps w:val="false"/>
          <w:color w:val="1A1A1A"/>
          <w:sz w:val="20"/>
          <w:szCs w:val="20"/>
        </w:rPr>
        <w:t xml:space="preserve">Each of the thirty items of the scope of work in the note has been traced to the corresponding provision of the proposal. The position is as follows.</w:t>
      </w:r>
    </w:p>
    <w:p>
      <w:pPr>
        <w:spacing w:after="60"/>
      </w:pPr>
      <w:r>
        <w:rPr>
          <w:sz w:val="12"/>
          <w:szCs w:val="12"/>
        </w:rPr>
        <w:t xml:space="preserve"/>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1559"/>
        <w:gridCol w:w="6043"/>
        <w:gridCol w:w="2144"/>
      </w:tblGrid>
      <w:tr>
        <w:trPr>
          <w:cantSplit/>
          <w:tblHeader/>
        </w:trPr>
        <w:tc>
          <w:tcPr>
            <w:tcW w:type="dxa" w:w="1559"/>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Position</w:t>
            </w:r>
          </w:p>
        </w:tc>
        <w:tc>
          <w:tcPr>
            <w:tcW w:type="dxa" w:w="6043"/>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Items</w:t>
            </w:r>
          </w:p>
        </w:tc>
        <w:tc>
          <w:tcPr>
            <w:tcW w:type="dxa" w:w="2144"/>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Number</w:t>
            </w:r>
          </w:p>
        </w:tc>
      </w:tr>
      <w:tr>
        <w:trPr>
          <w:cantSplit/>
          <w:tblHeader w:val="false"/>
        </w:trPr>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Fully complied with</w:t>
            </w:r>
          </w:p>
        </w:tc>
        <w:tc>
          <w:tcPr>
            <w:tcW w:type="dxa" w:w="604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Items 1 to 23, 25, 27, 29 and 30 — intake, document reading, transcription, article and news production, Mahasamvad style, designations, glossary, translation, proof-reading, creatives, posters, thumbnails, branding, captions, version control, explainer video, motion creatives, work assistant, task resilience, history and reuse, downloads, analytics, cross-device experience, studio and anchor video, campaign impact, presentations and RFP drafting</w:t>
            </w:r>
          </w:p>
        </w:tc>
        <w:tc>
          <w:tcPr>
            <w:tcW w:type="dxa" w:w="214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27</w:t>
            </w:r>
          </w:p>
        </w:tc>
      </w:tr>
      <w:tr>
        <w:trPr>
          <w:cantSplit/>
          <w:tblHeader w:val="false"/>
        </w:trPr>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Partly complied with</w:t>
            </w:r>
          </w:p>
        </w:tc>
        <w:tc>
          <w:tcPr>
            <w:tcW w:type="dxa" w:w="604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Item 24 — international multi-language translation, the proposal offering English and Hindi only; item 26 — newspaper monitoring, where the newspaper and e-paper licences are excluded from the offer; item 28 — historical comparison and fact-checking through Mahasagar, which the proposal treats as a departmental dependency rather than as delivered scope</w:t>
            </w:r>
          </w:p>
        </w:tc>
        <w:tc>
          <w:tcPr>
            <w:tcW w:type="dxa" w:w="214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w:t>
            </w:r>
          </w:p>
        </w:tc>
      </w:tr>
      <w:tr>
        <w:trPr>
          <w:cantSplit/>
          <w:tblHeader w:val="false"/>
        </w:trPr>
        <w:tc>
          <w:tcPr>
            <w:tcW w:type="dxa" w:w="155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Not addressed</w:t>
            </w:r>
          </w:p>
        </w:tc>
        <w:tc>
          <w:tcPr>
            <w:tcW w:type="dxa" w:w="604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Nil</w:t>
            </w:r>
          </w:p>
        </w:tc>
        <w:tc>
          <w:tcPr>
            <w:tcW w:type="dxa" w:w="2144"/>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0</w:t>
            </w:r>
          </w:p>
        </w:tc>
      </w:tr>
      <w:tr>
        <w:trPr>
          <w:cantSplit/>
          <w:tblHeader w:val="false"/>
        </w:trPr>
        <w:tc>
          <w:tcPr>
            <w:tcW w:type="dxa" w:w="1559"/>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Total</w:t>
            </w:r>
          </w:p>
        </w:tc>
        <w:tc>
          <w:tcPr>
            <w:tcW w:type="dxa" w:w="6043"/>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
            </w:r>
          </w:p>
        </w:tc>
        <w:tc>
          <w:tcPr>
            <w:tcW w:type="dxa" w:w="2144"/>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30</w:t>
            </w:r>
          </w:p>
        </w:tc>
      </w:tr>
    </w:tbl>
    <w:p>
      <w:pPr>
        <w:spacing w:after="120"/>
      </w:pPr>
      <w:r>
        <w:rPr>
          <w:sz w:val="12"/>
          <w:szCs w:val="12"/>
        </w:rPr>
        <w:t xml:space="preserve"/>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It is further noted that against item 23 the proposal offers an installable mobile application for Android and iOS as a separately priced component, whereas the note asked for a responsive web and installable progressive-web-application experience. To that extent the offer is wider than the requirement.</w:t>
      </w:r>
    </w:p>
    <w:p>
      <w:pPr>
        <w:keepNext w:val="false"/>
        <w:spacing w:after="120" w:before="0" w:line="264"/>
        <w:jc w:val="both"/>
      </w:pPr>
      <w:r>
        <w:rPr>
          <w:rFonts w:ascii="Calibri" w:cs="Calibri" w:eastAsia="Calibri" w:hAnsi="Calibri"/>
          <w:b/>
          <w:bCs/>
          <w:i w:val="false"/>
          <w:iCs w:val="false"/>
          <w:caps w:val="false"/>
          <w:color w:val="1A1A1A"/>
          <w:sz w:val="20"/>
          <w:szCs w:val="20"/>
        </w:rPr>
        <w:t xml:space="preserve">5.  Examination against the objectives.  </w:t>
      </w:r>
      <w:r>
        <w:rPr>
          <w:rFonts w:ascii="Calibri" w:cs="Calibri" w:eastAsia="Calibri" w:hAnsi="Calibri"/>
          <w:b w:val="false"/>
          <w:bCs w:val="false"/>
          <w:i w:val="false"/>
          <w:iCs w:val="false"/>
          <w:caps w:val="false"/>
          <w:color w:val="1A1A1A"/>
          <w:sz w:val="20"/>
          <w:szCs w:val="20"/>
        </w:rPr>
        <w:t xml:space="preserve">Of the eight objectives recorded in the note, five are met, two are met in part and one is not addressed.</w:t>
      </w:r>
    </w:p>
    <w:p>
      <w:pPr>
        <w:spacing w:after="60"/>
      </w:pPr>
      <w:r>
        <w:rPr>
          <w:sz w:val="12"/>
          <w:szCs w:val="12"/>
        </w:rPr>
        <w:t xml:space="preserve"/>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780"/>
        <w:gridCol w:w="5458"/>
        <w:gridCol w:w="3509"/>
      </w:tblGrid>
      <w:tr>
        <w:trPr>
          <w:cantSplit/>
          <w:tblHeader/>
        </w:trPr>
        <w:tc>
          <w:tcPr>
            <w:tcW w:type="dxa" w:w="780"/>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Objective</w:t>
            </w:r>
          </w:p>
        </w:tc>
        <w:tc>
          <w:tcPr>
            <w:tcW w:type="dxa" w:w="5458"/>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Subject</w:t>
            </w:r>
          </w:p>
        </w:tc>
        <w:tc>
          <w:tcPr>
            <w:tcW w:type="dxa" w:w="3509"/>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Position</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w:t>
            </w:r>
          </w:p>
        </w:tc>
        <w:tc>
          <w:tcPr>
            <w:tcW w:type="dxa" w:w="545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Security and confidentiality of official information</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Met</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w:t>
            </w:r>
          </w:p>
        </w:tc>
        <w:tc>
          <w:tcPr>
            <w:tcW w:type="dxa" w:w="545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Completion of daily publicity work in the least possible time</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Met</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w:t>
            </w:r>
          </w:p>
        </w:tc>
        <w:tc>
          <w:tcPr>
            <w:tcW w:type="dxa" w:w="545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Factual accuracy, proof-reading, official designations, appropriate photographs and video</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Met</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4</w:t>
            </w:r>
          </w:p>
        </w:tc>
        <w:tc>
          <w:tcPr>
            <w:tcW w:type="dxa" w:w="545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Approved models, departmental information, embeddings, vector database, secure on-premises AI controlled by the Directorate</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Met in part. The proposal provides for a private stack on departmental infrastructure, but also carries a provision of ₹55 lakh for metered external technology services, and does not state which processing remains within the Directorate’s control and which does not.</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w:t>
            </w:r>
          </w:p>
        </w:tc>
        <w:tc>
          <w:tcPr>
            <w:tcW w:type="dxa" w:w="545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Avoidance of duplication, ready availability of references, consistent multi-media content</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Met</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6</w:t>
            </w:r>
          </w:p>
        </w:tc>
        <w:tc>
          <w:tcPr>
            <w:tcW w:type="dxa" w:w="545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Reduced dependence on scriptwriters, translators, transcribers, voice artists and video editors</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Met</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7</w:t>
            </w:r>
          </w:p>
        </w:tc>
        <w:tc>
          <w:tcPr>
            <w:tcW w:type="dxa" w:w="545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Reduced use of public AI applications, enhanced AI capability controlled by the Directorate</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Met in part, for the reason at objective 4</w:t>
            </w:r>
          </w:p>
        </w:tc>
      </w:tr>
      <w:tr>
        <w:trPr>
          <w:cantSplit/>
          <w:tblHeader w:val="false"/>
        </w:trPr>
        <w:tc>
          <w:tcPr>
            <w:tcW w:type="dxa" w:w="780"/>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8</w:t>
            </w:r>
          </w:p>
        </w:tc>
        <w:tc>
          <w:tcPr>
            <w:tcW w:type="dxa" w:w="545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 model capable of integrating with the Government’s MahaAI, Sarvam, Indus and similar platforms</w:t>
            </w:r>
          </w:p>
        </w:tc>
        <w:tc>
          <w:tcPr>
            <w:tcW w:type="dxa" w:w="3509"/>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Not addressed. The proposal provides generally for approved integrations but does not name these platforms or describe how integration is to be effected.</w:t>
            </w:r>
          </w:p>
        </w:tc>
      </w:tr>
    </w:tbl>
    <w:p>
      <w:pPr>
        <w:spacing w:after="140"/>
      </w:pPr>
      <w:r>
        <w:rPr>
          <w:sz w:val="12"/>
          <w:szCs w:val="12"/>
        </w:rPr>
        <w:t xml:space="preserve"/>
      </w:r>
    </w:p>
    <w:tbl>
      <w:tblPr>
        <w:tblW w:type="dxa" w:w="9746"/>
        <w:tblBorders>
          <w:top w:val="single" w:color="B9C0C7" w:sz="4"/>
          <w:left w:val="single" w:color="17365D" w:sz="18"/>
          <w:bottom w:val="single" w:color="B9C0C7" w:sz="4"/>
          <w:right w:val="single" w:color="B9C0C7" w:sz="4"/>
          <w:insideH w:val="none" w:color="FFFFFF" w:sz="0"/>
          <w:insideV w:val="none" w:color="FFFFFF" w:sz="0"/>
        </w:tblBorders>
        <w:tblLayout w:type="fixed"/>
      </w:tblPr>
      <w:tblGrid>
        <w:gridCol w:w="9746"/>
      </w:tblGrid>
      <w:tr>
        <w:trPr>
          <w:cantSplit w:val="false"/>
        </w:trPr>
        <w:tc>
          <w:tcPr>
            <w:tcW w:type="dxa" w:w="9746"/>
            <w:shd w:fill="F4F7F9" w:color="auto" w:val="clear"/>
            <w:tcMar>
              <w:top w:type="dxa" w:w="120"/>
              <w:left w:type="dxa" w:w="160"/>
              <w:bottom w:type="dxa" w:w="120"/>
              <w:right w:type="dxa" w:w="140"/>
            </w:tcMar>
          </w:tcPr>
          <w:p>
            <w:pPr>
              <w:spacing w:after="60"/>
            </w:pPr>
            <w:r>
              <w:rPr>
                <w:rFonts w:ascii="Calibri" w:cs="Calibri" w:eastAsia="Calibri" w:hAnsi="Calibri"/>
                <w:b/>
                <w:bCs/>
                <w:color w:val="17365D"/>
                <w:sz w:val="19"/>
                <w:szCs w:val="19"/>
              </w:rPr>
              <w:t xml:space="preserve">Point requiring particular attention</w:t>
            </w:r>
          </w:p>
          <w:p>
            <w:pPr>
              <w:spacing w:line="254"/>
              <w:jc w:val="both"/>
            </w:pPr>
            <w:r>
              <w:rPr>
                <w:rFonts w:ascii="Calibri" w:cs="Calibri" w:eastAsia="Calibri" w:hAnsi="Calibri"/>
                <w:color w:val="1A1A1A"/>
                <w:sz w:val="19"/>
                <w:szCs w:val="19"/>
              </w:rPr>
              <w:t xml:space="preserve">Objectives 1, 4 and 7 of the note are directed at keeping the Directorate’s official, sensitive and unpublished material within the Directorate’s own control. The proposal accepts that principle but does not state the boundary between processing performed on departmental infrastructure and processing sent to external metered services. This is the single matter on which the Directorate should require a written statement before any commitment is made, since the whole justification for a departmentally controlled AI NewsRoom rests upon it.</w:t>
            </w:r>
          </w:p>
        </w:tc>
      </w:tr>
    </w:tbl>
    <w:p>
      <w:r>
        <w:br w:type="page"/>
      </w:r>
    </w:p>
    <w:p>
      <w:pPr>
        <w:keepNext w:val="false"/>
        <w:spacing w:after="120" w:before="0" w:line="264"/>
        <w:jc w:val="both"/>
      </w:pPr>
      <w:r>
        <w:rPr>
          <w:rFonts w:ascii="Calibri" w:cs="Calibri" w:eastAsia="Calibri" w:hAnsi="Calibri"/>
          <w:b/>
          <w:bCs/>
          <w:i w:val="false"/>
          <w:iCs w:val="false"/>
          <w:caps w:val="false"/>
          <w:color w:val="1A1A1A"/>
          <w:sz w:val="20"/>
          <w:szCs w:val="20"/>
        </w:rPr>
        <w:t xml:space="preserve">6.  Financial examination.  </w:t>
      </w:r>
      <w:r>
        <w:rPr>
          <w:rFonts w:ascii="Calibri" w:cs="Calibri" w:eastAsia="Calibri" w:hAnsi="Calibri"/>
          <w:b w:val="false"/>
          <w:bCs w:val="false"/>
          <w:i w:val="false"/>
          <w:iCs w:val="false"/>
          <w:caps w:val="false"/>
          <w:color w:val="1A1A1A"/>
          <w:sz w:val="20"/>
          <w:szCs w:val="20"/>
        </w:rPr>
        <w:t xml:space="preserve">The offer is compared with the estimate in the note as follows.</w:t>
      </w:r>
    </w:p>
    <w:p>
      <w:pPr>
        <w:spacing w:after="60"/>
      </w:pPr>
      <w:r>
        <w:rPr>
          <w:sz w:val="12"/>
          <w:szCs w:val="12"/>
        </w:rPr>
        <w:t xml:space="preserve"/>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4483"/>
        <w:gridCol w:w="2631"/>
        <w:gridCol w:w="2631"/>
      </w:tblGrid>
      <w:tr>
        <w:trPr>
          <w:cantSplit/>
          <w:tblHeader/>
        </w:trPr>
        <w:tc>
          <w:tcPr>
            <w:tcW w:type="dxa" w:w="4483"/>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Particulars</w:t>
            </w:r>
          </w:p>
        </w:tc>
        <w:tc>
          <w:tcPr>
            <w:tcW w:type="dxa" w:w="2631"/>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Estimate in the note</w:t>
            </w:r>
          </w:p>
        </w:tc>
        <w:tc>
          <w:tcPr>
            <w:tcW w:type="dxa" w:w="2631"/>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Offer received</w:t>
            </w:r>
          </w:p>
        </w:tc>
      </w:tr>
      <w:tr>
        <w:trPr>
          <w:cantSplit/>
          <w:tblHeader w:val="false"/>
        </w:trPr>
        <w:tc>
          <w:tcPr>
            <w:tcW w:type="dxa" w:w="448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Development of the AI model (platform)</w:t>
            </w:r>
          </w:p>
        </w:tc>
        <w:tc>
          <w:tcPr>
            <w:tcW w:type="dxa" w:w="263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₹3.75 crore</w:t>
            </w:r>
          </w:p>
        </w:tc>
        <w:tc>
          <w:tcPr>
            <w:tcW w:type="dxa" w:w="263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₹3.75 crore</w:t>
            </w:r>
          </w:p>
        </w:tc>
      </w:tr>
      <w:tr>
        <w:trPr>
          <w:cantSplit/>
          <w:tblHeader w:val="false"/>
        </w:trPr>
        <w:tc>
          <w:tcPr>
            <w:tcW w:type="dxa" w:w="448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Training of the model and changes as required</w:t>
            </w:r>
          </w:p>
        </w:tc>
        <w:tc>
          <w:tcPr>
            <w:tcW w:type="dxa" w:w="263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₹1.25 crore</w:t>
            </w:r>
          </w:p>
        </w:tc>
        <w:tc>
          <w:tcPr>
            <w:tcW w:type="dxa" w:w="263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₹1.25 crore</w:t>
            </w:r>
          </w:p>
        </w:tc>
      </w:tr>
      <w:tr>
        <w:trPr>
          <w:cantSplit/>
          <w:tblHeader w:val="false"/>
        </w:trPr>
        <w:tc>
          <w:tcPr>
            <w:tcW w:type="dxa" w:w="448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Value before tax</w:t>
            </w:r>
          </w:p>
        </w:tc>
        <w:tc>
          <w:tcPr>
            <w:tcW w:type="dxa" w:w="263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₹5.00 crore</w:t>
            </w:r>
          </w:p>
        </w:tc>
        <w:tc>
          <w:tcPr>
            <w:tcW w:type="dxa" w:w="263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₹5.00 crore</w:t>
            </w:r>
          </w:p>
        </w:tc>
      </w:tr>
      <w:tr>
        <w:trPr>
          <w:cantSplit/>
          <w:tblHeader w:val="false"/>
        </w:trPr>
        <w:tc>
          <w:tcPr>
            <w:tcW w:type="dxa" w:w="448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Goods and services tax at 18 per cent</w:t>
            </w:r>
          </w:p>
        </w:tc>
        <w:tc>
          <w:tcPr>
            <w:tcW w:type="dxa" w:w="263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₹0.90 crore</w:t>
            </w:r>
          </w:p>
        </w:tc>
        <w:tc>
          <w:tcPr>
            <w:tcW w:type="dxa" w:w="263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Not stated in the proposal</w:t>
            </w:r>
          </w:p>
        </w:tc>
      </w:tr>
      <w:tr>
        <w:trPr>
          <w:cantSplit/>
          <w:tblHeader w:val="false"/>
        </w:trPr>
        <w:tc>
          <w:tcPr>
            <w:tcW w:type="dxa" w:w="4483"/>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Total</w:t>
            </w:r>
          </w:p>
        </w:tc>
        <w:tc>
          <w:tcPr>
            <w:tcW w:type="dxa" w:w="2631"/>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₹5.90 crore</w:t>
            </w:r>
          </w:p>
        </w:tc>
        <w:tc>
          <w:tcPr>
            <w:tcW w:type="dxa" w:w="2631"/>
            <w:shd w:fill="F4F7F9"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₹5.90 crore, if the offer is exclusive of tax</w:t>
            </w:r>
          </w:p>
        </w:tc>
      </w:tr>
      <w:tr>
        <w:trPr>
          <w:cantSplit/>
          <w:tblHeader w:val="false"/>
        </w:trPr>
        <w:tc>
          <w:tcPr>
            <w:tcW w:type="dxa" w:w="448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Ratio of development to training and changes</w:t>
            </w:r>
          </w:p>
        </w:tc>
        <w:tc>
          <w:tcPr>
            <w:tcW w:type="dxa" w:w="263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75 : 25</w:t>
            </w:r>
          </w:p>
        </w:tc>
        <w:tc>
          <w:tcPr>
            <w:tcW w:type="dxa" w:w="2631"/>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75 : 25</w:t>
            </w:r>
          </w:p>
        </w:tc>
      </w:tr>
    </w:tbl>
    <w:p>
      <w:pPr>
        <w:spacing w:after="120"/>
      </w:pPr>
      <w:r>
        <w:rPr>
          <w:sz w:val="12"/>
          <w:szCs w:val="12"/>
        </w:rPr>
        <w:t xml:space="preserve"/>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The offer is therefore equal to the estimate in every particular, and each of the eight service lines of the operating estimate is reproduced at the same figure. The internal allocation within the development part has been re-arranged — the video block is reduced by ₹18 lakh and the assistant, history and administration block by ₹23 lakh, while a separately priced mobile application of ₹28 lakh has been added — but the total is unchanged at ₹3.75 crore.</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It follows that the Directorate has before it a single proposal at exactly its own estimated figure. This affords no evidence of the price at which this work may be obtained in the market. The note itself provides for appointment through the e-tender process on the basis of quality and cost, and it is respectfully submitted that this proposal should be treated as an input to the estimate and to the technical requirements of that tender, and not as a basis for appointment.</w:t>
      </w:r>
    </w:p>
    <w:p>
      <w:pPr>
        <w:keepNext w:val="false"/>
        <w:spacing w:after="120" w:before="0" w:line="264"/>
        <w:jc w:val="both"/>
      </w:pPr>
      <w:r>
        <w:rPr>
          <w:rFonts w:ascii="Calibri" w:cs="Calibri" w:eastAsia="Calibri" w:hAnsi="Calibri"/>
          <w:b/>
          <w:bCs/>
          <w:i w:val="false"/>
          <w:iCs w:val="false"/>
          <w:caps w:val="false"/>
          <w:color w:val="1A1A1A"/>
          <w:sz w:val="20"/>
          <w:szCs w:val="20"/>
        </w:rPr>
        <w:t xml:space="preserve">7.  Head of account.  </w:t>
      </w:r>
      <w:r>
        <w:rPr>
          <w:rFonts w:ascii="Calibri" w:cs="Calibri" w:eastAsia="Calibri" w:hAnsi="Calibri"/>
          <w:b w:val="false"/>
          <w:bCs w:val="false"/>
          <w:i w:val="false"/>
          <w:iCs w:val="false"/>
          <w:caps w:val="false"/>
          <w:color w:val="1A1A1A"/>
          <w:sz w:val="20"/>
          <w:szCs w:val="20"/>
        </w:rPr>
        <w:t xml:space="preserve">The expenditure of approximately ₹5.90 crore will be met from the sanctioned grant of the relevant financial year under the head General Administration Department, Demand No. A-6, Major Head 2220 — Information and Publicity, 60 — Other Expenditure, 101 — Advertising and Visual Publicity, (00)(03) Special Publicity Campaign of Government Schemes (Under Scheme), 26 — Advertising and Publicity, Computer Code 2220 1175, as recorded in the note.</w:t>
      </w:r>
    </w:p>
    <w:p>
      <w:pPr>
        <w:keepNext w:val="false"/>
        <w:spacing w:after="120" w:before="0" w:line="264"/>
        <w:jc w:val="both"/>
      </w:pPr>
      <w:r>
        <w:rPr>
          <w:rFonts w:ascii="Calibri" w:cs="Calibri" w:eastAsia="Calibri" w:hAnsi="Calibri"/>
          <w:b/>
          <w:bCs/>
          <w:i w:val="false"/>
          <w:iCs w:val="false"/>
          <w:caps w:val="false"/>
          <w:color w:val="1A1A1A"/>
          <w:sz w:val="20"/>
          <w:szCs w:val="20"/>
        </w:rPr>
        <w:t xml:space="preserve">8.  Financial powers.  </w:t>
      </w:r>
      <w:r>
        <w:rPr>
          <w:rFonts w:ascii="Calibri" w:cs="Calibri" w:eastAsia="Calibri" w:hAnsi="Calibri"/>
          <w:b w:val="false"/>
          <w:bCs w:val="false"/>
          <w:i w:val="false"/>
          <w:iCs w:val="false"/>
          <w:caps w:val="false"/>
          <w:color w:val="1A1A1A"/>
          <w:sz w:val="20"/>
          <w:szCs w:val="20"/>
        </w:rPr>
        <w:t xml:space="preserve">The proposal is to be issued under the powers conferred on the Administrative Department at serial 4, Rule 27(2), under the paragraphs of the Maharashtra Budget Manual read with Sub-division Three of the Government Decision of the Finance Department No. Viapra-2013/Pra.Kra.30/2013/Viniyam, Part II, dated 17 April 2015, as recorded in the note. The examination in this appraisal does not alter that position.</w:t>
      </w:r>
    </w:p>
    <w:p>
      <w:pPr>
        <w:keepNext w:val="false"/>
        <w:spacing w:after="120" w:before="0" w:line="264"/>
        <w:jc w:val="both"/>
      </w:pPr>
      <w:r>
        <w:rPr>
          <w:rFonts w:ascii="Calibri" w:cs="Calibri" w:eastAsia="Calibri" w:hAnsi="Calibri"/>
          <w:b/>
          <w:bCs/>
          <w:i w:val="false"/>
          <w:iCs w:val="false"/>
          <w:caps w:val="false"/>
          <w:color w:val="1A1A1A"/>
          <w:sz w:val="20"/>
          <w:szCs w:val="20"/>
        </w:rPr>
        <w:t xml:space="preserve">9.  Matters requiring the decision of the competent authority.  </w:t>
      </w:r>
      <w:r>
        <w:rPr>
          <w:rFonts w:ascii="Calibri" w:cs="Calibri" w:eastAsia="Calibri" w:hAnsi="Calibri"/>
          <w:b w:val="false"/>
          <w:bCs w:val="false"/>
          <w:i w:val="false"/>
          <w:iCs w:val="false"/>
          <w:caps w:val="false"/>
          <w:color w:val="1A1A1A"/>
          <w:sz w:val="20"/>
          <w:szCs w:val="20"/>
        </w:rPr>
        <w:t xml:space="preserve">The following arise from the examination and are placed for orders.</w:t>
      </w:r>
    </w:p>
    <w:p>
      <w:pPr>
        <w:pStyle w:val="ListParagraph"/>
        <w:numPr>
          <w:ilvl w:val="0"/>
          <w:numId w:val="2"/>
        </w:numPr>
        <w:spacing w:after="100" w:line="264"/>
        <w:jc w:val="both"/>
      </w:pPr>
      <w:r>
        <w:rPr>
          <w:rFonts w:ascii="Calibri" w:cs="Calibri" w:eastAsia="Calibri" w:hAnsi="Calibri"/>
          <w:b w:val="false"/>
          <w:bCs w:val="false"/>
          <w:i w:val="false"/>
          <w:iCs w:val="false"/>
          <w:color w:val="1A1A1A"/>
          <w:sz w:val="20"/>
          <w:szCs w:val="20"/>
        </w:rPr>
        <w:t xml:space="preserve">Whether the offer of ₹5.00 crore is inclusive or exclusive of the goods-and-services tax should be obtained in writing. If it is inclusive, the Directorate would obtain the work for ₹5.00 crore against a sanctioned ₹5.90 crore.</w:t>
      </w:r>
    </w:p>
    <w:p>
      <w:pPr>
        <w:pStyle w:val="ListParagraph"/>
        <w:numPr>
          <w:ilvl w:val="0"/>
          <w:numId w:val="2"/>
        </w:numPr>
        <w:spacing w:after="100" w:line="264"/>
        <w:jc w:val="both"/>
      </w:pPr>
      <w:r>
        <w:rPr>
          <w:rFonts w:ascii="Calibri" w:cs="Calibri" w:eastAsia="Calibri" w:hAnsi="Calibri"/>
          <w:b w:val="false"/>
          <w:bCs w:val="false"/>
          <w:i w:val="false"/>
          <w:iCs w:val="false"/>
          <w:color w:val="1A1A1A"/>
          <w:sz w:val="20"/>
          <w:szCs w:val="20"/>
        </w:rPr>
        <w:t xml:space="preserve">A written statement should be required setting out which processing is performed on infrastructure controlled by the Directorate and which is sent to external metered services; and, for each external service, what data leaves the Directorate’s control, where it is processed, for how long it is retained, and the contractual position on its use for training any model.</w:t>
      </w:r>
    </w:p>
    <w:p>
      <w:pPr>
        <w:pStyle w:val="ListParagraph"/>
        <w:numPr>
          <w:ilvl w:val="0"/>
          <w:numId w:val="2"/>
        </w:numPr>
        <w:spacing w:after="100" w:line="264"/>
        <w:jc w:val="both"/>
      </w:pPr>
      <w:r>
        <w:rPr>
          <w:rFonts w:ascii="Calibri" w:cs="Calibri" w:eastAsia="Calibri" w:hAnsi="Calibri"/>
          <w:b w:val="false"/>
          <w:bCs w:val="false"/>
          <w:i w:val="false"/>
          <w:iCs w:val="false"/>
          <w:color w:val="1A1A1A"/>
          <w:sz w:val="20"/>
          <w:szCs w:val="20"/>
        </w:rPr>
        <w:t xml:space="preserve">The manner of integration with the Government’s MahaAI, Sarvam and Indus platforms should be obtained, objective 8 of the note being presently unaddressed. The Directorate may also consider whether any part of the offered scope — in particular the general-purpose work assistant and the Marathi speech capability — is already available to it through the deployment sanctioned by the Electronics, Information Technology and Artificial Intelligence Department, so that it need not be procured a second time.</w:t>
      </w:r>
    </w:p>
    <w:p>
      <w:pPr>
        <w:pStyle w:val="ListParagraph"/>
        <w:numPr>
          <w:ilvl w:val="0"/>
          <w:numId w:val="2"/>
        </w:numPr>
        <w:spacing w:after="100" w:line="264"/>
        <w:jc w:val="both"/>
      </w:pPr>
      <w:r>
        <w:rPr>
          <w:rFonts w:ascii="Calibri" w:cs="Calibri" w:eastAsia="Calibri" w:hAnsi="Calibri"/>
          <w:b w:val="false"/>
          <w:bCs w:val="false"/>
          <w:i w:val="false"/>
          <w:iCs w:val="false"/>
          <w:color w:val="1A1A1A"/>
          <w:sz w:val="20"/>
          <w:szCs w:val="20"/>
        </w:rPr>
        <w:t xml:space="preserve">The payment structure requires reconsideration. Under the structure in the note, ₹3.75 crore — being 75 per cent of the value — would fall due on acceptance at the end of the first month. On the proposal’s own release plan, three of the eight product components, namely creatives, video and media monitoring, are not delivered until between the fourth and the twelfth month. The proposal itself offers, in the alternative, to invoice against acceptance of four scheduled releases. That alternative is materially safer for the Directorate and may be adopted.</w:t>
      </w:r>
    </w:p>
    <w:p>
      <w:pPr>
        <w:pStyle w:val="ListParagraph"/>
        <w:numPr>
          <w:ilvl w:val="0"/>
          <w:numId w:val="2"/>
        </w:numPr>
        <w:spacing w:after="100" w:line="264"/>
        <w:jc w:val="both"/>
      </w:pPr>
      <w:r>
        <w:rPr>
          <w:rFonts w:ascii="Calibri" w:cs="Calibri" w:eastAsia="Calibri" w:hAnsi="Calibri"/>
          <w:b w:val="false"/>
          <w:bCs w:val="false"/>
          <w:i w:val="false"/>
          <w:iCs w:val="false"/>
          <w:color w:val="1A1A1A"/>
          <w:sz w:val="20"/>
          <w:szCs w:val="20"/>
        </w:rPr>
        <w:t xml:space="preserve">Item 24 of the scope of work requires international multi-language translation, and the proposal offers English and Hindi only. The languages to be included within the offered value, and the terms on which further languages may be added, should be settled in writing.</w:t>
      </w:r>
    </w:p>
    <w:p>
      <w:pPr>
        <w:pStyle w:val="ListParagraph"/>
        <w:numPr>
          <w:ilvl w:val="0"/>
          <w:numId w:val="2"/>
        </w:numPr>
        <w:spacing w:after="100" w:line="264"/>
        <w:jc w:val="both"/>
      </w:pPr>
      <w:r>
        <w:rPr>
          <w:rFonts w:ascii="Calibri" w:cs="Calibri" w:eastAsia="Calibri" w:hAnsi="Calibri"/>
          <w:b w:val="false"/>
          <w:bCs w:val="false"/>
          <w:i w:val="false"/>
          <w:iCs w:val="false"/>
          <w:color w:val="1A1A1A"/>
          <w:sz w:val="20"/>
          <w:szCs w:val="20"/>
        </w:rPr>
        <w:t xml:space="preserve">The newspaper subscriptions, e-paper licences and content licensing required for newspaper monitoring are excluded from the offer and are not provided for in the estimate of ₹5.90 crore. An estimate of that cost should be obtained, and either provided for separately or the component deferred.</w:t>
      </w:r>
    </w:p>
    <w:p>
      <w:pPr>
        <w:pStyle w:val="ListParagraph"/>
        <w:numPr>
          <w:ilvl w:val="0"/>
          <w:numId w:val="2"/>
        </w:numPr>
        <w:spacing w:after="100" w:line="264"/>
        <w:jc w:val="both"/>
      </w:pPr>
      <w:r>
        <w:rPr>
          <w:rFonts w:ascii="Calibri" w:cs="Calibri" w:eastAsia="Calibri" w:hAnsi="Calibri"/>
          <w:b w:val="false"/>
          <w:bCs w:val="false"/>
          <w:i w:val="false"/>
          <w:iCs w:val="false"/>
          <w:color w:val="1A1A1A"/>
          <w:sz w:val="20"/>
          <w:szCs w:val="20"/>
        </w:rPr>
        <w:t xml:space="preserve">The ownership of the source code, model configuration, prompts, glossary, templates, embeddings and all departmental data, and the arrangements for transition and continued departmental use at the end of the term, are not stated and should be settled at the contracting stage.</w:t>
      </w:r>
    </w:p>
    <w:p>
      <w:pPr>
        <w:pStyle w:val="ListParagraph"/>
        <w:numPr>
          <w:ilvl w:val="0"/>
          <w:numId w:val="2"/>
        </w:numPr>
        <w:spacing w:after="100" w:line="264"/>
        <w:jc w:val="both"/>
      </w:pPr>
      <w:r>
        <w:rPr>
          <w:rFonts w:ascii="Calibri" w:cs="Calibri" w:eastAsia="Calibri" w:hAnsi="Calibri"/>
          <w:b w:val="false"/>
          <w:bCs w:val="false"/>
          <w:i w:val="false"/>
          <w:iCs w:val="false"/>
          <w:color w:val="1A1A1A"/>
          <w:sz w:val="20"/>
          <w:szCs w:val="20"/>
        </w:rPr>
        <w:t xml:space="preserve">Written confirmation should be obtained from the Electronics, Information Technology and Artificial Intelligence Department of the availability and timing of the enterprise-grade GPU compute, high-speed storage, networking, power protection and cooling support, since the requirement that the platform go live within one month depends entirely upon it.</w:t>
      </w:r>
    </w:p>
    <w:p>
      <w:r>
        <w:br w:type="page"/>
      </w:r>
    </w:p>
    <w:p>
      <w:pPr>
        <w:keepNext w:val="false"/>
        <w:spacing w:after="120" w:before="0" w:line="264"/>
        <w:jc w:val="both"/>
      </w:pPr>
      <w:r>
        <w:rPr>
          <w:rFonts w:ascii="Calibri" w:cs="Calibri" w:eastAsia="Calibri" w:hAnsi="Calibri"/>
          <w:b/>
          <w:bCs/>
          <w:i w:val="false"/>
          <w:iCs w:val="false"/>
          <w:caps w:val="false"/>
          <w:color w:val="1A1A1A"/>
          <w:sz w:val="20"/>
          <w:szCs w:val="20"/>
        </w:rPr>
        <w:t xml:space="preserve">10.  Conditions recommended.  </w:t>
      </w:r>
      <w:r>
        <w:rPr>
          <w:rFonts w:ascii="Calibri" w:cs="Calibri" w:eastAsia="Calibri" w:hAnsi="Calibri"/>
          <w:b w:val="false"/>
          <w:bCs w:val="false"/>
          <w:i w:val="false"/>
          <w:iCs w:val="false"/>
          <w:caps w:val="false"/>
          <w:color w:val="1A1A1A"/>
          <w:sz w:val="20"/>
          <w:szCs w:val="20"/>
        </w:rPr>
        <w:t xml:space="preserve">If the establishment of the AI NewsRoom is approved, it is recommended that the following be provided for in the tender document and in the contract.</w:t>
      </w:r>
    </w:p>
    <w:tbl>
      <w:tblPr>
        <w:tblW w:type="dxa" w:w="9746"/>
        <w:tblBorders>
          <w:top w:val="single" w:color="B9C0C7" w:sz="4"/>
          <w:left w:val="single" w:color="B9C0C7" w:sz="4"/>
          <w:bottom w:val="single" w:color="B9C0C7" w:sz="4"/>
          <w:right w:val="single" w:color="B9C0C7" w:sz="4"/>
          <w:insideH w:val="single" w:color="B9C0C7" w:sz="4"/>
          <w:insideV w:val="single" w:color="B9C0C7" w:sz="4"/>
        </w:tblBorders>
        <w:tblLayout w:type="fixed"/>
      </w:tblPr>
      <w:tblGrid>
        <w:gridCol w:w="585"/>
        <w:gridCol w:w="3898"/>
        <w:gridCol w:w="5263"/>
      </w:tblGrid>
      <w:tr>
        <w:trPr>
          <w:cantSplit/>
          <w:tblHeader/>
        </w:trPr>
        <w:tc>
          <w:tcPr>
            <w:tcW w:type="dxa" w:w="585"/>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No.</w:t>
            </w:r>
          </w:p>
        </w:tc>
        <w:tc>
          <w:tcPr>
            <w:tcW w:type="dxa" w:w="3898"/>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Condition</w:t>
            </w:r>
          </w:p>
        </w:tc>
        <w:tc>
          <w:tcPr>
            <w:tcW w:type="dxa" w:w="5263"/>
            <w:shd w:fill="E8EDF1" w:color="auto" w:val="clear"/>
            <w:tcMar>
              <w:top w:type="dxa" w:w="70"/>
              <w:left w:type="dxa" w:w="110"/>
              <w:bottom w:type="dxa" w:w="70"/>
              <w:right w:type="dxa" w:w="110"/>
            </w:tcMar>
            <w:vAlign w:val="top"/>
          </w:tcPr>
          <w:p>
            <w:pPr>
              <w:spacing w:after="40" w:before="40" w:line="240"/>
              <w:jc w:val="left"/>
            </w:pPr>
            <w:r>
              <w:rPr>
                <w:rFonts w:ascii="Calibri" w:cs="Calibri" w:eastAsia="Calibri" w:hAnsi="Calibri"/>
                <w:b/>
                <w:bCs/>
                <w:i w:val="false"/>
                <w:iCs w:val="false"/>
                <w:color w:val="1A1A1A"/>
                <w:sz w:val="17"/>
                <w:szCs w:val="17"/>
              </w:rPr>
              <w:t xml:space="preserve">Reason</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Departmental information shall not be used to train any publicly available model, and final editorial and publication authority shall remain with authorised officers of the Directorate</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Objectives 1, 3, 4 and 7 of the note</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2</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Directorate shall own the source code, model configuration, prompts, glossary, templates and all data, with a perpetual right of use on expiry or termination</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To ensure that the institutional knowledge built during the year remains with the Directorate</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3</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Payment shall be released against acceptance of each scheduled release, and not in a single instalment at the end of the first month</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Paragraph 9(4) above</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4</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amount provided for metered technology services shall be payable only against consumption reported and certified each month; any unconsumed balance shall not be payable, and consumption above the ceiling shall require prior written approval</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₹55 lakh provision is a ceiling for consumption and not a fixed charge</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5</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Performance security of five to ten per cent of the contract value, valid through the term and for three months beyond it</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Ordinary safeguard for a contract of this value and duration</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6</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Measurable service levels for availability, for response and resolution by severity, and for turnaround of each class of output, with deductions on failure</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proposal states acceptance conditions but no service levels</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7</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two professionals to be stationed at headquarters shall meet stated minimum qualifications, and replacement shall be on notice and by a person of equivalent qualification</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To ensure that the on-site provision is not met by deployment of under-qualified staff</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8</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 component-wise acceptance conditions set out in the Annexure to the proposal shall be adopted as the acceptance schedule of the contract</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They are stated with precision and are a suitable basis for acceptance</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9</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 working demonstration on the Directorate’s own material — a meeting recording, a scanned Government Resolution and a press note — shall be held before technical marks are finally recorded</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 demonstration on the Directorate’s own material, and not on prepared examples, is the only reliable test of the Marathi capability on which this procurement turns</w:t>
            </w:r>
          </w:p>
        </w:tc>
      </w:tr>
      <w:tr>
        <w:trPr>
          <w:cantSplit/>
          <w:tblHeader w:val="false"/>
        </w:trPr>
        <w:tc>
          <w:tcPr>
            <w:tcW w:type="dxa" w:w="585"/>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10</w:t>
            </w:r>
          </w:p>
        </w:tc>
        <w:tc>
          <w:tcPr>
            <w:tcW w:type="dxa" w:w="3898"/>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A monthly work and consumption report shall be submitted, and shall be the condition precedent to the monthly bill</w:t>
            </w:r>
          </w:p>
        </w:tc>
        <w:tc>
          <w:tcPr>
            <w:tcW w:type="dxa" w:w="526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Provided for in the note; to be made a contractual condition</w:t>
            </w:r>
          </w:p>
        </w:tc>
      </w:tr>
    </w:tbl>
    <w:p>
      <w:pPr>
        <w:pStyle w:val="Heading2"/>
        <w:keepNext/>
        <w:spacing w:after="100" w:before="260"/>
      </w:pPr>
      <w:r>
        <w:rPr>
          <w:rFonts w:ascii="Cambria" w:cs="Cambria" w:eastAsia="Cambria" w:hAnsi="Cambria"/>
          <w:b/>
          <w:bCs/>
          <w:color w:val="17365D"/>
          <w:sz w:val="22"/>
          <w:szCs w:val="22"/>
        </w:rPr>
        <w:t xml:space="preserve">Proposal</w:t>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In view of the above, it is submitted that —</w:t>
      </w:r>
    </w:p>
    <w:p>
      <w:pPr>
        <w:pStyle w:val="ListParagraph"/>
        <w:numPr>
          <w:ilvl w:val="0"/>
          <w:numId w:val="3"/>
        </w:numPr>
        <w:spacing w:after="100" w:line="264"/>
        <w:jc w:val="both"/>
      </w:pPr>
      <w:r>
        <w:rPr>
          <w:rFonts w:ascii="Calibri" w:cs="Calibri" w:eastAsia="Calibri" w:hAnsi="Calibri"/>
          <w:b w:val="false"/>
          <w:bCs w:val="false"/>
          <w:i w:val="false"/>
          <w:iCs w:val="false"/>
          <w:color w:val="1A1A1A"/>
          <w:sz w:val="20"/>
          <w:szCs w:val="20"/>
        </w:rPr>
        <w:t xml:space="preserve">the proposal received has been examined and is found to cover the whole of the scope of work recorded in the note of this Branch, twenty-seven of the thirty items fully and three in part, with no item omitted;</w:t>
      </w:r>
    </w:p>
    <w:p>
      <w:pPr>
        <w:pStyle w:val="ListParagraph"/>
        <w:numPr>
          <w:ilvl w:val="0"/>
          <w:numId w:val="3"/>
        </w:numPr>
        <w:spacing w:after="100" w:line="264"/>
        <w:jc w:val="both"/>
      </w:pPr>
      <w:r>
        <w:rPr>
          <w:rFonts w:ascii="Calibri" w:cs="Calibri" w:eastAsia="Calibri" w:hAnsi="Calibri"/>
          <w:b w:val="false"/>
          <w:bCs w:val="false"/>
          <w:i w:val="false"/>
          <w:iCs w:val="false"/>
          <w:color w:val="1A1A1A"/>
          <w:sz w:val="20"/>
          <w:szCs w:val="20"/>
        </w:rPr>
        <w:t xml:space="preserve">the offer of ₹5.00 crore is equal to the estimate in the note in every particular, and the estimated expenditure of ₹5.90 crore recorded in the note is accordingly borne out by the proposal received;</w:t>
      </w:r>
    </w:p>
    <w:p>
      <w:pPr>
        <w:pStyle w:val="ListParagraph"/>
        <w:numPr>
          <w:ilvl w:val="0"/>
          <w:numId w:val="3"/>
        </w:numPr>
        <w:spacing w:after="100" w:line="264"/>
        <w:jc w:val="both"/>
      </w:pPr>
      <w:r>
        <w:rPr>
          <w:rFonts w:ascii="Calibri" w:cs="Calibri" w:eastAsia="Calibri" w:hAnsi="Calibri"/>
          <w:b w:val="false"/>
          <w:bCs w:val="false"/>
          <w:i w:val="false"/>
          <w:iCs w:val="false"/>
          <w:color w:val="1A1A1A"/>
          <w:sz w:val="20"/>
          <w:szCs w:val="20"/>
        </w:rPr>
        <w:t xml:space="preserve">since a single proposal at the estimated figure affords no evidence of the market price, the appointment should be made through the e-tender process on the basis of quality and cost as the note provides, the present examination being used to settle the technical requirements, the qualification criteria and the evaluation criteria of that tender; and</w:t>
      </w:r>
    </w:p>
    <w:p>
      <w:pPr>
        <w:pStyle w:val="ListParagraph"/>
        <w:numPr>
          <w:ilvl w:val="0"/>
          <w:numId w:val="3"/>
        </w:numPr>
        <w:spacing w:after="100" w:line="264"/>
        <w:jc w:val="both"/>
      </w:pPr>
      <w:r>
        <w:rPr>
          <w:rFonts w:ascii="Calibri" w:cs="Calibri" w:eastAsia="Calibri" w:hAnsi="Calibri"/>
          <w:b w:val="false"/>
          <w:bCs w:val="false"/>
          <w:i w:val="false"/>
          <w:iCs w:val="false"/>
          <w:color w:val="1A1A1A"/>
          <w:sz w:val="20"/>
          <w:szCs w:val="20"/>
        </w:rPr>
        <w:t xml:space="preserve">the matters at paragraph 9 should be obtained in writing and the conditions at paragraph 10 provided for in the tender document and in the contract.</w:t>
      </w:r>
    </w:p>
    <w:p>
      <w:pPr>
        <w:spacing w:after="120"/>
      </w:pPr>
      <w:r>
        <w:rPr>
          <w:sz w:val="12"/>
          <w:szCs w:val="12"/>
        </w:rPr>
        <w:t xml:space="preserve"/>
      </w:r>
    </w:p>
    <w:p>
      <w:pPr>
        <w:keepNext w:val="false"/>
        <w:spacing w:after="120" w:before="0" w:line="264"/>
        <w:jc w:val="both"/>
      </w:pPr>
      <w:r>
        <w:rPr>
          <w:rFonts w:ascii="Calibri" w:cs="Calibri" w:eastAsia="Calibri" w:hAnsi="Calibri"/>
          <w:b w:val="false"/>
          <w:bCs w:val="false"/>
          <w:i w:val="false"/>
          <w:iCs w:val="false"/>
          <w:caps w:val="false"/>
          <w:color w:val="1A1A1A"/>
          <w:sz w:val="20"/>
          <w:szCs w:val="20"/>
        </w:rPr>
        <w:t xml:space="preserve">If approved, the proposal for administrative and financial approval of the estimated expenditure of ₹5.90 crore (Rupees Five Crore Ninety Lakh only) for the establishment of the AI NewsRoom may be forwarded to Government under the signature of the Director (Information) (Administration), together with this appraisal.</w:t>
      </w:r>
    </w:p>
    <w:p>
      <w:pPr>
        <w:spacing w:after="180"/>
      </w:pPr>
      <w:r>
        <w:rPr>
          <w:sz w:val="12"/>
          <w:szCs w:val="12"/>
        </w:rPr>
        <w:t xml:space="preserve"/>
      </w:r>
    </w:p>
    <w:p>
      <w:pPr>
        <w:keepNext w:val="false"/>
        <w:spacing w:after="120" w:before="0" w:line="264"/>
        <w:jc w:val="both"/>
      </w:pPr>
      <w:r>
        <w:rPr>
          <w:rFonts w:ascii="Calibri" w:cs="Calibri" w:eastAsia="Calibri" w:hAnsi="Calibri"/>
          <w:b/>
          <w:bCs/>
          <w:i w:val="false"/>
          <w:iCs w:val="false"/>
          <w:caps w:val="false"/>
          <w:color w:val="1A1A1A"/>
          <w:sz w:val="20"/>
          <w:szCs w:val="20"/>
        </w:rPr>
        <w:t xml:space="preserve">Submitted for approval and orders.</w:t>
      </w:r>
    </w:p>
    <w:p>
      <w:pPr>
        <w:spacing w:after="360"/>
      </w:pPr>
      <w:r>
        <w:rPr>
          <w:sz w:val="12"/>
          <w:szCs w:val="12"/>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blHeader w:val="false"/>
        </w:trPr>
        <w:tc>
          <w:tcPr>
            <w:tcW w:type="dxa" w:w="487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________________________________</w:t>
            </w:r>
          </w:p>
          <w:p>
            <w:pPr>
              <w:spacing w:after="40" w:before="40" w:line="240"/>
              <w:jc w:val="left"/>
            </w:pPr>
            <w:r>
              <w:rPr>
                <w:rFonts w:ascii="Calibri" w:cs="Calibri" w:eastAsia="Calibri" w:hAnsi="Calibri"/>
                <w:b w:val="false"/>
                <w:bCs w:val="false"/>
                <w:i w:val="false"/>
                <w:iCs w:val="false"/>
                <w:color w:val="1A1A1A"/>
                <w:sz w:val="17"/>
                <w:szCs w:val="17"/>
              </w:rPr>
              <w:t xml:space="preserve">Senior Assistant Director (New Media)</w:t>
            </w:r>
          </w:p>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487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________________________________</w:t>
            </w:r>
          </w:p>
          <w:p>
            <w:pPr>
              <w:spacing w:after="40" w:before="40" w:line="240"/>
              <w:jc w:val="left"/>
            </w:pPr>
            <w:r>
              <w:rPr>
                <w:rFonts w:ascii="Calibri" w:cs="Calibri" w:eastAsia="Calibri" w:hAnsi="Calibri"/>
                <w:b w:val="false"/>
                <w:bCs w:val="false"/>
                <w:i w:val="false"/>
                <w:iCs w:val="false"/>
                <w:color w:val="1A1A1A"/>
                <w:sz w:val="17"/>
                <w:szCs w:val="17"/>
              </w:rPr>
              <w:t xml:space="preserve">Deputy Director (News)</w:t>
            </w:r>
          </w:p>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
            </w:r>
          </w:p>
        </w:tc>
      </w:tr>
      <w:tr>
        <w:trPr>
          <w:cantSplit/>
          <w:tblHeader w:val="false"/>
        </w:trPr>
        <w:tc>
          <w:tcPr>
            <w:tcW w:type="dxa" w:w="487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________________________________</w:t>
            </w:r>
          </w:p>
          <w:p>
            <w:pPr>
              <w:spacing w:after="40" w:before="40" w:line="240"/>
              <w:jc w:val="left"/>
            </w:pPr>
            <w:r>
              <w:rPr>
                <w:rFonts w:ascii="Calibri" w:cs="Calibri" w:eastAsia="Calibri" w:hAnsi="Calibri"/>
                <w:b w:val="false"/>
                <w:bCs w:val="false"/>
                <w:i w:val="false"/>
                <w:iCs w:val="false"/>
                <w:color w:val="1A1A1A"/>
                <w:sz w:val="17"/>
                <w:szCs w:val="17"/>
              </w:rPr>
              <w:t xml:space="preserve">Deputy Director (Accounts)</w:t>
            </w:r>
          </w:p>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
            </w:r>
          </w:p>
        </w:tc>
        <w:tc>
          <w:tcPr>
            <w:tcW w:type="dxa" w:w="4873"/>
            <w:tcMar>
              <w:top w:type="dxa" w:w="70"/>
              <w:left w:type="dxa" w:w="110"/>
              <w:bottom w:type="dxa" w:w="70"/>
              <w:right w:type="dxa" w:w="110"/>
            </w:tcMar>
            <w:vAlign w:val="top"/>
          </w:tcPr>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________________________________</w:t>
            </w:r>
          </w:p>
          <w:p>
            <w:pPr>
              <w:spacing w:after="40" w:before="40" w:line="240"/>
              <w:jc w:val="left"/>
            </w:pPr>
            <w:r>
              <w:rPr>
                <w:rFonts w:ascii="Calibri" w:cs="Calibri" w:eastAsia="Calibri" w:hAnsi="Calibri"/>
                <w:b w:val="false"/>
                <w:bCs w:val="false"/>
                <w:i w:val="false"/>
                <w:iCs w:val="false"/>
                <w:color w:val="1A1A1A"/>
                <w:sz w:val="17"/>
                <w:szCs w:val="17"/>
              </w:rPr>
              <w:t xml:space="preserve">Director (Information) (Administration)</w:t>
            </w:r>
          </w:p>
          <w:p>
            <w:pPr>
              <w:spacing w:after="40" w:before="40" w:line="240"/>
              <w:jc w:val="left"/>
            </w:pPr>
            <w:r>
              <w:rPr>
                <w:rFonts w:ascii="Calibri" w:cs="Calibri" w:eastAsia="Calibri" w:hAnsi="Calibri"/>
                <w:b w:val="false"/>
                <w:bCs w:val="false"/>
                <w:i w:val="false"/>
                <w:iCs w:val="false"/>
                <w:color w:val="1A1A1A"/>
                <w:sz w:val="17"/>
                <w:szCs w:val="17"/>
              </w:rPr>
              <w:t xml:space="preserve"/>
            </w:r>
          </w:p>
          <w:p>
            <w:pPr>
              <w:spacing w:after="40" w:before="40" w:line="240"/>
              <w:jc w:val="left"/>
            </w:pPr>
            <w:r>
              <w:rPr>
                <w:rFonts w:ascii="Calibri" w:cs="Calibri" w:eastAsia="Calibri" w:hAnsi="Calibri"/>
                <w:b w:val="false"/>
                <w:bCs w:val="false"/>
                <w:i w:val="false"/>
                <w:iCs w:val="false"/>
                <w:color w:val="1A1A1A"/>
                <w:sz w:val="17"/>
                <w:szCs w:val="17"/>
              </w:rPr>
              <w:t xml:space="preserve"/>
            </w:r>
          </w:p>
        </w:tc>
      </w:tr>
    </w:tbl>
    <w:p>
      <w:pPr>
        <w:spacing w:after="160"/>
      </w:pPr>
      <w:r>
        <w:rPr>
          <w:sz w:val="12"/>
          <w:szCs w:val="12"/>
        </w:rPr>
        <w:t xml:space="preserve"/>
      </w:r>
    </w:p>
    <w:p>
      <w:pPr>
        <w:keepNext w:val="false"/>
        <w:spacing w:after="120" w:before="0" w:line="264"/>
        <w:jc w:val="center"/>
      </w:pPr>
      <w:r>
        <w:rPr>
          <w:rFonts w:ascii="Calibri" w:cs="Calibri" w:eastAsia="Calibri" w:hAnsi="Calibri"/>
          <w:b/>
          <w:bCs/>
          <w:i w:val="false"/>
          <w:iCs w:val="false"/>
          <w:caps w:val="false"/>
          <w:color w:val="1A1A1A"/>
          <w:sz w:val="20"/>
          <w:szCs w:val="20"/>
        </w:rPr>
        <w:t xml:space="preserve">Director General of Information and Public Relations</w:t>
      </w:r>
    </w:p>
    <w:p>
      <w:pPr>
        <w:spacing w:after="400"/>
      </w:pPr>
      <w:r>
        <w:rPr>
          <w:sz w:val="12"/>
          <w:szCs w:val="12"/>
        </w:rPr>
        <w:t xml:space="preserve"/>
      </w:r>
    </w:p>
    <w:tbl>
      <w:tblPr>
        <w:tblW w:type="dxa" w:w="9746"/>
        <w:tblBorders>
          <w:top w:val="single" w:color="B9C0C7" w:sz="4"/>
          <w:left w:val="single" w:color="17365D" w:sz="18"/>
          <w:bottom w:val="single" w:color="B9C0C7" w:sz="4"/>
          <w:right w:val="single" w:color="B9C0C7" w:sz="4"/>
          <w:insideH w:val="none" w:color="FFFFFF" w:sz="0"/>
          <w:insideV w:val="none" w:color="FFFFFF" w:sz="0"/>
        </w:tblBorders>
        <w:tblLayout w:type="fixed"/>
      </w:tblPr>
      <w:tblGrid>
        <w:gridCol w:w="9746"/>
      </w:tblGrid>
      <w:tr>
        <w:trPr>
          <w:cantSplit w:val="false"/>
        </w:trPr>
        <w:tc>
          <w:tcPr>
            <w:tcW w:type="dxa" w:w="9746"/>
            <w:shd w:fill="F4F7F9" w:color="auto" w:val="clear"/>
            <w:tcMar>
              <w:top w:type="dxa" w:w="120"/>
              <w:left w:type="dxa" w:w="160"/>
              <w:bottom w:type="dxa" w:w="120"/>
              <w:right w:type="dxa" w:w="140"/>
            </w:tcMar>
          </w:tcPr>
          <w:p>
            <w:pPr>
              <w:spacing w:after="60"/>
            </w:pPr>
            <w:r>
              <w:rPr>
                <w:rFonts w:ascii="Calibri" w:cs="Calibri" w:eastAsia="Calibri" w:hAnsi="Calibri"/>
                <w:b/>
                <w:bCs/>
                <w:color w:val="17365D"/>
                <w:sz w:val="19"/>
                <w:szCs w:val="19"/>
              </w:rPr>
              <w:t xml:space="preserve">Note on this draft</w:t>
            </w:r>
          </w:p>
          <w:p>
            <w:pPr>
              <w:spacing w:line="254"/>
              <w:jc w:val="both"/>
            </w:pPr>
            <w:r>
              <w:rPr>
                <w:rFonts w:ascii="Calibri" w:cs="Calibri" w:eastAsia="Calibri" w:hAnsi="Calibri"/>
                <w:color w:val="1A1A1A"/>
                <w:sz w:val="19"/>
                <w:szCs w:val="19"/>
              </w:rPr>
              <w:t xml:space="preserve">This appraisal has been drafted for the consideration of the Directorate. The findings recorded in it are assessments made against the note of the New Media Branch, its Annexure and the proposal received; they are not a record of proceedings already held. The names of the officers, the date and the reference number are to be completed by the Directorate, and the qualification documents of the institution have not been examined.</w:t>
            </w:r>
          </w:p>
        </w:tc>
      </w:tr>
    </w:tbl>
    <w:sectPr>
      <w:headerReference w:type="default" r:id="rId7"/>
      <w:footerReference w:type="default" r:id="rId8"/>
      <w:pgSz w:w="11906" w:h="16838" w:orient="portrait"/>
      <w:pgMar w:top="1080" w:right="1080" w:bottom="108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0C7" w:sz="4" w:space="4"/>
      </w:pBdr>
      <w:tabs>
        <w:tab w:val="right" w:pos="9746"/>
      </w:tabs>
      <w:spacing w:before="40"/>
      <w:jc w:val="left"/>
    </w:pPr>
    <w:r>
      <w:rPr>
        <w:rFonts w:ascii="Calibri" w:cs="Calibri" w:eastAsia="Calibri" w:hAnsi="Calibri"/>
        <w:color w:val="55606B"/>
        <w:sz w:val="15"/>
        <w:szCs w:val="15"/>
      </w:rPr>
      <w:t xml:space="preserve">New Media Branch / Section Ka-8  ·  Draft for departmental consideration</w:t>
    </w:r>
    <w:r>
      <w:rPr>
        <w:sz w:val="15"/>
        <w:szCs w:val="15"/>
      </w:rPr>
      <w:t xml:space="preserve">	</w:t>
    </w:r>
    <w:r>
      <w:rPr>
        <w:rFonts w:ascii="Calibri" w:cs="Calibri" w:eastAsia="Calibri" w:hAnsi="Calibri"/>
        <w:color w:val="55606B"/>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0C7" w:sz="4" w:space="4"/>
      </w:pBdr>
      <w:spacing w:after="40"/>
      <w:jc w:val="left"/>
    </w:pPr>
    <w:r>
      <w:rPr>
        <w:rFonts w:ascii="Calibri" w:cs="Calibri" w:eastAsia="Calibri" w:hAnsi="Calibri"/>
        <w:color w:val="55606B"/>
        <w:sz w:val="15"/>
        <w:szCs w:val="15"/>
      </w:rPr>
      <w:t xml:space="preserve">Directorate General of Information and Public Relations, Government of Maharashtra  ·  Appraisal Note — AI NewsRoom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Directorate General of Information and Public Relations, Government of Maharashtra  ·  Appraisal Note — AI NewsRoom</dc:title>
  <dc:creator>Directorate General of Information and Public Relations</dc:creator>
  <cp:lastModifiedBy>Un-named</cp:lastModifiedBy>
  <cp:revision>1</cp:revision>
  <dcterms:created xsi:type="dcterms:W3CDTF">2026-09-08T12:14:33.422Z</dcterms:created>
  <dcterms:modified xsi:type="dcterms:W3CDTF">2026-09-08T12:14:33.429Z</dcterms:modified>
</cp:coreProperties>
</file>

<file path=docProps/custom.xml><?xml version="1.0" encoding="utf-8"?>
<Properties xmlns="http://schemas.openxmlformats.org/officeDocument/2006/custom-properties" xmlns:vt="http://schemas.openxmlformats.org/officeDocument/2006/docPropsVTypes"/>
</file>