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Applicants Urged to Rectify Errors in Applications for Admission to Professional Courses</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Date: September 02:- For the academic year 2026-27, a Centralised Admission Process is being conducted through the State Common Entrance Test Cell for admission to various undergraduate and postgraduate professional courses under the departments of Higher Education, Technical Education, Agricultural Education, Medical/AYUSH Education and Art Education. It has been observed that several applicants have made various errors while submitting their applications under the admission process. Therefore, the concerned students have been appealed to rectify the errors in their applications immediately to ensure that no obstacles arise in the admission process.</w:t>
      </w:r>
    </w:p>
    <w:p>
      <w:pPr>
        <w:spacing w:before="0" w:after="255" w:line="444" w:lineRule="auto"/>
        <w:jc w:val="both"/>
      </w:pPr>
      <w:r>
        <w:rPr>
          <w:rFonts w:ascii="Nirmala UI" w:hAnsi="Nirmala UI" w:cs="Nirmala UI" w:eastAsia="Nirmala UI"/>
          <w:b w:val="0"/>
          <w:color w:val="1A1A30"/>
          <w:sz w:val="21"/>
          <w:szCs w:val="21"/>
          <w:lang w:bidi="mr-IN"/>
        </w:rPr>
        <w:t xml:space="preserve">The State Common Entrance Test Cell has announced the admission schedules for various courses. Eligible students are being informed about the rectification of errors found in their applications through SMS, email and letters. However, it has been clarified that the sole responsibility for rectifying errors in an application rests with the concerned applicant, and every applicant should check the current status of their application and take the necessary action.</w:t>
      </w:r>
    </w:p>
    <w:p>
      <w:pPr>
        <w:spacing w:before="0" w:after="255" w:line="444" w:lineRule="auto"/>
        <w:jc w:val="both"/>
      </w:pPr>
      <w:r>
        <w:rPr>
          <w:rFonts w:ascii="Nirmala UI" w:hAnsi="Nirmala UI" w:cs="Nirmala UI" w:eastAsia="Nirmala UI"/>
          <w:b w:val="0"/>
          <w:color w:val="1A1A30"/>
          <w:sz w:val="21"/>
          <w:szCs w:val="21"/>
          <w:lang w:bidi="mr-IN"/>
        </w:rPr>
        <w:t xml:space="preserve">To ensure that applicants do not face inconvenience and are able to submit the required documents on time, the Director General of BARTI and the Chief Coordinator of the District Caste Certificate Scrutiny Committees have been directed to keep the offices of the District Caste Certificate Scrutiny Committees open on holidays, wherever necessary.</w:t>
      </w:r>
    </w:p>
    <w:p>
      <w:pPr>
        <w:spacing w:before="0" w:after="255" w:line="444" w:lineRule="auto"/>
        <w:jc w:val="both"/>
      </w:pPr>
      <w:r>
        <w:rPr>
          <w:rFonts w:ascii="Nirmala UI" w:hAnsi="Nirmala UI" w:cs="Nirmala UI" w:eastAsia="Nirmala UI"/>
          <w:b w:val="0"/>
          <w:color w:val="1A1A30"/>
          <w:sz w:val="21"/>
          <w:szCs w:val="21"/>
          <w:lang w:bidi="mr-IN"/>
        </w:rPr>
        <w:t xml:space="preserve">Students who have applied for a caste validity certificate and have not yet rectified the errors mentioned in their applications should, without delay, immediately contact the concerned District Caste Certificate Scrutiny Committee and get the necessary errors rectified. Failure to rectify these errors may create obstacles in the admission process for the concerned students seeking admission to professional courses.</w:t>
      </w:r>
    </w:p>
    <w:p>
      <w:pPr>
        <w:spacing w:before="0" w:after="255" w:line="444" w:lineRule="auto"/>
        <w:jc w:val="both"/>
      </w:pPr>
      <w:r>
        <w:rPr>
          <w:rFonts w:ascii="Nirmala UI" w:hAnsi="Nirmala UI" w:cs="Nirmala UI" w:eastAsia="Nirmala UI"/>
          <w:b w:val="0"/>
          <w:color w:val="1A1A30"/>
          <w:sz w:val="21"/>
          <w:szCs w:val="21"/>
          <w:lang w:bidi="mr-IN"/>
        </w:rPr>
        <w:t xml:space="preserve">Students should take the necessary action in prescribed time and resolve errors related to their caste validity certificates. After the errors have been rectified, the State Common Entrance Test Cell will take a decision regarding the concerned admission process in accordance with the rules, according to the Director General of the Dr Babasaheb Ambedkar Research and Training Institute (BARTI), Pune, who is also the Chief Coordinator of all District Caste Certificate Scrutiny Committees in the state.</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