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Mahabhoomi Stack – Land Search Report to be Available at a Single Click</w:t>
      </w:r>
    </w:p>
    <w:p>
      <w:pPr>
        <w:keepNext/>
        <w:spacing w:before="113" w:after="0" w:line="336" w:lineRule="auto"/>
      </w:pPr>
      <w:r>
        <w:rPr>
          <w:rFonts w:ascii="Nirmala UI" w:hAnsi="Nirmala UI" w:cs="Nirmala UI" w:eastAsia="Nirmala UI"/>
          <w:b/>
          <w:color w:val="0C6B4C"/>
          <w:sz w:val="24"/>
          <w:szCs w:val="24"/>
          <w:bCs/>
          <w:lang w:bidi="mr-IN"/>
        </w:rPr>
        <w:t>– Chief Minister Devendra Fadnavis</w:t>
      </w:r>
    </w:p>
    <w:p>
      <w:pPr>
        <w:keepNext/>
        <w:spacing w:before="142" w:after="0" w:line="336" w:lineRule="auto"/>
      </w:pPr>
      <w:r>
        <w:rPr>
          <w:rFonts w:ascii="Nirmala UI" w:hAnsi="Nirmala UI" w:cs="Nirmala UI" w:eastAsia="Nirmala UI"/>
          <w:b/>
          <w:color w:val="4D4D6B"/>
          <w:sz w:val="23"/>
          <w:szCs w:val="23"/>
          <w:bCs/>
          <w:lang w:bidi="mr-IN"/>
        </w:rPr>
        <w:t>Boost to investment and economic development</w:t>
      </w:r>
    </w:p>
    <w:p>
      <w:pPr>
        <w:keepNext/>
        <w:spacing w:before="142" w:after="0" w:line="336" w:lineRule="auto"/>
      </w:pPr>
      <w:r>
        <w:rPr>
          <w:rFonts w:ascii="Nirmala UI" w:hAnsi="Nirmala UI" w:cs="Nirmala UI" w:eastAsia="Nirmala UI"/>
          <w:b/>
          <w:color w:val="4D4D6B"/>
          <w:sz w:val="23"/>
          <w:szCs w:val="23"/>
          <w:bCs/>
          <w:lang w:bidi="mr-IN"/>
        </w:rPr>
        <w:t>Integrated digital public infrastructure for land administration</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Mumbai, September 1: Information regarding ownership of all land parcels in the State will be available at a single click through the Mahabhoomi Stack system, giving a boost to investment and economic development in the State, Chief Minister Devendra Fadnavis said.</w:t>
      </w:r>
    </w:p>
    <w:p>
      <w:pPr>
        <w:spacing w:before="0" w:after="255" w:line="444" w:lineRule="auto"/>
        <w:jc w:val="both"/>
      </w:pPr>
      <w:r>
        <w:rPr>
          <w:rFonts w:ascii="Nirmala UI" w:hAnsi="Nirmala UI" w:cs="Nirmala UI" w:eastAsia="Nirmala UI"/>
          <w:b w:val="0"/>
          <w:color w:val="1A1A30"/>
          <w:sz w:val="21"/>
          <w:szCs w:val="21"/>
          <w:lang w:bidi="mr-IN"/>
        </w:rPr>
        <w:t>The Mahabhoomi Stack system for land administration, developed by the Revenue and Forest Department of the Government of Maharashtra, was launched following the State Cabinet meeting. Chief Minister Fadnavis was speaking on the occasion. Additional Chief Secretary, Revenue Department, Vikas Kharge, made a presentation on the system.</w:t>
      </w:r>
    </w:p>
    <w:p>
      <w:pPr>
        <w:spacing w:before="0" w:after="255" w:line="444" w:lineRule="auto"/>
        <w:jc w:val="both"/>
      </w:pPr>
      <w:r>
        <w:rPr>
          <w:rFonts w:ascii="Nirmala UI" w:hAnsi="Nirmala UI" w:cs="Nirmala UI" w:eastAsia="Nirmala UI"/>
          <w:b w:val="0"/>
          <w:color w:val="1A1A30"/>
          <w:sz w:val="21"/>
          <w:szCs w:val="21"/>
          <w:lang w:bidi="mr-IN"/>
        </w:rPr>
        <w:t>During land purchase and sale transactions and even after completion of transactions, citizens currently need to access various systems such as Mahabhulekh, Mahabhunakasha and IDRS. By integrating these scattered systems, a single integrated digital gateway has been made available through Mahabhoomi Stack for ten major categories of land services. This is a significant milestone in the State’s revenue and land-related reforms, Chief Minister Devendra Fadnavis said.</w:t>
      </w:r>
    </w:p>
    <w:p>
      <w:pPr>
        <w:spacing w:before="0" w:after="255" w:line="444" w:lineRule="auto"/>
        <w:jc w:val="both"/>
      </w:pPr>
      <w:r>
        <w:rPr>
          <w:rFonts w:ascii="Nirmala UI" w:hAnsi="Nirmala UI" w:cs="Nirmala UI" w:eastAsia="Nirmala UI"/>
          <w:b w:val="0"/>
          <w:color w:val="1A1A30"/>
          <w:sz w:val="21"/>
          <w:szCs w:val="21"/>
          <w:lang w:bidi="mr-IN"/>
        </w:rPr>
        <w:t>The State Government has adopted the Ease of Living and Ease of Doing Business policies, and the Mahabhoomi Stack system is in line with these initiatives. The Revenue Department should make effective use of this system and undertake special efforts to ensure that citizens benefit from the service, Chief Minister Fadnavis said.</w:t>
      </w:r>
    </w:p>
    <w:p>
      <w:pPr>
        <w:spacing w:before="0" w:after="255" w:line="444" w:lineRule="auto"/>
        <w:jc w:val="both"/>
      </w:pPr>
      <w:r>
        <w:rPr>
          <w:rFonts w:ascii="Nirmala UI" w:hAnsi="Nirmala UI" w:cs="Nirmala UI" w:eastAsia="Nirmala UI"/>
          <w:b w:val="0"/>
          <w:color w:val="1A1A30"/>
          <w:sz w:val="21"/>
          <w:szCs w:val="21"/>
          <w:lang w:bidi="mr-IN"/>
        </w:rPr>
        <w:t>Mahabhoomi Stack – Digital Repository of Land Records</w:t>
      </w:r>
    </w:p>
    <w:p>
      <w:pPr>
        <w:spacing w:before="0" w:after="255" w:line="444" w:lineRule="auto"/>
        <w:jc w:val="both"/>
      </w:pPr>
      <w:r>
        <w:rPr>
          <w:rFonts w:ascii="Nirmala UI" w:hAnsi="Nirmala UI" w:cs="Nirmala UI" w:eastAsia="Nirmala UI"/>
          <w:b w:val="0"/>
          <w:color w:val="1A1A30"/>
          <w:sz w:val="21"/>
          <w:szCs w:val="21"/>
          <w:lang w:bidi="mr-IN"/>
        </w:rPr>
        <w:t>More than 3.5 crore Records of Rights (7/12 and 8-A extracts)</w:t>
      </w:r>
    </w:p>
    <w:p>
      <w:pPr>
        <w:spacing w:before="0" w:after="255" w:line="444" w:lineRule="auto"/>
        <w:jc w:val="both"/>
      </w:pPr>
      <w:r>
        <w:rPr>
          <w:rFonts w:ascii="Nirmala UI" w:hAnsi="Nirmala UI" w:cs="Nirmala UI" w:eastAsia="Nirmala UI"/>
          <w:b w:val="0"/>
          <w:color w:val="1A1A30"/>
          <w:sz w:val="21"/>
          <w:szCs w:val="21"/>
          <w:lang w:bidi="mr-IN"/>
        </w:rPr>
        <w:t>More than 1.5 crore land maps and property cards</w:t>
      </w:r>
    </w:p>
    <w:p>
      <w:pPr>
        <w:spacing w:before="0" w:after="255" w:line="444" w:lineRule="auto"/>
        <w:jc w:val="both"/>
      </w:pPr>
      <w:r>
        <w:rPr>
          <w:rFonts w:ascii="Nirmala UI" w:hAnsi="Nirmala UI" w:cs="Nirmala UI" w:eastAsia="Nirmala UI"/>
          <w:b w:val="0"/>
          <w:color w:val="1A1A30"/>
          <w:sz w:val="21"/>
          <w:szCs w:val="21"/>
          <w:lang w:bidi="mr-IN"/>
        </w:rPr>
        <w:t>More than 40 crore historical scanned mutation records and old documents</w:t>
      </w:r>
    </w:p>
    <w:p>
      <w:pPr>
        <w:spacing w:before="0" w:after="255" w:line="444" w:lineRule="auto"/>
        <w:jc w:val="both"/>
      </w:pPr>
      <w:r>
        <w:rPr>
          <w:rFonts w:ascii="Nirmala UI" w:hAnsi="Nirmala UI" w:cs="Nirmala UI" w:eastAsia="Nirmala UI"/>
          <w:b w:val="0"/>
          <w:color w:val="1A1A30"/>
          <w:sz w:val="21"/>
          <w:szCs w:val="21"/>
          <w:lang w:bidi="mr-IN"/>
        </w:rPr>
        <w:t>Copies of Document No. 2 from the Registration Department and updated status of revenue court cases</w:t>
      </w:r>
    </w:p>
    <w:p>
      <w:pPr>
        <w:spacing w:before="0" w:after="255" w:line="444" w:lineRule="auto"/>
        <w:jc w:val="both"/>
      </w:pPr>
      <w:r>
        <w:rPr>
          <w:rFonts w:ascii="Nirmala UI" w:hAnsi="Nirmala UI" w:cs="Nirmala UI" w:eastAsia="Nirmala UI"/>
          <w:b w:val="0"/>
          <w:color w:val="1A1A30"/>
          <w:sz w:val="21"/>
          <w:szCs w:val="21"/>
          <w:lang w:bidi="mr-IN"/>
        </w:rPr>
        <w:t>Key Feature of the System</w:t>
      </w:r>
    </w:p>
    <w:p>
      <w:pPr>
        <w:spacing w:before="0" w:after="255" w:line="444" w:lineRule="auto"/>
        <w:jc w:val="both"/>
      </w:pPr>
      <w:r>
        <w:rPr>
          <w:rFonts w:ascii="Nirmala UI" w:hAnsi="Nirmala UI" w:cs="Nirmala UI" w:eastAsia="Nirmala UI"/>
          <w:b w:val="0"/>
          <w:color w:val="1A1A30"/>
          <w:sz w:val="21"/>
          <w:szCs w:val="21"/>
          <w:lang w:bidi="mr-IN"/>
        </w:rPr>
        <w:t>By entering the survey/group number for rural areas and the CTS/city survey number for urban areas, citizens will be able to obtain all information related to a specific land parcel in an integrated manner.</w:t>
      </w:r>
    </w:p>
    <w:p>
      <w:pPr>
        <w:spacing w:before="0" w:after="255" w:line="444" w:lineRule="auto"/>
        <w:jc w:val="both"/>
      </w:pPr>
      <w:r>
        <w:rPr>
          <w:rFonts w:ascii="Nirmala UI" w:hAnsi="Nirmala UI" w:cs="Nirmala UI" w:eastAsia="Nirmala UI"/>
          <w:b w:val="0"/>
          <w:color w:val="1A1A30"/>
          <w:sz w:val="21"/>
          <w:szCs w:val="21"/>
          <w:lang w:bidi="mr-IN"/>
        </w:rPr>
        <w:t>The system will provide:</w:t>
      </w:r>
    </w:p>
    <w:p>
      <w:pPr>
        <w:spacing w:before="0" w:after="255" w:line="444" w:lineRule="auto"/>
        <w:jc w:val="both"/>
      </w:pPr>
      <w:r>
        <w:rPr>
          <w:rFonts w:ascii="Nirmala UI" w:hAnsi="Nirmala UI" w:cs="Nirmala UI" w:eastAsia="Nirmala UI"/>
          <w:b w:val="0"/>
          <w:color w:val="1A1A30"/>
          <w:sz w:val="21"/>
          <w:szCs w:val="21"/>
          <w:lang w:bidi="mr-IN"/>
        </w:rPr>
        <w:t>Current occupants and Record of Rights (7/12) of the land parcel</w:t>
      </w:r>
    </w:p>
    <w:p>
      <w:pPr>
        <w:spacing w:before="0" w:after="255" w:line="444" w:lineRule="auto"/>
        <w:jc w:val="both"/>
      </w:pPr>
      <w:r>
        <w:rPr>
          <w:rFonts w:ascii="Nirmala UI" w:hAnsi="Nirmala UI" w:cs="Nirmala UI" w:eastAsia="Nirmala UI"/>
          <w:b w:val="0"/>
          <w:color w:val="1A1A30"/>
          <w:sz w:val="21"/>
          <w:szCs w:val="21"/>
          <w:lang w:bidi="mr-IN"/>
        </w:rPr>
        <w:t>Details of all previous mutations recorded against the land parcel</w:t>
      </w:r>
    </w:p>
    <w:p>
      <w:pPr>
        <w:spacing w:before="0" w:after="255" w:line="444" w:lineRule="auto"/>
        <w:jc w:val="both"/>
      </w:pPr>
      <w:r>
        <w:rPr>
          <w:rFonts w:ascii="Nirmala UI" w:hAnsi="Nirmala UI" w:cs="Nirmala UI" w:eastAsia="Nirmala UI"/>
          <w:b w:val="0"/>
          <w:color w:val="1A1A30"/>
          <w:sz w:val="21"/>
          <w:szCs w:val="21"/>
          <w:lang w:bidi="mr-IN"/>
        </w:rPr>
        <w:t>References to registered transactions related to the land parcel (Document No. 2)</w:t>
      </w:r>
    </w:p>
    <w:p>
      <w:pPr>
        <w:spacing w:before="0" w:after="255" w:line="444" w:lineRule="auto"/>
        <w:jc w:val="both"/>
      </w:pPr>
      <w:r>
        <w:rPr>
          <w:rFonts w:ascii="Nirmala UI" w:hAnsi="Nirmala UI" w:cs="Nirmala UI" w:eastAsia="Nirmala UI"/>
          <w:b w:val="0"/>
          <w:color w:val="1A1A30"/>
          <w:sz w:val="21"/>
          <w:szCs w:val="21"/>
          <w:lang w:bidi="mr-IN"/>
        </w:rPr>
        <w:t>Land survey information, village maps and measurement details</w:t>
      </w:r>
    </w:p>
    <w:p>
      <w:pPr>
        <w:spacing w:before="0" w:after="255" w:line="444" w:lineRule="auto"/>
        <w:jc w:val="both"/>
      </w:pPr>
      <w:r>
        <w:rPr>
          <w:rFonts w:ascii="Nirmala UI" w:hAnsi="Nirmala UI" w:cs="Nirmala UI" w:eastAsia="Nirmala UI"/>
          <w:b w:val="0"/>
          <w:color w:val="1A1A30"/>
          <w:sz w:val="21"/>
          <w:szCs w:val="21"/>
          <w:lang w:bidi="mr-IN"/>
        </w:rPr>
        <w:t>Benefits to Citizens</w:t>
      </w:r>
    </w:p>
    <w:p>
      <w:pPr>
        <w:spacing w:before="0" w:after="255" w:line="444" w:lineRule="auto"/>
        <w:jc w:val="both"/>
      </w:pPr>
      <w:r>
        <w:rPr>
          <w:rFonts w:ascii="Nirmala UI" w:hAnsi="Nirmala UI" w:cs="Nirmala UI" w:eastAsia="Nirmala UI"/>
          <w:b w:val="0"/>
          <w:color w:val="1A1A30"/>
          <w:sz w:val="21"/>
          <w:szCs w:val="21"/>
          <w:lang w:bidi="mr-IN"/>
        </w:rPr>
        <w:t>Transparency in transactions and prevention of fraud: Before purchasing or selling any land parcel, citizens will be able to independently verify on their mobile phones who the current occupants are, whether there are any encumbrances on the property and whether any court proceedings are pending. This will reduce dependence on intermediaries.</w:t>
      </w:r>
    </w:p>
    <w:p>
      <w:pPr>
        <w:spacing w:before="0" w:after="255" w:line="444" w:lineRule="auto"/>
        <w:jc w:val="both"/>
      </w:pPr>
      <w:r>
        <w:rPr>
          <w:rFonts w:ascii="Nirmala UI" w:hAnsi="Nirmala UI" w:cs="Nirmala UI" w:eastAsia="Nirmala UI"/>
          <w:b w:val="0"/>
          <w:color w:val="1A1A30"/>
          <w:sz w:val="21"/>
          <w:szCs w:val="21"/>
          <w:lang w:bidi="mr-IN"/>
        </w:rPr>
        <w:t>One window, multiple services: Citizens will no longer need to visit different portals and offices for services such as 7/12 extract, 8-A extract, maps, mutation status, measurement applications and document searches.</w:t>
      </w:r>
    </w:p>
    <w:p>
      <w:pPr>
        <w:spacing w:before="0" w:after="255" w:line="444" w:lineRule="auto"/>
        <w:jc w:val="both"/>
      </w:pPr>
      <w:r>
        <w:rPr>
          <w:rFonts w:ascii="Nirmala UI" w:hAnsi="Nirmala UI" w:cs="Nirmala UI" w:eastAsia="Nirmala UI"/>
          <w:b w:val="0"/>
          <w:color w:val="1A1A30"/>
          <w:sz w:val="21"/>
          <w:szCs w:val="21"/>
          <w:lang w:bidi="mr-IN"/>
        </w:rPr>
        <w:t>Saving time, effort and cost: All required land records will be available from home. These records can also be securely shared digitally for bank loans and other government schemes.</w:t>
      </w:r>
    </w:p>
    <w:p>
      <w:pPr>
        <w:spacing w:before="0" w:after="255" w:line="444" w:lineRule="auto"/>
        <w:jc w:val="both"/>
      </w:pPr>
      <w:r>
        <w:rPr>
          <w:rFonts w:ascii="Nirmala UI" w:hAnsi="Nirmala UI" w:cs="Nirmala UI" w:eastAsia="Nirmala UI"/>
          <w:b w:val="0"/>
          <w:color w:val="1A1A30"/>
          <w:sz w:val="21"/>
          <w:szCs w:val="21"/>
          <w:lang w:bidi="mr-IN"/>
        </w:rPr>
        <w:t>Common facilities for both rural and urban areas: Rural citizens will be able to search property information using the group number, while citizens in urban areas such as Pune and Mumbai will be able to access their property information using the CTS number.</w:t>
      </w:r>
    </w:p>
    <w:p>
      <w:pPr>
        <w:spacing w:before="0" w:after="255" w:line="444" w:lineRule="auto"/>
        <w:jc w:val="both"/>
      </w:pPr>
      <w:r>
        <w:rPr>
          <w:rFonts w:ascii="Nirmala UI" w:hAnsi="Nirmala UI" w:cs="Nirmala UI" w:eastAsia="Nirmala UI"/>
          <w:b w:val="0"/>
          <w:color w:val="1A1A30"/>
          <w:sz w:val="21"/>
          <w:szCs w:val="21"/>
          <w:lang w:bidi="mr-IN"/>
        </w:rPr>
        <w:t>Benefits for Administration and Institutions</w:t>
      </w:r>
    </w:p>
    <w:p>
      <w:pPr>
        <w:spacing w:before="0" w:after="255" w:line="444" w:lineRule="auto"/>
        <w:jc w:val="both"/>
      </w:pPr>
      <w:r>
        <w:rPr>
          <w:rFonts w:ascii="Nirmala UI" w:hAnsi="Nirmala UI" w:cs="Nirmala UI" w:eastAsia="Nirmala UI"/>
          <w:b w:val="0"/>
          <w:color w:val="1A1A30"/>
          <w:sz w:val="21"/>
          <w:szCs w:val="21"/>
          <w:lang w:bidi="mr-IN"/>
        </w:rPr>
        <w:t>The Revenue Administration will be able to expedite verification and decision-making processes. Banks and financial institutions will be able to quickly verify the occupant and transaction history of a land parcel before approving loans. Clearer land-related information will make it easier for industries and investors to make investment decisions.</w:t>
      </w:r>
    </w:p>
    <w:p>
      <w:pPr>
        <w:spacing w:before="0" w:after="255" w:line="444" w:lineRule="auto"/>
        <w:jc w:val="both"/>
      </w:pPr>
      <w:r>
        <w:rPr>
          <w:rFonts w:ascii="Nirmala UI" w:hAnsi="Nirmala UI" w:cs="Nirmala UI" w:eastAsia="Nirmala UI"/>
          <w:b w:val="0"/>
          <w:color w:val="1A1A30"/>
          <w:sz w:val="21"/>
          <w:szCs w:val="21"/>
          <w:lang w:bidi="mr-IN"/>
        </w:rPr>
        <w:t>Future Roadmap</w:t>
      </w:r>
    </w:p>
    <w:p>
      <w:pPr>
        <w:spacing w:before="0" w:after="255" w:line="444" w:lineRule="auto"/>
        <w:jc w:val="both"/>
      </w:pPr>
      <w:r>
        <w:rPr>
          <w:rFonts w:ascii="Nirmala UI" w:hAnsi="Nirmala UI" w:cs="Nirmala UI" w:eastAsia="Nirmala UI"/>
          <w:b w:val="0"/>
          <w:color w:val="1A1A30"/>
          <w:sz w:val="21"/>
          <w:szCs w:val="21"/>
          <w:lang w:bidi="mr-IN"/>
        </w:rPr>
        <w:t>Mahabhoomi Stack will be further developed through GIS-based land visualisation, Artificial Intelligence (AI)-based search facilities and integration with systems of Urban Local Bodies. The system will serve as a robust platform for inter-departmental digital governance.</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भूमी अभिलेख व महसूल</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Mahabhoomi Stack – Land Search Report to be Available at a Single Click</dc:title>
  <dc:subject/>
  <dc:creator>मुख्यमंत्री सचिवालय (जनसंपर्क कक्ष)</dc:creator>
  <cp:keywords/>
  <dc:description>Mumbai, September 1: Information regarding ownership of all land parcels in the State will be available at a single click through the Mahabhoomi Stack system, giving a boost to inv</dc:description>
  <cp:lastModifiedBy/>
  <cp:revision>1</cp:revision>
  <dcterms:created xsi:type="dcterms:W3CDTF">2013-12-23T23:15:00Z</dcterms:created>
  <dcterms:modified xsi:type="dcterms:W3CDTF">2013-12-23T23:15:00Z</dcterms:modified>
  <cp:category/>
</cp:coreProperties>
</file>