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shd w:val="clear" w:color="auto" w:fill="131F3A"/>
      </w:pPr>
      <w:r>
        <w:rPr>
          <w:sz w:val="4"/>
        </w:rPr>
        <w:t xml:space="preserve">  </w:t>
      </w:r>
    </w:p>
    <w:p>
      <w:pPr>
        <w:spacing w:before="0" w:after="0"/>
        <w:jc w:val="left"/>
        <w:shd w:val="clear" w:color="auto" w:fill="131F3A"/>
      </w:pPr>
      <w:r>
        <w:rPr>
          <w:rFonts w:ascii="Helvetica Neue" w:hAnsi="Helvetica Neue" w:altName="Arial"/>
          <w:b/>
          <w:i w:val="0"/>
          <w:color w:val="FFFFFF"/>
          <w:sz w:val="36"/>
        </w:rPr>
        <w:t xml:space="preserve">  INCEPTION TECHNOLOGY COMPANY</w:t>
      </w:r>
    </w:p>
    <w:p>
      <w:pPr>
        <w:spacing w:before="0" w:after="0"/>
        <w:jc w:val="left"/>
        <w:shd w:val="clear" w:color="auto" w:fill="131F3A"/>
      </w:pPr>
      <w:r>
        <w:rPr>
          <w:rFonts w:ascii="Helvetica Neue" w:hAnsi="Helvetica Neue"/>
          <w:b/>
          <w:color w:val="BD8A32"/>
          <w:sz w:val="72"/>
        </w:rPr>
        <w:t xml:space="preserve">  ITC</w:t>
      </w:r>
    </w:p>
    <w:p>
      <w:pPr>
        <w:spacing w:before="0" w:after="0"/>
        <w:jc w:val="left"/>
        <w:shd w:val="clear" w:color="auto" w:fill="131F3A"/>
      </w:pPr>
      <w:r>
        <w:rPr>
          <w:rFonts w:ascii="Georgia" w:hAnsi="Georgia"/>
          <w:i/>
          <w:color w:val="CCCCCC"/>
          <w:sz w:val="26"/>
        </w:rPr>
        <w:t xml:space="preserve">  Regenerate Earth's biosphere.</w:t>
      </w:r>
    </w:p>
    <w:p>
      <w:pPr>
        <w:spacing w:before="0" w:after="0"/>
        <w:shd w:val="clear" w:color="auto" w:fill="131F3A"/>
      </w:pPr>
      <w:r>
        <w:rPr>
          <w:rFonts w:ascii="Helvetica Neue" w:hAnsi="Helvetica Neue" w:altName="Arial"/>
          <w:b w:val="0"/>
          <w:i w:val="0"/>
          <w:color w:val="FFFFFF"/>
          <w:sz w:val="16"/>
        </w:rPr>
        <w:t xml:space="preserve"> </w:t>
      </w:r>
    </w:p>
    <w:p>
      <w:pPr>
        <w:spacing w:before="40" w:after="40"/>
        <w:pBdr>
          <w:bottom w:val="single" w:sz="6" w:space="1" w:color="BD8A32"/>
        </w:pBdr>
      </w:pPr>
    </w:p>
    <w:p>
      <w:pPr>
        <w:spacing w:after="80"/>
      </w:pPr>
    </w:p>
    <w:p>
      <w:pPr>
        <w:pStyle w:val="Heading1"/>
        <w:spacing w:before="280" w:after="120"/>
      </w:pPr>
      <w:r>
        <w:rPr>
          <w:rFonts w:ascii="Helvetica Neue" w:hAnsi="Helvetica Neue"/>
          <w:color w:val="131F3A"/>
          <w:sz w:val="32"/>
        </w:rPr>
        <w:t>Who We Are</w:t>
      </w:r>
    </w:p>
    <w:p>
      <w:pPr>
        <w:spacing w:after="160"/>
      </w:pPr>
      <w:r>
        <w:rPr>
          <w:rFonts w:ascii="Helvetica Neue" w:hAnsi="Helvetica Neue"/>
          <w:color w:val="555555"/>
          <w:sz w:val="22"/>
        </w:rPr>
        <w:t>Inception Technology Company (ITC) is a technology deployment company — not a traditional distributor, not a startup chasing a trend. We sit at the intersection of deep domain knowledge, advanced analytical science, and principled leadership.</w:t>
      </w:r>
    </w:p>
    <w:p>
      <w:pPr>
        <w:spacing w:after="160"/>
      </w:pPr>
      <w:r>
        <w:rPr>
          <w:rFonts w:ascii="Helvetica Neue" w:hAnsi="Helvetica Neue"/>
          <w:color w:val="555555"/>
          <w:sz w:val="22"/>
        </w:rPr>
        <w:t>ITC was built by people who know the land, the lab, and the boardroom. Our founder ran a 500-cow-calf operation and built his own ration software before pivoting into innovation. The team brings field credibility that cannot be hired at a consulting firm.</w:t>
      </w:r>
    </w:p>
    <w:p>
      <w:pPr>
        <w:spacing w:after="240"/>
      </w:pPr>
      <w:r>
        <w:rPr>
          <w:rFonts w:ascii="Helvetica Neue" w:hAnsi="Helvetica Neue"/>
          <w:color w:val="555555"/>
          <w:sz w:val="22"/>
        </w:rPr>
        <w:t>ITC builds a portfolio of technologies that are both economically superior and ecologically regenerative. These are not trade-offs. They are requirements. Every product, system, and connection we build is evaluated against a single standard: does it regenerate Earth's biosphere while being economically advantaged enough that the market adopts it without a subsidy?</w:t>
      </w:r>
    </w:p>
    <w:p>
      <w:pPr>
        <w:spacing w:before="40" w:after="40"/>
        <w:pBdr>
          <w:bottom w:val="single" w:sz="6" w:space="1" w:color="BD8A32"/>
        </w:pBdr>
      </w:pPr>
    </w:p>
    <w:p>
      <w:pPr>
        <w:pStyle w:val="Heading1"/>
        <w:spacing w:before="280" w:after="120"/>
      </w:pPr>
      <w:r>
        <w:rPr>
          <w:rFonts w:ascii="Helvetica Neue" w:hAnsi="Helvetica Neue"/>
          <w:color w:val="131F3A"/>
          <w:sz w:val="32"/>
        </w:rPr>
        <w:t>Our Mission</w:t>
      </w:r>
    </w:p>
    <w:p>
      <w:pPr>
        <w:spacing w:before="80" w:after="80"/>
        <w:ind w:left="432" w:right="432"/>
        <w:shd w:val="clear" w:color="auto" w:fill="F5F0E8"/>
      </w:pPr>
      <w:r>
        <w:rPr>
          <w:rFonts w:ascii="Georgia" w:hAnsi="Georgia"/>
          <w:i/>
          <w:color w:val="131F3A"/>
          <w:sz w:val="24"/>
        </w:rPr>
        <w:t>"ITC connects world-changing, environmentally beneficial technologies with the scientific understanding, business expertise, and principled leadership required to deliver the impact these ideas are meant to make."</w:t>
      </w:r>
    </w:p>
    <w:p>
      <w:pPr>
        <w:spacing w:before="0" w:after="200"/>
        <w:ind w:left="432"/>
        <w:shd w:val="clear" w:color="auto" w:fill="F5F0E8"/>
      </w:pPr>
      <w:r>
        <w:rPr>
          <w:rFonts w:ascii="Helvetica Neue" w:hAnsi="Helvetica Neue"/>
          <w:b/>
          <w:color w:val="BD8A32"/>
          <w:sz w:val="18"/>
        </w:rPr>
        <w:t>— ITC Mission Statement</w:t>
      </w:r>
    </w:p>
    <w:p>
      <w:pPr>
        <w:spacing w:after="80"/>
      </w:pPr>
    </w:p>
    <w:p>
      <w:pPr>
        <w:spacing w:after="120"/>
      </w:pPr>
      <w:r>
        <w:rPr>
          <w:rFonts w:ascii="Helvetica Neue" w:hAnsi="Helvetica Neue"/>
          <w:color w:val="555555"/>
          <w:sz w:val="22"/>
        </w:rPr>
        <w:t>Every technology in the ITC portfolio must meet four criteria:</w:t>
      </w:r>
    </w:p>
    <w:p>
      <w:pPr>
        <w:pStyle w:val="ListBullet"/>
        <w:spacing w:after="100"/>
        <w:ind w:left="288"/>
      </w:pPr>
      <w:r>
        <w:rPr>
          <w:rFonts w:ascii="Helvetica Neue" w:hAnsi="Helvetica Neue"/>
          <w:b/>
          <w:color w:val="131F3A"/>
          <w:sz w:val="22"/>
        </w:rPr>
        <w:t xml:space="preserve">01 — Simple  </w:t>
      </w:r>
      <w:r>
        <w:rPr>
          <w:rFonts w:ascii="Helvetica Neue" w:hAnsi="Helvetica Neue"/>
          <w:color w:val="555555"/>
          <w:sz w:val="22"/>
        </w:rPr>
        <w:t>Works in the real world. Deployable without a PhD. If it can't scale, it doesn't ship.</w:t>
      </w:r>
    </w:p>
    <w:p>
      <w:pPr>
        <w:pStyle w:val="ListBullet"/>
        <w:spacing w:after="100"/>
        <w:ind w:left="288"/>
      </w:pPr>
      <w:r>
        <w:rPr>
          <w:rFonts w:ascii="Helvetica Neue" w:hAnsi="Helvetica Neue"/>
          <w:b/>
          <w:color w:val="131F3A"/>
          <w:sz w:val="22"/>
        </w:rPr>
        <w:t xml:space="preserve">02 — True  </w:t>
      </w:r>
      <w:r>
        <w:rPr>
          <w:rFonts w:ascii="Helvetica Neue" w:hAnsi="Helvetica Neue"/>
          <w:color w:val="555555"/>
          <w:sz w:val="22"/>
        </w:rPr>
        <w:t>Backed by peer-reviewed science and field data. No vaporware. No greenwash.</w:t>
      </w:r>
    </w:p>
    <w:p>
      <w:pPr>
        <w:pStyle w:val="ListBullet"/>
        <w:spacing w:after="100"/>
        <w:ind w:left="288"/>
      </w:pPr>
      <w:r>
        <w:rPr>
          <w:rFonts w:ascii="Helvetica Neue" w:hAnsi="Helvetica Neue"/>
          <w:b/>
          <w:color w:val="131F3A"/>
          <w:sz w:val="22"/>
        </w:rPr>
        <w:t xml:space="preserve">03 — Economically Advantaged  </w:t>
      </w:r>
      <w:r>
        <w:rPr>
          <w:rFonts w:ascii="Helvetica Neue" w:hAnsi="Helvetica Neue"/>
          <w:color w:val="555555"/>
          <w:sz w:val="22"/>
        </w:rPr>
        <w:t>Better performance at competitive cost. Adoption driven by returns, not charity.</w:t>
      </w:r>
    </w:p>
    <w:p>
      <w:pPr>
        <w:pStyle w:val="ListBullet"/>
        <w:spacing w:after="100"/>
        <w:ind w:left="288"/>
      </w:pPr>
      <w:r>
        <w:rPr>
          <w:rFonts w:ascii="Helvetica Neue" w:hAnsi="Helvetica Neue"/>
          <w:b/>
          <w:color w:val="131F3A"/>
          <w:sz w:val="22"/>
        </w:rPr>
        <w:t xml:space="preserve">04 — Regenerative  </w:t>
      </w:r>
      <w:r>
        <w:rPr>
          <w:rFonts w:ascii="Helvetica Neue" w:hAnsi="Helvetica Neue"/>
          <w:color w:val="555555"/>
          <w:sz w:val="22"/>
        </w:rPr>
        <w:t>Active restoration of ecological function — soil, water, air, biology. Net-positive is the floor.</w:t>
      </w:r>
    </w:p>
    <w:p>
      <w:pPr>
        <w:spacing w:after="120"/>
      </w:pPr>
    </w:p>
    <w:p>
      <w:pPr>
        <w:spacing w:before="40" w:after="40"/>
        <w:pBdr>
          <w:bottom w:val="single" w:sz="6" w:space="1" w:color="BD8A32"/>
        </w:pBdr>
      </w:pPr>
    </w:p>
    <w:p>
      <w:pPr>
        <w:pStyle w:val="Heading1"/>
        <w:spacing w:before="280" w:after="120"/>
      </w:pPr>
      <w:r>
        <w:rPr>
          <w:rFonts w:ascii="Helvetica Neue" w:hAnsi="Helvetica Neue"/>
          <w:color w:val="131F3A"/>
          <w:sz w:val="32"/>
        </w:rPr>
        <w:t>What We Do</w:t>
      </w:r>
    </w:p>
    <w:p>
      <w:pPr>
        <w:spacing w:after="200"/>
      </w:pPr>
      <w:r>
        <w:rPr>
          <w:rFonts w:ascii="Helvetica Neue" w:hAnsi="Helvetica Neue"/>
          <w:color w:val="555555"/>
          <w:sz w:val="22"/>
        </w:rPr>
        <w:t>ITC identifies, vets, and deploys a portfolio of regenerative technologies across multiple sectors. Current focus areas:</w:t>
      </w:r>
    </w:p>
    <w:p>
      <w:pPr>
        <w:pStyle w:val="Heading2"/>
        <w:spacing w:before="200" w:after="80"/>
      </w:pPr>
      <w:r>
        <w:rPr>
          <w:rFonts w:ascii="Helvetica Neue" w:hAnsi="Helvetica Neue"/>
          <w:b/>
          <w:color w:val="BD8A32"/>
          <w:sz w:val="24"/>
        </w:rPr>
        <w:t>Advanced Water &amp; Environmental Analytics</w:t>
      </w:r>
    </w:p>
    <w:p>
      <w:pPr>
        <w:spacing w:after="160"/>
      </w:pPr>
      <w:r>
        <w:rPr>
          <w:rFonts w:ascii="Helvetica Neue" w:hAnsi="Helvetica Neue"/>
          <w:color w:val="555555"/>
          <w:sz w:val="22"/>
        </w:rPr>
        <w:t>As the exclusive US distributor for CEC Analytics (Calgary, AB), ITC brings three complementary technologies to market:</w:t>
        <w:br/>
        <w:t>• NTA &amp; Aquity Platform — Non-targeted analysis detecting 72,000+ organic compounds in water, wastewater, and biological samples. The Aquity platform uniquely identifies contamination source by geographic location — a capability no US competitor offers.</w:t>
        <w:br/>
        <w:t>• AIMS (Ambient Ionization Mass Spectrometry) — Targeted compound panels (opioids, PFAS, glyphosate, and more) with 5 ppt detection limits and 48-hour turnaround vs. 1–2 weeks from conventional labs.</w:t>
        <w:br/>
        <w:t>• Rapid Bacterial Testing — Results in 10 seconds, 3mL of water, no technical skill required. Starting at $10/test.</w:t>
      </w:r>
    </w:p>
    <w:p>
      <w:pPr>
        <w:pStyle w:val="Heading2"/>
        <w:spacing w:before="200" w:after="80"/>
      </w:pPr>
      <w:r>
        <w:rPr>
          <w:rFonts w:ascii="Helvetica Neue" w:hAnsi="Helvetica Neue"/>
          <w:b/>
          <w:color w:val="BD8A32"/>
          <w:sz w:val="24"/>
        </w:rPr>
        <w:t>Biogenic Construction Products</w:t>
      </w:r>
    </w:p>
    <w:p>
      <w:pPr>
        <w:spacing w:after="160"/>
      </w:pPr>
      <w:r>
        <w:rPr>
          <w:rFonts w:ascii="Helvetica Neue" w:hAnsi="Helvetica Neue"/>
          <w:color w:val="555555"/>
          <w:sz w:val="22"/>
        </w:rPr>
        <w:t>ITC is the exclusive distributor of a line of soy oil-based, patented construction products across MT, WY, ID, CO, NM, and N. TX. Products include asphalt conditioner, concrete sealer, dust suppressant, landscape glue, and spray-on roof conditioner.</w:t>
      </w:r>
    </w:p>
    <w:p>
      <w:pPr>
        <w:pStyle w:val="Heading2"/>
        <w:spacing w:before="200" w:after="80"/>
      </w:pPr>
      <w:r>
        <w:rPr>
          <w:rFonts w:ascii="Helvetica Neue" w:hAnsi="Helvetica Neue"/>
          <w:b/>
          <w:color w:val="BD8A32"/>
          <w:sz w:val="24"/>
        </w:rPr>
        <w:t>Phat Cow — Dual-Kinetic Rumen Buffer</w:t>
      </w:r>
    </w:p>
    <w:p>
      <w:pPr>
        <w:spacing w:after="160"/>
      </w:pPr>
      <w:r>
        <w:rPr>
          <w:rFonts w:ascii="Helvetica Neue" w:hAnsi="Helvetica Neue"/>
          <w:color w:val="555555"/>
          <w:sz w:val="22"/>
        </w:rPr>
        <w:t>An MgO + calcium carbonate rumen buffer engineered for fast and slow release — no sodium. Developed for dairy producers as a superior alternative to sodium bicarbonate and current MgO products. Currently in commercial development.</w:t>
      </w:r>
    </w:p>
    <w:p>
      <w:pPr>
        <w:spacing w:before="40" w:after="40"/>
        <w:pBdr>
          <w:bottom w:val="single" w:sz="6" w:space="1" w:color="BD8A32"/>
        </w:pBdr>
      </w:pPr>
    </w:p>
    <w:p>
      <w:pPr>
        <w:pStyle w:val="Heading1"/>
        <w:spacing w:before="280" w:after="120"/>
      </w:pPr>
      <w:r>
        <w:rPr>
          <w:rFonts w:ascii="Helvetica Neue" w:hAnsi="Helvetica Neue"/>
          <w:color w:val="131F3A"/>
          <w:sz w:val="32"/>
        </w:rPr>
        <w:t>The Team</w:t>
      </w:r>
    </w:p>
    <w:p>
      <w:pPr>
        <w:spacing w:after="240"/>
      </w:pPr>
      <w:r>
        <w:rPr>
          <w:rFonts w:ascii="Helvetica Neue" w:hAnsi="Helvetica Neue"/>
          <w:color w:val="555555"/>
          <w:sz w:val="22"/>
        </w:rPr>
        <w:t>ITC is a lean, mission-driven team. Every member brings domain expertise that is directly relevant to the technologies we deploy and the markets we serve.</w:t>
      </w:r>
    </w:p>
    <w:p>
      <w:pPr>
        <w:pStyle w:val="Heading2"/>
        <w:spacing w:before="200" w:after="20"/>
      </w:pPr>
      <w:r>
        <w:rPr>
          <w:rFonts w:ascii="Helvetica Neue" w:hAnsi="Helvetica Neue"/>
          <w:b/>
          <w:color w:val="131F3A"/>
          <w:sz w:val="26"/>
        </w:rPr>
        <w:t>Scott Ensminger</w:t>
      </w:r>
    </w:p>
    <w:p>
      <w:pPr>
        <w:spacing w:before="0" w:after="40"/>
      </w:pPr>
      <w:r>
        <w:rPr>
          <w:rFonts w:ascii="Helvetica Neue" w:hAnsi="Helvetica Neue"/>
          <w:b/>
          <w:color w:val="BD8A32"/>
          <w:sz w:val="20"/>
        </w:rPr>
        <w:t>Founder</w:t>
      </w:r>
    </w:p>
    <w:p>
      <w:pPr>
        <w:spacing w:before="0" w:after="100"/>
      </w:pPr>
      <w:r>
        <w:rPr>
          <w:rFonts w:ascii="Helvetica Neue" w:hAnsi="Helvetica Neue"/>
          <w:color w:val="7A7870"/>
          <w:sz w:val="19"/>
        </w:rPr>
        <w:t>scott@itc.eco  |  (406) 493-2386</w:t>
      </w:r>
    </w:p>
    <w:p>
      <w:pPr>
        <w:spacing w:after="200"/>
      </w:pPr>
      <w:r>
        <w:rPr>
          <w:rFonts w:ascii="Helvetica Neue" w:hAnsi="Helvetica Neue"/>
          <w:color w:val="555555"/>
          <w:sz w:val="22"/>
        </w:rPr>
        <w:t>Scott built ITC on the back of 20 years in cattle operations (500+ cow-calf), wildlife ecology, public health, wastewater, seed sales, and feed division management. He was the customer ITC is built to serve before he built the company. He brings rare cross-domain credibility — from farm to lab to boardroom — and serves as the company's strategic and commercial lead.</w:t>
      </w:r>
    </w:p>
    <w:p>
      <w:pPr>
        <w:pStyle w:val="Heading2"/>
        <w:spacing w:before="200" w:after="20"/>
      </w:pPr>
      <w:r>
        <w:rPr>
          <w:rFonts w:ascii="Helvetica Neue" w:hAnsi="Helvetica Neue"/>
          <w:b/>
          <w:color w:val="131F3A"/>
          <w:sz w:val="26"/>
        </w:rPr>
        <w:t>Lillie Geiersbach</w:t>
      </w:r>
    </w:p>
    <w:p>
      <w:pPr>
        <w:spacing w:before="0" w:after="40"/>
      </w:pPr>
      <w:r>
        <w:rPr>
          <w:rFonts w:ascii="Helvetica Neue" w:hAnsi="Helvetica Neue"/>
          <w:b/>
          <w:color w:val="BD8A32"/>
          <w:sz w:val="20"/>
        </w:rPr>
        <w:t>Technical Lead</w:t>
      </w:r>
    </w:p>
    <w:p>
      <w:pPr>
        <w:spacing w:before="0" w:after="100"/>
      </w:pPr>
      <w:r>
        <w:rPr>
          <w:rFonts w:ascii="Helvetica Neue" w:hAnsi="Helvetica Neue"/>
          <w:color w:val="7A7870"/>
          <w:sz w:val="19"/>
        </w:rPr>
        <w:t>lillie@itc.eco</w:t>
      </w:r>
    </w:p>
    <w:p>
      <w:pPr>
        <w:spacing w:after="200"/>
      </w:pPr>
      <w:r>
        <w:rPr>
          <w:rFonts w:ascii="Helvetica Neue" w:hAnsi="Helvetica Neue"/>
          <w:color w:val="555555"/>
          <w:sz w:val="22"/>
        </w:rPr>
        <w:t>Lillie bridges the laboratory and the field. As Technical Lead, she translates the science behind ITC's technology portfolio into language that operators, municipalities, and buyers can act on. She ensures ITC's products are understood as deeply as they are sold.</w:t>
      </w:r>
    </w:p>
    <w:p>
      <w:pPr>
        <w:pStyle w:val="Heading2"/>
        <w:spacing w:before="200" w:after="20"/>
      </w:pPr>
      <w:r>
        <w:rPr>
          <w:rFonts w:ascii="Helvetica Neue" w:hAnsi="Helvetica Neue"/>
          <w:b/>
          <w:color w:val="131F3A"/>
          <w:sz w:val="26"/>
        </w:rPr>
        <w:t>Hunter Ensminger</w:t>
      </w:r>
    </w:p>
    <w:p>
      <w:pPr>
        <w:spacing w:before="0" w:after="40"/>
      </w:pPr>
      <w:r>
        <w:rPr>
          <w:rFonts w:ascii="Helvetica Neue" w:hAnsi="Helvetica Neue"/>
          <w:b/>
          <w:color w:val="BD8A32"/>
          <w:sz w:val="20"/>
        </w:rPr>
        <w:t>Operations Lead</w:t>
      </w:r>
    </w:p>
    <w:p>
      <w:pPr>
        <w:spacing w:before="0" w:after="100"/>
      </w:pPr>
      <w:r>
        <w:rPr>
          <w:rFonts w:ascii="Helvetica Neue" w:hAnsi="Helvetica Neue"/>
          <w:color w:val="7A7870"/>
          <w:sz w:val="19"/>
        </w:rPr>
        <w:t>hunter@itc.eco</w:t>
      </w:r>
    </w:p>
    <w:p>
      <w:pPr>
        <w:spacing w:after="200"/>
      </w:pPr>
      <w:r>
        <w:rPr>
          <w:rFonts w:ascii="Helvetica Neue" w:hAnsi="Helvetica Neue"/>
          <w:color w:val="555555"/>
          <w:sz w:val="22"/>
        </w:rPr>
        <w:t>Hunter manages the logistics, partnerships, and operational infrastructure that keeps ITC moving. As Operations Lead, he is responsible for making sure the company's commitments are honored in practice — from distribution to partner coordination.</w:t>
      </w:r>
    </w:p>
    <w:p>
      <w:pPr>
        <w:pStyle w:val="Heading2"/>
        <w:spacing w:before="200" w:after="20"/>
      </w:pPr>
      <w:r>
        <w:rPr>
          <w:rFonts w:ascii="Helvetica Neue" w:hAnsi="Helvetica Neue"/>
          <w:b/>
          <w:color w:val="131F3A"/>
          <w:sz w:val="26"/>
        </w:rPr>
        <w:t>Jeff Streck</w:t>
      </w:r>
    </w:p>
    <w:p>
      <w:pPr>
        <w:spacing w:before="0" w:after="40"/>
      </w:pPr>
      <w:r>
        <w:rPr>
          <w:rFonts w:ascii="Helvetica Neue" w:hAnsi="Helvetica Neue"/>
          <w:b/>
          <w:color w:val="BD8A32"/>
          <w:sz w:val="20"/>
        </w:rPr>
        <w:t>Sales &amp; Marketing Lead</w:t>
      </w:r>
    </w:p>
    <w:p>
      <w:pPr>
        <w:spacing w:before="0" w:after="100"/>
      </w:pPr>
      <w:r>
        <w:rPr>
          <w:rFonts w:ascii="Helvetica Neue" w:hAnsi="Helvetica Neue"/>
          <w:color w:val="7A7870"/>
          <w:sz w:val="19"/>
        </w:rPr>
        <w:t>jeff@itc.eco</w:t>
      </w:r>
    </w:p>
    <w:p>
      <w:pPr>
        <w:spacing w:after="200"/>
      </w:pPr>
      <w:r>
        <w:rPr>
          <w:rFonts w:ascii="Helvetica Neue" w:hAnsi="Helvetica Neue"/>
          <w:color w:val="555555"/>
          <w:sz w:val="22"/>
        </w:rPr>
        <w:t>Based in Colorado, Jeff builds and manages ITC's commercial relationships. As Sales &amp; Marketing Lead, he connects the technology portfolio with buyers across agriculture, water management, and municipal markets — and owns the company's external brand presence.</w:t>
      </w:r>
    </w:p>
    <w:p>
      <w:pPr>
        <w:pStyle w:val="Heading2"/>
        <w:spacing w:before="200" w:after="20"/>
      </w:pPr>
      <w:r>
        <w:rPr>
          <w:rFonts w:ascii="Helvetica Neue" w:hAnsi="Helvetica Neue"/>
          <w:b/>
          <w:color w:val="131F3A"/>
          <w:sz w:val="26"/>
        </w:rPr>
        <w:t>Logan Deal</w:t>
      </w:r>
    </w:p>
    <w:p>
      <w:pPr>
        <w:spacing w:before="0" w:after="40"/>
      </w:pPr>
      <w:r>
        <w:rPr>
          <w:rFonts w:ascii="Helvetica Neue" w:hAnsi="Helvetica Neue"/>
          <w:b/>
          <w:color w:val="BD8A32"/>
          <w:sz w:val="20"/>
        </w:rPr>
        <w:t>General Manager</w:t>
      </w:r>
    </w:p>
    <w:p>
      <w:pPr>
        <w:spacing w:before="0" w:after="100"/>
      </w:pPr>
      <w:r>
        <w:rPr>
          <w:rFonts w:ascii="Helvetica Neue" w:hAnsi="Helvetica Neue"/>
          <w:color w:val="7A7870"/>
          <w:sz w:val="19"/>
        </w:rPr>
        <w:t>logan@itc.eco</w:t>
      </w:r>
    </w:p>
    <w:p>
      <w:pPr>
        <w:spacing w:after="200"/>
      </w:pPr>
      <w:r>
        <w:rPr>
          <w:rFonts w:ascii="Helvetica Neue" w:hAnsi="Helvetica Neue"/>
          <w:color w:val="555555"/>
          <w:sz w:val="22"/>
        </w:rPr>
        <w:t>Based in Texas, Logan runs day-to-day operations across the company. As General Manager, she coordinates across teams, manages project timelines, and ensures that ITC's internal and external commitments are met — on time, on spec.</w:t>
      </w:r>
    </w:p>
    <w:p>
      <w:pPr>
        <w:spacing w:before="40" w:after="40"/>
        <w:pBdr>
          <w:bottom w:val="single" w:sz="6" w:space="1" w:color="131F3A"/>
        </w:pBdr>
      </w:pPr>
    </w:p>
    <w:p>
      <w:pPr>
        <w:spacing w:before="200"/>
        <w:jc w:val="center"/>
      </w:pPr>
      <w:r>
        <w:rPr>
          <w:rFonts w:ascii="Helvetica Neue" w:hAnsi="Helvetica Neue"/>
          <w:color w:val="9A9890"/>
          <w:sz w:val="18"/>
        </w:rPr>
        <w:t>Inception Technology Company, LLC  ·  itc.eco  ·  scott@itc.eco</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