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p>
      <w:pPr>
        <w:pStyle w:val="Compact"/>
        <w:numPr>
          <w:ilvl w:val="0"/>
          <w:numId w:val="1021"/>
        </w:numPr>
      </w:pPr>
      <w:r>
        <w:rPr>
          <w:b/>
        </w:rPr>
        <w:t xml:space="preserve">Insert-time encryption guard.</w:t>
      </w:r>
      <w:r>
        <w:t xml:space="preserve"> Frappe v15/v16 auto-encrypt-on-insert is inconsistent for Password fields whose fieldname collides with a reserved name (specifically </w:t>
      </w:r>
      <w:r>
        <w:rPr>
          <w:rStyle w:val="VerbatimChar"/>
        </w:rPr>
        <w:t xml:space="preserve">email</w:t>
      </w:r>
      <w:r>
        <w:t xml:space="preserve">): the auto-pass encrypts </w:t>
      </w:r>
      <w:r>
        <w:rPr>
          <w:rStyle w:val="VerbatimChar"/>
        </w:rPr>
        <w:t xml:space="preserve">password</w:t>
      </w:r>
      <w:r>
        <w:t xml:space="preserve">, </w:t>
      </w:r>
      <w:r>
        <w:rPr>
          <w:rStyle w:val="VerbatimChar"/>
        </w:rPr>
        <w:t xml:space="preserve">x_api_key</w:t>
      </w:r>
      <w:r>
        <w:t xml:space="preserve">, </w:t>
      </w:r>
      <w:r>
        <w:rPr>
          <w:rStyle w:val="VerbatimChar"/>
        </w:rPr>
        <w:t xml:space="preserve">webhook_token</w:t>
      </w:r>
      <w:r>
        <w:t xml:space="preserve"> but skips </w:t>
      </w:r>
      <w:r>
        <w:rPr>
          <w:rStyle w:val="VerbatimChar"/>
        </w:rPr>
        <w:t xml:space="preserve">email</w:t>
      </w:r>
      <w:r>
        <w:t xml:space="preserve">. Form-side saves work uniformly; only programmatic creates (scripts, fixtures, factories, </w:t>
      </w:r>
      <w:r>
        <w:rPr>
          <w:rStyle w:val="VerbatimChar"/>
        </w:rPr>
        <w:t xml:space="preserve">bench execute</w:t>
      </w:r>
      <w:r>
        <w:t xml:space="preserve">) hit the gap. EasyEcom Account’s </w:t>
      </w:r>
      <w:r>
        <w:rPr>
          <w:rStyle w:val="VerbatimChar"/>
        </w:rPr>
        <w:t xml:space="preserve">after_insert</w:t>
      </w:r>
      <w:r>
        <w:t xml:space="preserve"> hook force-encrypts all Password fields via </w:t>
      </w:r>
      <w:r>
        <w:rPr>
          <w:rStyle w:val="VerbatimChar"/>
        </w:rPr>
        <w:t xml:space="preserve">set_encrypted_password()</w:t>
      </w:r>
      <w:r>
        <w:t xml:space="preserve">. Idempotent. (Commit a70a30b.)</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EasyEcom Item Map</w:t>
            </w:r>
          </w:p>
        </w:tc>
        <w:tc>
          <w:tcPr/>
          <w:p>
            <w:pPr>
              <w:pStyle w:val="Compact"/>
              <w:jc w:val="left"/>
            </w:pPr>
            <w:r>
              <w:t xml:space="preserve">Standard, one per correspondence</w:t>
            </w:r>
          </w:p>
        </w:tc>
        <w:tc>
          <w:tcPr/>
          <w:p>
            <w:pPr>
              <w:pStyle w:val="Compact"/>
              <w:jc w:val="left"/>
            </w:pPr>
            <w:r>
              <w:t xml:space="preserve">Direction-agnostic registry linking an EasyEcom SKU ↔ an ERPNext Item or Product Bundle; stores ee_product_id/ee_cp_id for push; the join key and component-identity resolver for item sync both ways (Section 8.1)</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82"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3" w:name="X7c198e10cc1b66614ae2c282fd5f98aa6c4cc4b"/>
    <w:p>
      <w:pPr>
        <w:pStyle w:val="Heading2"/>
      </w:pPr>
      <w:r>
        <w:t xml:space="preserve">8.1 Item / Product master (bidirectional onboarding → ERPNext-mastered steady state)</w:t>
      </w:r>
    </w:p>
    <w:p>
      <w:pPr>
        <w:pStyle w:val="FirstParagraph"/>
      </w:pPr>
      <w:r>
        <w:t xml:space="preserve">Item sync is the largest master. It is </w:t>
      </w:r>
      <w:r>
        <w:rPr>
          <w:bCs/>
          <w:b/>
        </w:rPr>
        <w:t xml:space="preserve">bidirectional during onboarding</w:t>
      </w:r>
      <w:r>
        <w:t xml:space="preserve"> and </w:t>
      </w:r>
      <w:r>
        <w:rPr>
          <w:bCs/>
          <w:b/>
        </w:rPr>
        <w:t xml:space="preserve">ERPNext-mastered in steady state</w:t>
      </w:r>
      <w:r>
        <w:t xml:space="preserve">, with an explicit flip between the two phases. The design is grounded in the real EasyEcom Product Master API (five functions: GetProductMaster, GetProductMastersCount, CreateMasterProduct, UpdateMasterProduct, ActivateDeactivateProduct) and real </w:t>
      </w:r>
      <w:r>
        <w:rPr>
          <w:rStyle w:val="VerbatimChar"/>
        </w:rPr>
        <w:t xml:space="preserve">GetProductMaster</w:t>
      </w:r>
      <w:r>
        <w:t xml:space="preserve"> payloads.</w:t>
      </w:r>
    </w:p>
    <w:bookmarkStart w:id="142" w:name="two-phases-one-explicit-flip"/>
    <w:p>
      <w:pPr>
        <w:pStyle w:val="Heading3"/>
      </w:pPr>
      <w:r>
        <w:t xml:space="preserve">8.1.1 Two phases, one explicit flip</w:t>
      </w:r>
    </w:p>
    <w:p>
      <w:pPr>
        <w:pStyle w:val="Compact"/>
        <w:numPr>
          <w:ilvl w:val="0"/>
          <w:numId w:val="1080"/>
        </w:numPr>
      </w:pPr>
      <w:r>
        <w:rPr>
          <w:bCs/>
          <w:b/>
        </w:rPr>
        <w:t xml:space="preserve">Onboarding (bidirectional, supervised, one-time per client):</w:t>
      </w:r>
      <w:r>
        <w:t xml:space="preserve"> products may already exist on either side. The integration pulls EasyEcom products into ERPNext </w:t>
      </w:r>
      <w:r>
        <w:rPr>
          <w:bCs/>
          <w:b/>
        </w:rPr>
        <w:t xml:space="preserve">and</w:t>
      </w:r>
      <w:r>
        <w:t xml:space="preserve"> pushes ERPNext items into EasyEcom, reconciling both catalogues into a single mapped set. This is a supervised migration, not a steady state — duplicates and conflicts are surfaced for FDE resolution.</w:t>
      </w:r>
    </w:p>
    <w:p>
      <w:pPr>
        <w:pStyle w:val="Compact"/>
        <w:numPr>
          <w:ilvl w:val="0"/>
          <w:numId w:val="1080"/>
        </w:numPr>
      </w:pPr>
      <w:r>
        <w:rPr>
          <w:bCs/>
          <w:b/>
        </w:rPr>
        <w:t xml:space="preserve">Steady state (ERPNext-mastered):</w:t>
      </w:r>
      <w:r>
        <w:t xml:space="preserve"> once the FDE marks onboarding complete, </w:t>
      </w:r>
      <w:r>
        <w:rPr>
          <w:bCs/>
          <w:b/>
        </w:rPr>
        <w:t xml:space="preserve">ERPNext is the source of truth for items.</w:t>
      </w:r>
      <w:r>
        <w:t xml:space="preserve"> New items and changes flow ERPNext → EasyEcom (push). EasyEcom is downstream for the item master.</w:t>
      </w:r>
    </w:p>
    <w:p>
      <w:pPr>
        <w:pStyle w:val="Compact"/>
        <w:numPr>
          <w:ilvl w:val="0"/>
          <w:numId w:val="1080"/>
        </w:numPr>
      </w:pPr>
      <w:r>
        <w:rPr>
          <w:bCs/>
          <w:b/>
        </w:rPr>
        <w:t xml:space="preserve">The flip is explicit:</w:t>
      </w:r>
      <w:r>
        <w:t xml:space="preserve"> a mode flag (</w:t>
      </w:r>
      <w:r>
        <w:rPr>
          <w:rStyle w:val="VerbatimChar"/>
        </w:rPr>
        <w:t xml:space="preserve">item_master_mode</w:t>
      </w:r>
      <w:r>
        <w:t xml:space="preserve">: </w:t>
      </w:r>
      <w:r>
        <w:rPr>
          <w:rStyle w:val="VerbatimChar"/>
        </w:rPr>
        <w:t xml:space="preserve">onboarding</w:t>
      </w:r>
      <w:r>
        <w:t xml:space="preserve"> | </w:t>
      </w:r>
      <w:r>
        <w:rPr>
          <w:rStyle w:val="VerbatimChar"/>
        </w:rPr>
        <w:t xml:space="preserve">erpnext_mastered</w:t>
      </w:r>
      <w:r>
        <w:t xml:space="preserve">) on the EasyEcom Account / per-client settings. The FDE flips it only after reconciliation is complete. Behaviour differs by phase (below).</w:t>
      </w:r>
    </w:p>
    <w:bookmarkEnd w:id="142"/>
    <w:bookmarkStart w:id="143" w:name="Xcf94acdddd01ca59e9c5dcbc3d97f9f614673da"/>
    <w:p>
      <w:pPr>
        <w:pStyle w:val="Heading3"/>
      </w:pPr>
      <w:r>
        <w:t xml:space="preserve">8.1.2 The EasyEcom Item Map (direction-agnostic correspondence registry)</w:t>
      </w:r>
    </w:p>
    <w:p>
      <w:pPr>
        <w:pStyle w:val="FirstParagraph"/>
      </w:pPr>
      <w:r>
        <w:t xml:space="preserve">The link between an EasyEcom product and an ERPNext item/bundle is an explicit, persistent record — </w:t>
      </w:r>
      <w:r>
        <w:rPr>
          <w:bCs/>
          <w:b/>
        </w:rPr>
        <w:t xml:space="preserve">not</w:t>
      </w:r>
      <w:r>
        <w:t xml:space="preserve"> a field-equality computation. This is the single source of linkage for both directions and all downstream flows (orders, inventory).</w:t>
      </w:r>
    </w:p>
    <w:p>
      <w:pPr>
        <w:pStyle w:val="Compact"/>
        <w:numPr>
          <w:ilvl w:val="0"/>
          <w:numId w:val="1081"/>
        </w:numPr>
      </w:pPr>
      <w:r>
        <w:rPr>
          <w:rStyle w:val="VerbatimChar"/>
        </w:rPr>
        <w:t xml:space="preserve">EasyEcom Item Map</w:t>
      </w:r>
      <w:r>
        <w:t xml:space="preserve"> — one row per correspondence:</w:t>
      </w:r>
    </w:p>
    <w:p>
      <w:pPr>
        <w:pStyle w:val="Compact"/>
        <w:numPr>
          <w:ilvl w:val="1"/>
          <w:numId w:val="1082"/>
        </w:numPr>
      </w:pPr>
      <w:r>
        <w:rPr>
          <w:rStyle w:val="VerbatimChar"/>
        </w:rPr>
        <w:t xml:space="preserve">ee_sku</w:t>
      </w:r>
      <w:r>
        <w:t xml:space="preserve"> (the EasyEcom SKU — EE’s unique product identifier per its own FAQ; the join key)</w:t>
      </w:r>
    </w:p>
    <w:p>
      <w:pPr>
        <w:pStyle w:val="Compact"/>
        <w:numPr>
          <w:ilvl w:val="1"/>
          <w:numId w:val="1082"/>
        </w:numPr>
      </w:pPr>
      <w:r>
        <w:rPr>
          <w:rStyle w:val="VerbatimChar"/>
        </w:rPr>
        <w:t xml:space="preserve">erpnext_item</w:t>
      </w:r>
      <w:r>
        <w:t xml:space="preserve"> (the linked ERPNext Item </w:t>
      </w:r>
      <w:r>
        <w:rPr>
          <w:bCs/>
          <w:b/>
        </w:rPr>
        <w:t xml:space="preserve">or</w:t>
      </w:r>
      <w:r>
        <w:t xml:space="preserve"> Product Bundle — the link accommodates both object types, via a Dynamic Link or a type field)</w:t>
      </w:r>
    </w:p>
    <w:p>
      <w:pPr>
        <w:pStyle w:val="Compact"/>
        <w:numPr>
          <w:ilvl w:val="1"/>
          <w:numId w:val="1082"/>
        </w:numPr>
      </w:pPr>
      <w:r>
        <w:rPr>
          <w:rStyle w:val="VerbatimChar"/>
        </w:rPr>
        <w:t xml:space="preserve">ee_product_id</w:t>
      </w:r>
      <w:r>
        <w:t xml:space="preserve">, </w:t>
      </w:r>
      <w:r>
        <w:rPr>
          <w:rStyle w:val="VerbatimChar"/>
        </w:rPr>
        <w:t xml:space="preserve">ee_cp_id</w:t>
      </w:r>
      <w:r>
        <w:t xml:space="preserve"> (EasyEcom internal ids — stored because the push functions, Update/ActivateDeactivate, key on </w:t>
      </w:r>
      <w:r>
        <w:rPr>
          <w:rStyle w:val="VerbatimChar"/>
        </w:rPr>
        <w:t xml:space="preserve">product_id</w:t>
      </w:r>
      <w:r>
        <w:t xml:space="preserve">; not our join key)</w:t>
      </w:r>
    </w:p>
    <w:p>
      <w:pPr>
        <w:pStyle w:val="Compact"/>
        <w:numPr>
          <w:ilvl w:val="1"/>
          <w:numId w:val="1082"/>
        </w:numPr>
      </w:pPr>
      <w:r>
        <w:t xml:space="preserve">status / flags (Mapped, Created-Flagged, Flagged-Not-Created, Drift, Disabled)</w:t>
      </w:r>
    </w:p>
    <w:p>
      <w:pPr>
        <w:pStyle w:val="Compact"/>
        <w:numPr>
          <w:ilvl w:val="0"/>
          <w:numId w:val="1081"/>
        </w:numPr>
      </w:pPr>
      <w:r>
        <w:t xml:space="preserve">The map is </w:t>
      </w:r>
      <w:r>
        <w:rPr>
          <w:bCs/>
          <w:b/>
        </w:rPr>
        <w:t xml:space="preserve">direction-agnostic</w:t>
      </w:r>
      <w:r>
        <w:t xml:space="preserve">: a row is created whether the product was born in EasyEcom (pull created it) or in ERPNext (push created it in EE). It is also the </w:t>
      </w:r>
      <w:r>
        <w:rPr>
          <w:bCs/>
          <w:b/>
        </w:rPr>
        <w:t xml:space="preserve">component-identity resolver</w:t>
      </w:r>
      <w:r>
        <w:t xml:space="preserve"> for combos/bundles in both directions (below).</w:t>
      </w:r>
    </w:p>
    <w:bookmarkEnd w:id="143"/>
    <w:bookmarkStart w:id="144" w:name="matching-deliberately-simple"/>
    <w:p>
      <w:pPr>
        <w:pStyle w:val="Heading3"/>
      </w:pPr>
      <w:r>
        <w:t xml:space="preserve">8.1.3 Matching (deliberately simple)</w:t>
      </w:r>
    </w:p>
    <w:p>
      <w:pPr>
        <w:pStyle w:val="FirstParagraph"/>
      </w:pPr>
      <w:r>
        <w:t>EasyEcom guarantees SKU uniqueness (its FAQ: “SKU is the most unique identifier”; “sellers are mandated to maintain unique SKU codes”). So:</w:t>
      </w:r>
    </w:p>
    <w:p>
      <w:pPr>
        <w:pStyle w:val="Compact"/>
        <w:numPr>
          <w:ilvl w:val="0"/>
          <w:numId w:val="1083"/>
        </w:numPr>
      </w:pPr>
      <w:r>
        <w:rPr>
          <w:bCs/>
          <w:b/>
        </w:rPr>
        <w:t xml:space="preserve">Map row already exists</w:t>
      </w:r>
      <w:r>
        <w:t xml:space="preserve"> → use it.</w:t>
      </w:r>
    </w:p>
    <w:p>
      <w:pPr>
        <w:pStyle w:val="Compact"/>
        <w:numPr>
          <w:ilvl w:val="0"/>
          <w:numId w:val="1083"/>
        </w:numPr>
      </w:pPr>
      <w:r>
        <w:rPr>
          <w:bCs/>
          <w:b/>
        </w:rPr>
        <w:t xml:space="preserve">EE </w:t>
      </w:r>
      <w:r>
        <w:rPr>
          <w:rStyle w:val="VerbatimChar"/>
          <w:bCs/>
          <w:b/>
        </w:rPr>
        <w:t xml:space="preserve">sku</w:t>
      </w:r>
      <w:r>
        <w:rPr>
          <w:bCs/>
          <w:b/>
        </w:rPr>
        <w:t xml:space="preserve"> exactly equals an ERPNext </w:t>
      </w:r>
      <w:r>
        <w:rPr>
          <w:rStyle w:val="VerbatimChar"/>
          <w:bCs/>
          <w:b/>
        </w:rPr>
        <w:t xml:space="preserve">item_code</w:t>
      </w:r>
      <w:r>
        <w:t xml:space="preserve"> (byte-for-byte, case- and whitespace-sensitive) → </w:t>
      </w:r>
      <w:r>
        <w:rPr>
          <w:bCs/>
          <w:b/>
        </w:rPr>
        <w:t xml:space="preserve">auto-map</w:t>
      </w:r>
      <w:r>
        <w:t xml:space="preserve"> to that item + create the map row.</w:t>
      </w:r>
    </w:p>
    <w:p>
      <w:pPr>
        <w:pStyle w:val="Compact"/>
        <w:numPr>
          <w:ilvl w:val="0"/>
          <w:numId w:val="1083"/>
        </w:numPr>
      </w:pPr>
      <w:r>
        <w:rPr>
          <w:bCs/>
          <w:b/>
        </w:rPr>
        <w:t xml:space="preserve">Anything else</w:t>
      </w:r>
      <w:r>
        <w:t xml:space="preserve"> → </w:t>
      </w:r>
      <w:r>
        <w:rPr>
          <w:bCs/>
          <w:b/>
        </w:rPr>
        <w:t xml:space="preserve">create a new ERPNext item + a new map row.</w:t>
      </w:r>
    </w:p>
    <w:p>
      <w:pPr>
        <w:pStyle w:val="FirstParagraph"/>
      </w:pPr>
      <w:r>
        <w:t xml:space="preserve">There is no fuzzy matching, no EAN-based matching, and no matching-review queue. The chosen error direction is “never wrongly link” over “never duplicate”: a non-exact case creates a new item (a visible, fixable duplicate at worst) rather than risk an incorrect auto-link (silent data corruption). </w:t>
      </w:r>
      <w:r>
        <w:rPr>
          <w:rStyle w:val="VerbatimChar"/>
        </w:rPr>
        <w:t xml:space="preserve">item_code</w:t>
      </w:r>
      <w:r>
        <w:t xml:space="preserve"> defaults to </w:t>
      </w:r>
      <w:r>
        <w:rPr>
          <w:rStyle w:val="VerbatimChar"/>
        </w:rPr>
        <w:t xml:space="preserve">sku</w:t>
      </w:r>
      <w:r>
        <w:t xml:space="preserve"> for items created by the pull.</w:t>
      </w:r>
    </w:p>
    <w:bookmarkEnd w:id="144"/>
    <w:bookmarkStart w:id="145" w:name="ee-erpnext-pull"/>
    <w:p>
      <w:pPr>
        <w:pStyle w:val="Heading3"/>
      </w:pPr>
      <w:r>
        <w:t xml:space="preserve">8.1.4 EE → ERPNext (pull)</w:t>
      </w:r>
    </w:p>
    <w:p>
      <w:pPr>
        <w:pStyle w:val="FirstParagraph"/>
      </w:pPr>
      <w:r>
        <w:t xml:space="preserve">The pull is the </w:t>
      </w:r>
      <w:r>
        <w:rPr>
          <w:bCs/>
          <w:b/>
        </w:rPr>
        <w:t xml:space="preserve">inbound onboarding</w:t>
      </w:r>
      <w:r>
        <w:t xml:space="preserve"> flow, and after the flip becomes </w:t>
      </w:r>
      <w:r>
        <w:rPr>
          <w:bCs/>
          <w:b/>
        </w:rPr>
        <w:t xml:space="preserve">drift detection</w:t>
      </w:r>
      <w:r>
        <w:t xml:space="preserve"> (below).</w:t>
      </w:r>
    </w:p>
    <w:p>
      <w:pPr>
        <w:pStyle w:val="Compact"/>
        <w:numPr>
          <w:ilvl w:val="0"/>
          <w:numId w:val="1084"/>
        </w:numPr>
      </w:pPr>
      <w:r>
        <w:rPr>
          <w:bCs/>
          <w:b/>
        </w:rPr>
        <w:t xml:space="preserve">Endpoint:</w:t>
      </w:r>
      <w:r>
        <w:t xml:space="preserve"> </w:t>
      </w:r>
      <w:r>
        <w:rPr>
          <w:rStyle w:val="VerbatimChar"/>
        </w:rPr>
        <w:t xml:space="preserve">GET /Products/GetProductMaster</w:t>
      </w:r>
      <w:r>
        <w:t xml:space="preserve"> (headers </w:t>
      </w:r>
      <w:r>
        <w:rPr>
          <w:rStyle w:val="VerbatimChar"/>
        </w:rPr>
        <w:t xml:space="preserve">x-api-key</w:t>
      </w:r>
      <w:r>
        <w:t xml:space="preserve"> + per-account </w:t>
      </w:r>
      <w:r>
        <w:rPr>
          <w:rStyle w:val="VerbatimChar"/>
        </w:rPr>
        <w:t xml:space="preserve">Bearer &lt;jwt&gt;</w:t>
      </w:r>
      <w:r>
        <w:t xml:space="preserve">). </w:t>
      </w:r>
      <w:r>
        <w:rPr>
          <w:rStyle w:val="VerbatimChar"/>
        </w:rPr>
        <w:t xml:space="preserve">includeLocations=1</w:t>
      </w:r>
      <w:r>
        <w:t xml:space="preserve"> → </w:t>
      </w:r>
      <w:r>
        <w:rPr>
          <w:bCs/>
          <w:b/>
        </w:rPr>
        <w:t xml:space="preserve">account-wide catalogue</w:t>
      </w:r>
      <w:r>
        <w:t xml:space="preserve"> (products are a catalogue keyed by globally-unique SKU; not a per-location sweep). </w:t>
      </w:r>
      <w:r>
        <w:rPr>
          <w:rStyle w:val="VerbatimChar"/>
        </w:rPr>
        <w:t xml:space="preserve">GET /Products/GetProductMastersCount</w:t>
      </w:r>
      <w:r>
        <w:t xml:space="preserve"> gives the total for progress.</w:t>
      </w:r>
    </w:p>
    <w:p>
      <w:pPr>
        <w:pStyle w:val="Compact"/>
        <w:numPr>
          <w:ilvl w:val="0"/>
          <w:numId w:val="1084"/>
        </w:numPr>
      </w:pPr>
      <w:r>
        <w:rPr>
          <w:bCs/>
          <w:b/>
        </w:rPr>
        <w:t xml:space="preserve">Job shape:</w:t>
      </w:r>
      <w:r>
        <w:t xml:space="preserve"> the catalogue is large (counts in the tens of thousands). The pull is a </w:t>
      </w:r>
      <w:r>
        <w:rPr>
          <w:bCs/>
          <w:b/>
        </w:rPr>
        <w:t xml:space="preserve">cursor-paginated, count-aware, resumable background job</w:t>
      </w:r>
      <w:r>
        <w:t xml:space="preserve">: read the count, then walk the </w:t>
      </w:r>
      <w:r>
        <w:rPr>
          <w:rStyle w:val="VerbatimChar"/>
        </w:rPr>
        <w:t xml:space="preserve">nextUrl</w:t>
      </w:r>
      <w:r>
        <w:t xml:space="preserve"> cursor page by page (≤200/page), </w:t>
      </w:r>
      <w:r>
        <w:rPr>
          <w:bCs/>
          <w:b/>
        </w:rPr>
        <w:t xml:space="preserve">savepoint-isolated per product</w:t>
      </w:r>
      <w:r>
        <w:t xml:space="preserve"> (one bad product does not abort the page or the walk; the job resumes from the last cursor if interrupted). It is </w:t>
      </w:r>
      <w:r>
        <w:rPr>
          <w:bCs/>
          <w:b/>
        </w:rPr>
        <w:t xml:space="preserve">not</w:t>
      </w:r>
      <w:r>
        <w:t xml:space="preserve"> a single synchronous call (which would time out).</w:t>
      </w:r>
    </w:p>
    <w:p>
      <w:pPr>
        <w:pStyle w:val="Compact"/>
        <w:numPr>
          <w:ilvl w:val="0"/>
          <w:numId w:val="1084"/>
        </w:numPr>
      </w:pPr>
      <w:r>
        <w:rPr>
          <w:bCs/>
          <w:b/>
        </w:rPr>
        <w:t xml:space="preserve">Incremental:</w:t>
      </w:r>
      <w:r>
        <w:t xml:space="preserve"> full pull on onboarding; </w:t>
      </w:r>
      <w:r>
        <w:rPr>
          <w:rStyle w:val="VerbatimChar"/>
        </w:rPr>
        <w:t xml:space="preserve">updated_after</w:t>
      </w:r>
      <w:r>
        <w:t xml:space="preserve"> deltas on the daily schedule.</w:t>
      </w:r>
    </w:p>
    <w:p>
      <w:pPr>
        <w:pStyle w:val="Compact"/>
        <w:numPr>
          <w:ilvl w:val="0"/>
          <w:numId w:val="1084"/>
        </w:numPr>
      </w:pPr>
      <w:r>
        <w:rPr>
          <w:bCs/>
          <w:b/>
        </w:rPr>
        <w:t xml:space="preserve">Field translation via the Field Mapping engine</w:t>
      </w:r>
      <w:r>
        <w:t xml:space="preserve"> (the </w:t>
      </w:r>
      <w:r>
        <w:rPr>
          <w:rStyle w:val="VerbatimChar"/>
        </w:rPr>
        <w:t xml:space="preserve">EasyEcom-Item-Pull</w:t>
      </w:r>
      <w:r>
        <w:t xml:space="preserve"> ruleset, reconciled to the real </w:t>
      </w:r>
      <w:r>
        <w:rPr>
          <w:rStyle w:val="VerbatimChar"/>
        </w:rPr>
        <w:t xml:space="preserve">GetProductMaster</w:t>
      </w:r>
      <w:r>
        <w:t xml:space="preserve"> payload — the shipped ruleset is stale, §8.0 policy). Maps </w:t>
      </w:r>
      <w:r>
        <w:rPr>
          <w:rStyle w:val="VerbatimChar"/>
        </w:rPr>
        <w:t xml:space="preserve">sku</w:t>
      </w:r>
      <w:r>
        <w:t xml:space="preserve">, </w:t>
      </w:r>
      <w:r>
        <w:rPr>
          <w:rStyle w:val="VerbatimChar"/>
        </w:rPr>
        <w:t xml:space="preserve">product_name</w:t>
      </w:r>
      <w:r>
        <w:t xml:space="preserve">, </w:t>
      </w:r>
      <w:r>
        <w:rPr>
          <w:rStyle w:val="VerbatimChar"/>
        </w:rPr>
        <w:t xml:space="preserve">description</w:t>
      </w:r>
      <w:r>
        <w:t xml:space="preserve">, </w:t>
      </w:r>
      <w:r>
        <w:rPr>
          <w:rStyle w:val="VerbatimChar"/>
        </w:rPr>
        <w:t xml:space="preserve">brand</w:t>
      </w:r>
      <w:r>
        <w:t xml:space="preserve">, </w:t>
      </w:r>
      <w:r>
        <w:rPr>
          <w:rStyle w:val="VerbatimChar"/>
        </w:rPr>
        <w:t xml:space="preserve">colour</w:t>
      </w:r>
      <w:r>
        <w:t xml:space="preserve">, </w:t>
      </w:r>
      <w:r>
        <w:rPr>
          <w:rStyle w:val="VerbatimChar"/>
        </w:rPr>
        <w:t xml:space="preserve">size</w:t>
      </w:r>
      <w:r>
        <w:t xml:space="preserve">, dimensions (with unit handling), </w:t>
      </w:r>
      <w:r>
        <w:rPr>
          <w:rStyle w:val="VerbatimChar"/>
        </w:rPr>
        <w:t xml:space="preserve">mrp</w:t>
      </w:r>
      <w:r>
        <w:t xml:space="preserve">, </w:t>
      </w:r>
      <w:r>
        <w:rPr>
          <w:rStyle w:val="VerbatimChar"/>
        </w:rPr>
        <w:t xml:space="preserve">cost</w:t>
      </w:r>
      <w:r>
        <w:t xml:space="preserve">, </w:t>
      </w:r>
      <w:r>
        <w:rPr>
          <w:rStyle w:val="VerbatimChar"/>
        </w:rPr>
        <w:t xml:space="preserve">hsn_code</w:t>
      </w:r>
      <w:r>
        <w:t xml:space="preserve"> → </w:t>
      </w:r>
      <w:r>
        <w:rPr>
          <w:rStyle w:val="VerbatimChar"/>
        </w:rPr>
        <w:t xml:space="preserve">gst_hsn_code</w:t>
      </w:r>
      <w:r>
        <w:t xml:space="preserve">, </w:t>
      </w:r>
      <w:r>
        <w:rPr>
          <w:rStyle w:val="VerbatimChar"/>
        </w:rPr>
        <w:t xml:space="preserve">accounting_unit</w:t>
      </w:r>
      <w:r>
        <w:t xml:space="preserve"> → </w:t>
      </w:r>
      <w:r>
        <w:rPr>
          <w:rStyle w:val="VerbatimChar"/>
        </w:rPr>
        <w:t xml:space="preserve">stock_uom</w:t>
      </w:r>
      <w:r>
        <w:t xml:space="preserve"> (with a </w:t>
      </w:r>
      <w:r>
        <w:rPr>
          <w:bCs/>
          <w:b/>
        </w:rPr>
        <w:t xml:space="preserve">default-UOM</w:t>
      </w:r>
      <w:r>
        <w:t xml:space="preserve"> transform for missing/garbage values — EE supplies no clean stock UOM), </w:t>
      </w:r>
      <w:r>
        <w:rPr>
          <w:rStyle w:val="VerbatimChar"/>
        </w:rPr>
        <w:t xml:space="preserve">active</w:t>
      </w:r>
      <w:r>
        <w:t xml:space="preserve"> → </w:t>
      </w:r>
      <w:r>
        <w:rPr>
          <w:rStyle w:val="VerbatimChar"/>
        </w:rPr>
        <w:t xml:space="preserve">disabled</w:t>
      </w:r>
      <w:r>
        <w:t xml:space="preserve">, </w:t>
      </w:r>
      <w:r>
        <w:rPr>
          <w:rStyle w:val="VerbatimChar"/>
        </w:rPr>
        <w:t xml:space="preserve">custom_fields</w:t>
      </w:r>
      <w:r>
        <w:t xml:space="preserve">.</w:t>
      </w:r>
    </w:p>
    <w:p>
      <w:pPr>
        <w:pStyle w:val="Compact"/>
        <w:numPr>
          <w:ilvl w:val="0"/>
          <w:numId w:val="1084"/>
        </w:numPr>
      </w:pPr>
      <w:r>
        <w:rPr>
          <w:bCs/>
          <w:b/>
        </w:rPr>
        <w:t xml:space="preserve">Tax (stamped for ALL enabled Companies):</w:t>
      </w:r>
      <w:r>
        <w:t xml:space="preserve"> because an item is account-wide/shared but tax is per-Company, after each Item upsert the pull </w:t>
      </w:r>
      <w:r>
        <w:rPr>
          <w:bCs/>
          <w:b/>
        </w:rPr>
        <w:t xml:space="preserve">loops the Account’s enabled EasyEcom Company Settings and calls 8c’s </w:t>
      </w:r>
      <w:r>
        <w:rPr>
          <w:rStyle w:val="VerbatimChar"/>
          <w:bCs/>
          <w:b/>
        </w:rPr>
        <w:t xml:space="preserve">resolve_and_stamp_tax(item, ee_product, company)</w:t>
      </w:r>
      <w:r>
        <w:rPr>
          <w:bCs/>
          <w:b/>
        </w:rPr>
        <w:t xml:space="preserve"> once per Company.</w:t>
      </w:r>
      <w:r>
        <w:t xml:space="preserve"> Each call stamps </w:t>
      </w:r>
      <w:r>
        <w:rPr>
          <w:iCs/>
          <w:i/>
        </w:rPr>
        <w:t xml:space="preserve">that company’s</w:t>
      </w:r>
      <w:r>
        <w:t xml:space="preserve"> Item Tax rows (its company-specific templates + Min/Max Net Rate bands). </w:t>
      </w:r>
      <w:r>
        <w:rPr>
          <w:bCs/>
          <w:b/>
        </w:rPr>
        <w:t xml:space="preserve">All companies’ rows coexist on the one shared item’s Taxes table</w:t>
      </w:r>
      <w:r>
        <w:t xml:space="preserve"> (ERPNext resolves the correct row per transaction by matching the template’s company natively — this is the intended ERPNext one-item-many-companies tax model). The product carries </w:t>
      </w:r>
      <w:r>
        <w:rPr>
          <w:rStyle w:val="VerbatimChar"/>
        </w:rPr>
        <w:t xml:space="preserve">tax_rule_name</w:t>
      </w:r>
      <w:r>
        <w:t xml:space="preserve">, </w:t>
      </w:r>
      <w:r>
        <w:rPr>
          <w:rStyle w:val="VerbatimChar"/>
        </w:rPr>
        <w:t xml:space="preserve">tax_rate</w:t>
      </w:r>
      <w:r>
        <w:t xml:space="preserve">, </w:t>
      </w:r>
      <w:r>
        <w:rPr>
          <w:rStyle w:val="VerbatimChar"/>
        </w:rPr>
        <w:t xml:space="preserve">cess</w:t>
      </w:r>
      <w:r>
        <w:t xml:space="preserve">. The per-Company stamping must be </w:t>
      </w:r>
      <w:r>
        <w:rPr>
          <w:bCs/>
          <w:b/>
        </w:rPr>
        <w:t xml:space="preserve">append (companies never clobber each other) and idempotent (a re-pull does not duplicate a company’s rows)</w:t>
      </w:r>
      <w:r>
        <w:t xml:space="preserve">. Unmapped (tax_rule_name, company) → 8c auto-creates a To-Configure Tax Rule Map + flags FDE for that company.</w:t>
      </w:r>
    </w:p>
    <w:p>
      <w:pPr>
        <w:pStyle w:val="Compact"/>
        <w:numPr>
          <w:ilvl w:val="0"/>
          <w:numId w:val="1084"/>
        </w:numPr>
      </w:pPr>
      <w:r>
        <w:rPr>
          <w:bCs/>
          <w:b/>
        </w:rPr>
        <w:t xml:space="preserve">product_type branching</w:t>
      </w:r>
      <w:r>
        <w:t xml:space="preserve"> (on the </w:t>
      </w:r>
      <w:r>
        <w:rPr>
          <w:bCs/>
          <w:b/>
        </w:rPr>
        <w:t xml:space="preserve">response string</w:t>
      </w:r>
      <w:r>
        <w:t xml:space="preserve"> value; the doc’s integer enums are inconsistent across endpoints and are a push-side concern only):</w:t>
      </w:r>
    </w:p>
    <w:p>
      <w:pPr>
        <w:pStyle w:val="Compact"/>
        <w:numPr>
          <w:ilvl w:val="1"/>
          <w:numId w:val="1085"/>
        </w:numPr>
      </w:pPr>
      <w:r>
        <w:rPr>
          <w:rStyle w:val="VerbatimChar"/>
        </w:rPr>
        <w:t xml:space="preserve">normal_product</w:t>
      </w:r>
      <w:r>
        <w:t xml:space="preserve"> → ERPNext </w:t>
      </w:r>
      <w:r>
        <w:rPr>
          <w:bCs/>
          <w:b/>
        </w:rPr>
        <w:t xml:space="preserve">Item</w:t>
      </w:r>
    </w:p>
    <w:p>
      <w:pPr>
        <w:pStyle w:val="Compact"/>
        <w:numPr>
          <w:ilvl w:val="1"/>
          <w:numId w:val="1085"/>
        </w:numPr>
      </w:pPr>
      <w:r>
        <w:rPr>
          <w:rStyle w:val="VerbatimChar"/>
        </w:rPr>
        <w:t xml:space="preserve">combo_product</w:t>
      </w:r>
      <w:r>
        <w:t xml:space="preserve"> → ERPNext </w:t>
      </w:r>
      <w:r>
        <w:rPr>
          <w:bCs/>
          <w:b/>
        </w:rPr>
        <w:t xml:space="preserve">Product Bundle</w:t>
      </w:r>
      <w:r>
        <w:t xml:space="preserve"> (its </w:t>
      </w:r>
      <w:r>
        <w:rPr>
          <w:rStyle w:val="VerbatimChar"/>
        </w:rPr>
        <w:t xml:space="preserve">sub_products</w:t>
      </w:r>
      <w:r>
        <w:t xml:space="preserve"> become bundle components, each resolved to an ERPNext item via its own map row)</w:t>
      </w:r>
    </w:p>
    <w:p>
      <w:pPr>
        <w:pStyle w:val="Compact"/>
        <w:numPr>
          <w:ilvl w:val="1"/>
          <w:numId w:val="1085"/>
        </w:numPr>
      </w:pPr>
      <w:r>
        <w:rPr>
          <w:rStyle w:val="VerbatimChar"/>
        </w:rPr>
        <w:t xml:space="preserve">variant_parent</w:t>
      </w:r>
      <w:r>
        <w:t xml:space="preserve"> / </w:t>
      </w:r>
      <w:r>
        <w:rPr>
          <w:rStyle w:val="VerbatimChar"/>
        </w:rPr>
        <w:t xml:space="preserve">child_product</w:t>
      </w:r>
      <w:r>
        <w:t xml:space="preserve"> / </w:t>
      </w:r>
      <w:r>
        <w:rPr>
          <w:rStyle w:val="VerbatimChar"/>
        </w:rPr>
        <w:t xml:space="preserve">kit_bom</w:t>
      </w:r>
      <w:r>
        <w:t xml:space="preserve"> / </w:t>
      </w:r>
      <w:r>
        <w:rPr>
          <w:bCs/>
          <w:b/>
        </w:rPr>
        <w:t>any unknown or future type (e.g. a future “digital” type)</w:t>
      </w:r>
      <w:r>
        <w:t xml:space="preserve"> → </w:t>
      </w:r>
      <w:r>
        <w:rPr>
          <w:bCs/>
          <w:b/>
        </w:rPr>
        <w:t xml:space="preserve">flag, do NOT create.</w:t>
      </w:r>
      <w:r>
        <w:t xml:space="preserve"> Variants, variant children, and kits/BOMs should not exist in an EasyEcom↔ERPNext item integration (manufacturing/variant modelling stays ERPNext-side); their appearance in the EE pull is an exception for the FDE, not a creation target. Unknown types fall through to the same flag (forward-safe).</w:t>
      </w:r>
    </w:p>
    <w:p>
      <w:pPr>
        <w:pStyle w:val="Compact"/>
        <w:numPr>
          <w:ilvl w:val="0"/>
          <w:numId w:val="1084"/>
        </w:numPr>
      </w:pPr>
      <w:r>
        <w:rPr>
          <w:bCs/>
          <w:b/>
        </w:rPr>
        <w:t xml:space="preserve">Content gating</w:t>
      </w:r>
      <w:r>
        <w:t xml:space="preserve"> splits by whether the problem blocks ERPNext Item creation:</w:t>
      </w:r>
    </w:p>
    <w:p>
      <w:pPr>
        <w:pStyle w:val="Compact"/>
        <w:numPr>
          <w:ilvl w:val="1"/>
          <w:numId w:val="1086"/>
        </w:numPr>
      </w:pPr>
      <w:r>
        <w:rPr>
          <w:bCs/>
          <w:b/>
        </w:rPr>
        <w:t xml:space="preserve">Missing HSN → flag-not-created (held).</w:t>
      </w:r>
      <w:r>
        <w:t xml:space="preserve"> India Compliance enforces </w:t>
      </w:r>
      <w:r>
        <w:rPr>
          <w:rStyle w:val="VerbatimChar"/>
        </w:rPr>
        <w:t xml:space="preserve">gst_hsn_code</w:t>
      </w:r>
      <w:r>
        <w:t xml:space="preserve"> as mandatory on Item, so an item with no HSN </w:t>
      </w:r>
      <w:r>
        <w:rPr>
          <w:bCs/>
          <w:b/>
        </w:rPr>
        <w:t xml:space="preserve">cannot be created</w:t>
      </w:r>
      <w:r>
        <w:t xml:space="preserve"> — it is </w:t>
      </w:r>
      <w:r>
        <w:rPr>
          <w:bCs/>
          <w:b/>
        </w:rPr>
        <w:t xml:space="preserve">flagged (Flagged-Not-Created), not created</w:t>
      </w:r>
      <w:r>
        <w:t xml:space="preserve"> (we do not supply a placeholder HSN, which would risk a wrong HSN flowing into a real transaction, and we do not override India Compliance’s validation). This is the one content problem that holds rather than creates.</w:t>
      </w:r>
    </w:p>
    <w:p>
      <w:pPr>
        <w:pStyle w:val="Compact"/>
        <w:numPr>
          <w:ilvl w:val="1"/>
          <w:numId w:val="1086"/>
        </w:numPr>
      </w:pPr>
      <w:r>
        <w:rPr>
          <w:bCs/>
          <w:b/>
        </w:rPr>
        <w:t xml:space="preserve">Unmapped tax rule or dirty/missing UOM → create + flag (Created-Flagged).</w:t>
      </w:r>
      <w:r>
        <w:t xml:space="preserve"> These do </w:t>
      </w:r>
      <w:r>
        <w:rPr>
          <w:bCs/>
          <w:b/>
        </w:rPr>
        <w:t xml:space="preserve">not</w:t>
      </w:r>
      <w:r>
        <w:t xml:space="preserve"> block Item creation, so the item is </w:t>
      </w:r>
      <w:r>
        <w:rPr>
          <w:bCs/>
          <w:b/>
        </w:rPr>
        <w:t xml:space="preserve">created and flagged</w:t>
      </w:r>
      <w:r>
        <w:t xml:space="preserve"> (the SKU exists for downstream orders) and surfaced in the review queue — never silently defaulted.</w:t>
      </w:r>
    </w:p>
    <w:p>
      <w:pPr>
        <w:pStyle w:val="Compact"/>
        <w:numPr>
          <w:ilvl w:val="1"/>
          <w:numId w:val="1086"/>
        </w:numPr>
      </w:pPr>
      <w:r>
        <w:t xml:space="preserve">Nothing is ever silently defaulted; the only thing that holds is missing HSN (because the platform makes it un-createable).</w:t>
      </w:r>
    </w:p>
    <w:p>
      <w:pPr>
        <w:pStyle w:val="Compact"/>
        <w:numPr>
          <w:ilvl w:val="0"/>
          <w:numId w:val="1084"/>
        </w:numPr>
      </w:pPr>
      <w:r>
        <w:rPr>
          <w:rStyle w:val="VerbatimChar"/>
          <w:bCs/>
          <w:b/>
        </w:rPr>
        <w:t xml:space="preserve">is_stock_item</w:t>
      </w:r>
      <w:r>
        <w:rPr>
          <w:bCs/>
          <w:b/>
        </w:rPr>
        <w:t xml:space="preserve"> is set per product nature, not hardcoded.</w:t>
      </w:r>
      <w:r>
        <w:t xml:space="preserve"> Normal products are stock items (</w:t>
      </w:r>
      <w:r>
        <w:rPr>
          <w:rStyle w:val="VerbatimChar"/>
        </w:rPr>
        <w:t xml:space="preserve">is_stock_item=1</w:t>
      </w:r>
      <w:r>
        <w:t xml:space="preserve">); Product Bundle wrapper items are non-stock (</w:t>
      </w:r>
      <w:r>
        <w:rPr>
          <w:rStyle w:val="VerbatimChar"/>
        </w:rPr>
        <w:t xml:space="preserve">is_stock_item=0</w:t>
      </w:r>
      <w:r>
        <w:t>, §8.1.6); a future “digital” product type will also be non-stock (</w:t>
      </w:r>
      <w:r>
        <w:rPr>
          <w:rStyle w:val="VerbatimChar"/>
        </w:rPr>
        <w:t xml:space="preserve">is_stock_item=0</w:t>
      </w:r>
      <w:r>
        <w:t xml:space="preserve">). The item-creation path takes </w:t>
      </w:r>
      <w:r>
        <w:rPr>
          <w:rStyle w:val="VerbatimChar"/>
        </w:rPr>
        <w:t xml:space="preserve">is_stock_item</w:t>
      </w:r>
      <w:r>
        <w:t xml:space="preserve"> as an input (default 1) so bundles and future non-physical types set it without rework.</w:t>
      </w:r>
    </w:p>
    <w:p>
      <w:pPr>
        <w:pStyle w:val="Compact"/>
        <w:numPr>
          <w:ilvl w:val="0"/>
          <w:numId w:val="1084"/>
        </w:numPr>
      </w:pPr>
      <w:r>
        <w:rPr>
          <w:rStyle w:val="VerbatimChar"/>
        </w:rPr>
        <w:t xml:space="preserve">active: 0</w:t>
      </w:r>
      <w:r>
        <w:t xml:space="preserve"> in the payload → the ERPNext item is </w:t>
      </w:r>
      <w:r>
        <w:rPr>
          <w:bCs/>
          <w:b/>
        </w:rPr>
        <w:t xml:space="preserve">disabled</w:t>
      </w:r>
      <w:r>
        <w:t xml:space="preserve"> (never deleted).</w:t>
      </w:r>
    </w:p>
    <w:bookmarkEnd w:id="145"/>
    <w:bookmarkStart w:id="146" w:name="erpnext-ee-push"/>
    <w:p>
      <w:pPr>
        <w:pStyle w:val="Heading3"/>
      </w:pPr>
      <w:r>
        <w:t xml:space="preserve">8.1.5 ERPNext → EE (push)</w:t>
      </w:r>
    </w:p>
    <w:p>
      <w:pPr>
        <w:pStyle w:val="FirstParagraph"/>
      </w:pPr>
      <w:r>
        <w:t xml:space="preserve">The push is the </w:t>
      </w:r>
      <w:r>
        <w:rPr>
          <w:bCs/>
          <w:b/>
        </w:rPr>
        <w:t xml:space="preserve">outbound onboarding</w:t>
      </w:r>
      <w:r>
        <w:t xml:space="preserve"> flow </w:t>
      </w:r>
      <w:r>
        <w:rPr>
          <w:bCs/>
          <w:b/>
        </w:rPr>
        <w:t xml:space="preserve">and</w:t>
      </w:r>
      <w:r>
        <w:t xml:space="preserve"> the </w:t>
      </w:r>
      <w:r>
        <w:rPr>
          <w:bCs/>
          <w:b/>
        </w:rPr>
        <w:t xml:space="preserve">steady-state mechanism</w:t>
      </w:r>
      <w:r>
        <w:t xml:space="preserve"> (once ERPNext is master, all item flow is push).</w:t>
      </w:r>
    </w:p>
    <w:p>
      <w:pPr>
        <w:pStyle w:val="Compact"/>
        <w:numPr>
          <w:ilvl w:val="0"/>
          <w:numId w:val="1087"/>
        </w:numPr>
      </w:pPr>
      <w:r>
        <w:rPr>
          <w:bCs/>
          <w:b/>
        </w:rPr>
        <w:t xml:space="preserve">Endpoints:</w:t>
      </w:r>
      <w:r>
        <w:t xml:space="preserve"> </w:t>
      </w:r>
      <w:r>
        <w:rPr>
          <w:rStyle w:val="VerbatimChar"/>
        </w:rPr>
        <w:t xml:space="preserve">POST /Products/CreateMasterProduct</w:t>
      </w:r>
      <w:r>
        <w:t xml:space="preserve"> (new), </w:t>
      </w:r>
      <w:r>
        <w:rPr>
          <w:rStyle w:val="VerbatimChar"/>
        </w:rPr>
        <w:t xml:space="preserve">POST /Products/UpdateMasterProduct</w:t>
      </w:r>
      <w:r>
        <w:t xml:space="preserve"> (changed; keys on sku or productId; supports partial updates), </w:t>
      </w:r>
      <w:r>
        <w:rPr>
          <w:rStyle w:val="VerbatimChar"/>
        </w:rPr>
        <w:t xml:space="preserve">POST /Products/ActivateDeactivateProduct</w:t>
      </w:r>
      <w:r>
        <w:t xml:space="preserve"> (lifecycle; keys on product_id).</w:t>
      </w:r>
    </w:p>
    <w:p>
      <w:pPr>
        <w:pStyle w:val="Compact"/>
        <w:numPr>
          <w:ilvl w:val="0"/>
          <w:numId w:val="1087"/>
        </w:numPr>
      </w:pPr>
      <w:r>
        <w:rPr>
          <w:bCs/>
          <w:b/>
        </w:rPr>
        <w:t xml:space="preserve">Field translation</w:t>
      </w:r>
      <w:r>
        <w:t xml:space="preserve"> ERPNext item → EE create-payload. EasyEcom’s create requires fields ERPNext items do not natively carry — these are </w:t>
      </w:r>
      <w:r>
        <w:rPr>
          <w:bCs/>
          <w:b/>
        </w:rPr>
        <w:t xml:space="preserve">manufactured/defaulted</w:t>
      </w:r>
      <w:r>
        <w:t xml:space="preserve"> on push: </w:t>
      </w:r>
      <w:r>
        <w:rPr>
          <w:rStyle w:val="VerbatimChar"/>
        </w:rPr>
        <w:t xml:space="preserve">materialType</w:t>
      </w:r>
      <w:r>
        <w:t xml:space="preserve"> (mandatory in EE; absent in ERPNext → default </w:t>
      </w:r>
      <w:r>
        <w:rPr>
          <w:bCs/>
          <w:b/>
        </w:rPr>
        <w:t xml:space="preserve">Finished Good = 1</w:t>
      </w:r>
      <w:r>
        <w:t xml:space="preserve">), </w:t>
      </w:r>
      <w:r>
        <w:rPr>
          <w:rStyle w:val="VerbatimChar"/>
        </w:rPr>
        <w:t xml:space="preserve">itemType</w:t>
      </w:r>
      <w:r>
        <w:t xml:space="preserve"> (from the product’s nature: normal = 0, combo = 1), </w:t>
      </w:r>
      <w:r>
        <w:rPr>
          <w:rStyle w:val="VerbatimChar"/>
        </w:rPr>
        <w:t xml:space="preserve">Brand</w:t>
      </w:r>
      <w:r>
        <w:t xml:space="preserve"> / </w:t>
      </w:r>
      <w:r>
        <w:rPr>
          <w:rStyle w:val="VerbatimChar"/>
        </w:rPr>
        <w:t xml:space="preserve">Category</w:t>
      </w:r>
      <w:r>
        <w:t xml:space="preserve"> / </w:t>
      </w:r>
      <w:r>
        <w:rPr>
          <w:rStyle w:val="VerbatimChar"/>
        </w:rPr>
        <w:t xml:space="preserve">ModelNumber</w:t>
      </w:r>
      <w:r>
        <w:t xml:space="preserve"> (sourced from the item or defaulted). The product name maps to the EE </w:t>
      </w:r>
      <w:r>
        <w:rPr>
          <w:rStyle w:val="VerbatimChar"/>
        </w:rPr>
        <w:t xml:space="preserve">ModelName</w:t>
      </w:r>
      <w:r>
        <w:t xml:space="preserve"> field, not </w:t>
      </w:r>
      <w:r>
        <w:rPr>
          <w:rStyle w:val="VerbatimChar"/>
        </w:rPr>
        <w:t xml:space="preserve">ItemName</w:t>
      </w:r>
      <w:r>
        <w:t xml:space="preserve"> (which EE silently ignores). Weight and dimension values are emitted as integers in EE units (grams, cm), converted from the item’s UOM via FDE-editable Field Mapping rules. </w:t>
      </w:r>
      <w:r>
        <w:rPr>
          <w:rStyle w:val="VerbatimChar"/>
        </w:rPr>
        <w:t xml:space="preserve">ProductTaxCode</w:t>
      </w:r>
      <w:r>
        <w:t xml:space="preserve"> = the item’s HSN. </w:t>
      </w:r>
      <w:r>
        <w:rPr>
          <w:rStyle w:val="VerbatimChar"/>
        </w:rPr>
        <w:t xml:space="preserve">TaxRate</w:t>
      </w:r>
      <w:r>
        <w:t xml:space="preserve"> from the item’s tax (allowed EE values 0/3/5/12/18/28). Dimensions in EE units (weight g, dimensions cm).</w:t>
      </w:r>
    </w:p>
    <w:p>
      <w:pPr>
        <w:pStyle w:val="Compact"/>
        <w:numPr>
          <w:ilvl w:val="0"/>
          <w:numId w:val="1087"/>
        </w:numPr>
      </w:pPr>
      <w:r>
        <w:t xml:space="preserve">On </w:t>
      </w:r>
      <w:r>
        <w:rPr>
          <w:rStyle w:val="VerbatimChar"/>
        </w:rPr>
        <w:t xml:space="preserve">CreateMasterProduct</w:t>
      </w:r>
      <w:r>
        <w:t xml:space="preserve">, EE returns </w:t>
      </w:r>
      <w:r>
        <w:rPr>
          <w:rStyle w:val="VerbatimChar"/>
        </w:rPr>
        <w:t xml:space="preserve">product_id</w:t>
      </w:r>
      <w:r>
        <w:t xml:space="preserve"> → written to the map row.</w:t>
      </w:r>
    </w:p>
    <w:bookmarkEnd w:id="146"/>
    <w:bookmarkStart w:id="147" w:name="Xdb5d54e9f2ef80e7be0b6fcb2e06a87cd1cab48"/>
    <w:p>
      <w:pPr>
        <w:pStyle w:val="Heading3"/>
      </w:pPr>
      <w:r>
        <w:t xml:space="preserve">8.1.6 Product Bundles ↔ EasyEcom combos (bidirectional)</w:t>
      </w:r>
    </w:p>
    <w:p>
      <w:pPr>
        <w:pStyle w:val="FirstParagraph"/>
      </w:pPr>
      <w:r>
        <w:t xml:space="preserve">Bundles are bidirectional, mirroring normal items:</w:t>
      </w:r>
    </w:p>
    <w:p>
      <w:pPr>
        <w:pStyle w:val="Compact"/>
        <w:numPr>
          <w:ilvl w:val="0"/>
          <w:numId w:val="1088"/>
        </w:numPr>
      </w:pPr>
      <w:r>
        <w:rPr>
          <w:bCs/>
          <w:b/>
        </w:rPr>
        <w:t xml:space="preserve">Pull:</w:t>
      </w:r>
      <w:r>
        <w:t xml:space="preserve"> EE </w:t>
      </w:r>
      <w:r>
        <w:rPr>
          <w:rStyle w:val="VerbatimChar"/>
        </w:rPr>
        <w:t xml:space="preserve">combo_product</w:t>
      </w:r>
      <w:r>
        <w:t xml:space="preserve"> → ERPNext Product Bundle (covered in 8.1.4).</w:t>
      </w:r>
    </w:p>
    <w:p>
      <w:pPr>
        <w:pStyle w:val="Compact"/>
        <w:numPr>
          <w:ilvl w:val="0"/>
          <w:numId w:val="1088"/>
        </w:numPr>
      </w:pPr>
      <w:r>
        <w:rPr>
          <w:bCs/>
          <w:b/>
        </w:rPr>
        <w:t xml:space="preserve">Push:</w:t>
      </w:r>
      <w:r>
        <w:t xml:space="preserve"> an ERPNext </w:t>
      </w:r>
      <w:r>
        <w:rPr>
          <w:bCs/>
          <w:b/>
        </w:rPr>
        <w:t xml:space="preserve">Product Bundle</w:t>
      </w:r>
      <w:r>
        <w:t xml:space="preserve"> → an EasyEcom </w:t>
      </w:r>
      <w:r>
        <w:rPr>
          <w:bCs/>
          <w:b/>
        </w:rPr>
        <w:t xml:space="preserve">combo</w:t>
      </w:r>
      <w:r>
        <w:t xml:space="preserve"> (a “virtual combo” — non-stocked selling wrapper; the components carry the stock, exactly as a Product Bundle is non-stocked in ERPNext). Pushed via </w:t>
      </w:r>
      <w:r>
        <w:rPr>
          <w:rStyle w:val="VerbatimChar"/>
        </w:rPr>
        <w:t xml:space="preserve">CreateMasterProduct</w:t>
      </w:r>
      <w:r>
        <w:t xml:space="preserve"> with </w:t>
      </w:r>
      <w:r>
        <w:rPr>
          <w:rStyle w:val="VerbatimChar"/>
        </w:rPr>
        <w:t xml:space="preserve">itemType = 1</w:t>
      </w:r>
      <w:r>
        <w:t xml:space="preserve"> (Combo) and the </w:t>
      </w:r>
      <w:r>
        <w:rPr>
          <w:rStyle w:val="VerbatimChar"/>
        </w:rPr>
        <w:t xml:space="preserve">subProducts</w:t>
      </w:r>
      <w:r>
        <w:t xml:space="preserve"> array assembled from the bundle’s components — </w:t>
      </w:r>
      <w:r>
        <w:rPr>
          <w:bCs/>
          <w:b/>
        </w:rPr>
        <w:t xml:space="preserve">each component resolved to its EasyEcom SKU via its own map row.</w:t>
      </w:r>
    </w:p>
    <w:p>
      <w:pPr>
        <w:pStyle w:val="Compact"/>
        <w:numPr>
          <w:ilvl w:val="0"/>
          <w:numId w:val="1088"/>
        </w:numPr>
      </w:pPr>
      <w:r>
        <w:rPr>
          <w:bCs/>
          <w:b/>
        </w:rPr>
        <w:t xml:space="preserve">Dependency ordering:</w:t>
      </w:r>
      <w:r>
        <w:t xml:space="preserve"> components must exist in EasyEcom (and be mapped) before the combo is pushed. The push processes </w:t>
      </w:r>
      <w:r>
        <w:rPr>
          <w:bCs/>
          <w:b/>
        </w:rPr>
        <w:t xml:space="preserve">components before combos</w:t>
      </w:r>
      <w:r>
        <w:t xml:space="preserve">; if a component is missing or unmapped at combo-push time, the combo is </w:t>
      </w:r>
      <w:r>
        <w:rPr>
          <w:bCs/>
          <w:b/>
        </w:rPr>
        <w:t xml:space="preserve">flagged, not pushed</w:t>
      </w:r>
      <w:r>
        <w:t xml:space="preserve"> (no broken combos).</w:t>
      </w:r>
    </w:p>
    <w:p>
      <w:pPr>
        <w:pStyle w:val="Compact"/>
        <w:numPr>
          <w:ilvl w:val="0"/>
          <w:numId w:val="1088"/>
        </w:numPr>
      </w:pPr>
      <w:r>
        <w:rPr>
          <w:bCs/>
          <w:b/>
        </w:rPr>
        <w:t xml:space="preserve">Constraint:</w:t>
      </w:r>
      <w:r>
        <w:t xml:space="preserve"> EasyEcom requires a combo’s </w:t>
      </w:r>
      <w:r>
        <w:rPr>
          <w:rStyle w:val="VerbatimChar"/>
        </w:rPr>
        <w:t xml:space="preserve">subProducts</w:t>
      </w:r>
      <w:r>
        <w:t xml:space="preserve"> to contain </w:t>
      </w:r>
      <w:r>
        <w:rPr>
          <w:bCs/>
          <w:b/>
        </w:rPr>
        <w:t xml:space="preserve">at least 2 products</w:t>
      </w:r>
      <w:r>
        <w:t xml:space="preserve">; a bundle with fewer cannot be pushed and is flagged.</w:t>
      </w:r>
    </w:p>
    <w:p>
      <w:pPr>
        <w:pStyle w:val="Compact"/>
        <w:numPr>
          <w:ilvl w:val="0"/>
          <w:numId w:val="1088"/>
        </w:numPr>
      </w:pPr>
      <w:r>
        <w:rPr>
          <w:bCs/>
          <w:b/>
        </w:rPr>
        <w:t xml:space="preserve">The bundle gets its own map row</w:t>
      </w:r>
      <w:r>
        <w:t xml:space="preserve"> (bundle ↔ EE combo); its components resolve through their own rows. The map is thus the </w:t>
      </w:r>
      <w:r>
        <w:rPr>
          <w:bCs/>
          <w:b/>
        </w:rPr>
        <w:t xml:space="preserve">component-identity resolver in both directions</w:t>
      </w:r>
      <w:r>
        <w:t xml:space="preserve"> (sub_product sku → ERPNext item on pull; ERPNext component → EE sku on push).</w:t>
      </w:r>
    </w:p>
    <w:p>
      <w:pPr>
        <w:pStyle w:val="Compact"/>
        <w:numPr>
          <w:ilvl w:val="0"/>
          <w:numId w:val="1088"/>
        </w:numPr>
      </w:pPr>
      <w:r>
        <w:rPr>
          <w:bCs/>
          <w:b/>
        </w:rPr>
        <w:t xml:space="preserve">No BOM / no Kit:</w:t>
      </w:r>
      <w:r>
        <w:t xml:space="preserve"> ERPNext BOMs are </w:t>
      </w:r>
      <w:r>
        <w:rPr>
          <w:bCs/>
          <w:b/>
        </w:rPr>
        <w:t xml:space="preserve">not</w:t>
      </w:r>
      <w:r>
        <w:t xml:space="preserve"> pushed to EasyEcom (manufacturing stays ERPNext-side); EasyEcom </w:t>
      </w:r>
      <w:r>
        <w:rPr>
          <w:rStyle w:val="VerbatimChar"/>
        </w:rPr>
        <w:t xml:space="preserve">kit_bom</w:t>
      </w:r>
      <w:r>
        <w:t xml:space="preserve"> is flagged-not-created on pull. Only Product Bundles ↔ combos cross the boundary.</w:t>
      </w:r>
    </w:p>
    <w:bookmarkEnd w:id="147"/>
    <w:bookmarkStart w:id="148" w:name="Xd4b3473a4fccf39e5a2e2d7ba99a2b07ff37e4d"/>
    <w:p>
      <w:pPr>
        <w:pStyle w:val="Heading3"/>
      </w:pPr>
      <w:r>
        <w:t xml:space="preserve">8.1.7 Lifecycle — deactivate / reactivate (both directions, phase-governed)</w:t>
      </w:r>
    </w:p>
    <w:p>
      <w:pPr>
        <w:pStyle w:val="Compact"/>
        <w:numPr>
          <w:ilvl w:val="0"/>
          <w:numId w:val="1089"/>
        </w:numPr>
      </w:pPr>
      <w:r>
        <w:rPr>
          <w:bCs/>
          <w:b/>
        </w:rPr>
        <w:t xml:space="preserve">Onboarding:</w:t>
      </w:r>
      <w:r>
        <w:t xml:space="preserve"> EE </w:t>
      </w:r>
      <w:r>
        <w:rPr>
          <w:rStyle w:val="VerbatimChar"/>
        </w:rPr>
        <w:t xml:space="preserve">active</w:t>
      </w:r>
      <w:r>
        <w:t xml:space="preserve"> flag → ERPNext disable/enable (pull side); ERPNext disable → EE </w:t>
      </w:r>
      <w:r>
        <w:rPr>
          <w:rStyle w:val="VerbatimChar"/>
        </w:rPr>
        <w:t xml:space="preserve">ActivateDeactivateProduct(status=0)</w:t>
      </w:r>
      <w:r>
        <w:t xml:space="preserve"> (push side).</w:t>
      </w:r>
    </w:p>
    <w:p>
      <w:pPr>
        <w:pStyle w:val="Compact"/>
        <w:numPr>
          <w:ilvl w:val="0"/>
          <w:numId w:val="1089"/>
        </w:numPr>
      </w:pPr>
      <w:r>
        <w:rPr>
          <w:bCs/>
          <w:b/>
        </w:rPr>
        <w:t xml:space="preserve">Steady state (ERPNext-mastered):</w:t>
      </w:r>
      <w:r>
        <w:t xml:space="preserve"> ERPNext disable/enable → pushed to EE. An EE-side deactivation is </w:t>
      </w:r>
      <w:r>
        <w:rPr>
          <w:bCs/>
          <w:b/>
        </w:rPr>
        <w:t xml:space="preserve">not</w:t>
      </w:r>
      <w:r>
        <w:t xml:space="preserve"> accepted as truth — it is </w:t>
      </w:r>
      <w:r>
        <w:rPr>
          <w:bCs/>
          <w:b/>
        </w:rPr>
        <w:t xml:space="preserve">flagged as drift</w:t>
      </w:r>
      <w:r>
        <w:t xml:space="preserve"> (below).</w:t>
      </w:r>
    </w:p>
    <w:p>
      <w:pPr>
        <w:pStyle w:val="Compact"/>
        <w:numPr>
          <w:ilvl w:val="0"/>
          <w:numId w:val="1089"/>
        </w:numPr>
      </w:pPr>
      <w:r>
        <w:t xml:space="preserve">Deactivation never deletes on either side.</w:t>
      </w:r>
    </w:p>
    <w:bookmarkEnd w:id="148"/>
    <w:bookmarkStart w:id="149" w:name="after-the-flip-drift-detection"/>
    <w:p>
      <w:pPr>
        <w:pStyle w:val="Heading3"/>
      </w:pPr>
      <w:r>
        <w:t xml:space="preserve">8.1.8 After the flip — drift detection</w:t>
      </w:r>
    </w:p>
    <w:p>
      <w:pPr>
        <w:pStyle w:val="FirstParagraph"/>
      </w:pPr>
      <w:r>
        <w:t xml:space="preserve">Once </w:t>
      </w:r>
      <w:r>
        <w:rPr>
          <w:rStyle w:val="VerbatimChar"/>
        </w:rPr>
        <w:t xml:space="preserve">item_master_mode = erpnext_mastered</w:t>
      </w:r>
      <w:r>
        <w:t xml:space="preserve">:</w:t>
      </w:r>
    </w:p>
    <w:p>
      <w:pPr>
        <w:pStyle w:val="Compact"/>
        <w:numPr>
          <w:ilvl w:val="0"/>
          <w:numId w:val="1090"/>
        </w:numPr>
      </w:pPr>
      <w:r>
        <w:t xml:space="preserve">The push (ERPNext → EE) is the authoritative item flow.</w:t>
      </w:r>
    </w:p>
    <w:p>
      <w:pPr>
        <w:pStyle w:val="Compact"/>
        <w:numPr>
          <w:ilvl w:val="0"/>
          <w:numId w:val="1090"/>
        </w:numPr>
      </w:pPr>
      <w:r>
        <w:t xml:space="preserve">The pull continues only as </w:t>
      </w:r>
      <w:r>
        <w:rPr>
          <w:bCs/>
          <w:b/>
        </w:rPr>
        <w:t xml:space="preserve">drift detection</w:t>
      </w:r>
      <w:r>
        <w:t xml:space="preserve">: an EE-originated new product, or an EE-side edit to a mapped item, is </w:t>
      </w:r>
      <w:r>
        <w:rPr>
          <w:bCs/>
          <w:b/>
        </w:rPr>
        <w:t xml:space="preserve">flagged for the FDE</w:t>
      </w:r>
      <w:r>
        <w:t xml:space="preserve"> — not accepted as truth, and </w:t>
      </w:r>
      <w:r>
        <w:rPr>
          <w:bCs/>
          <w:b/>
        </w:rPr>
        <w:t xml:space="preserve">not auto-overwritten</w:t>
      </w:r>
      <w:r>
        <w:t xml:space="preserve"> from ERPNext (silently overwriting could destroy legitimate EE operational data; silently accepting would violate ERPNext mastership). The FDE decides per drift flag.</w:t>
      </w:r>
    </w:p>
    <w:bookmarkEnd w:id="149"/>
    <w:bookmarkStart w:id="150" w:name="Xde3ce03ef63c3db4a54ea563f3f5a00b8768001"/>
    <w:p>
      <w:pPr>
        <w:pStyle w:val="Heading3"/>
      </w:pPr>
      <w:r>
        <w:t xml:space="preserve">8.1.9 Onboarding reconciliation (supervised) and the exception/review state</w:t>
      </w:r>
    </w:p>
    <w:p>
      <w:pPr>
        <w:pStyle w:val="Compact"/>
        <w:numPr>
          <w:ilvl w:val="0"/>
          <w:numId w:val="1091"/>
        </w:numPr>
      </w:pPr>
      <w:r>
        <w:t xml:space="preserve">Onboarding reconciliation is </w:t>
      </w:r>
      <w:r>
        <w:rPr>
          <w:bCs/>
          <w:b/>
        </w:rPr>
        <w:t xml:space="preserve">FDE-supervised</w:t>
      </w:r>
      <w:r>
        <w:t xml:space="preserve">: after pulling EE products and pushing ERPNext items, duplicates (same physical product reached from both sides with non-matching identifiers) and conflicts are surfaced; the FDE resolves them; then the FDE flips to </w:t>
      </w:r>
      <w:r>
        <w:rPr>
          <w:rStyle w:val="VerbatimChar"/>
        </w:rPr>
        <w:t xml:space="preserve">erpnext_mastered</w:t>
      </w:r>
      <w:r>
        <w:t xml:space="preserve">.</w:t>
      </w:r>
    </w:p>
    <w:p>
      <w:pPr>
        <w:pStyle w:val="Compact"/>
        <w:numPr>
          <w:ilvl w:val="0"/>
          <w:numId w:val="1091"/>
        </w:numPr>
      </w:pPr>
      <w:r>
        <w:t xml:space="preserve">The </w:t>
      </w:r>
      <w:r>
        <w:rPr>
          <w:bCs/>
          <w:b/>
        </w:rPr>
        <w:t xml:space="preserve">review/exception state</w:t>
      </w:r>
      <w:r>
        <w:t xml:space="preserve"> holds three kinds of items, all visible to the FDE:</w:t>
      </w:r>
    </w:p>
    <w:p>
      <w:pPr>
        <w:pStyle w:val="Compact"/>
        <w:numPr>
          <w:ilvl w:val="1"/>
          <w:numId w:val="1092"/>
        </w:numPr>
      </w:pPr>
      <w:r>
        <w:rPr>
          <w:bCs/>
          <w:b/>
        </w:rPr>
        <w:t xml:space="preserve">Created-Flagged</w:t>
      </w:r>
      <w:r>
        <w:t xml:space="preserve"> — created but with a content problem that does not block creation (unmapped tax, dirty/missing UOM) to fix.</w:t>
      </w:r>
    </w:p>
    <w:p>
      <w:pPr>
        <w:pStyle w:val="Compact"/>
        <w:numPr>
          <w:ilvl w:val="1"/>
          <w:numId w:val="1092"/>
        </w:numPr>
      </w:pPr>
      <w:r>
        <w:rPr>
          <w:bCs/>
          <w:b/>
        </w:rPr>
        <w:t xml:space="preserve">Flagged-Not-Created</w:t>
      </w:r>
      <w:r>
        <w:t xml:space="preserve"> — not created: either an unsupported type (variant_parent / child_product / kit_bom / unknown) </w:t>
      </w:r>
      <w:r>
        <w:rPr>
          <w:bCs/>
          <w:b/>
        </w:rPr>
        <w:t xml:space="preserve">or</w:t>
      </w:r>
      <w:r>
        <w:t xml:space="preserve"> a product missing HSN (India Compliance makes an HSN-less Item un-createable, §8.1.4).</w:t>
      </w:r>
    </w:p>
    <w:p>
      <w:pPr>
        <w:pStyle w:val="Compact"/>
        <w:numPr>
          <w:ilvl w:val="1"/>
          <w:numId w:val="1092"/>
        </w:numPr>
      </w:pPr>
      <w:r>
        <w:rPr>
          <w:bCs/>
          <w:b/>
        </w:rPr>
        <w:t xml:space="preserve">Drift</w:t>
      </w:r>
      <w:r>
        <w:t xml:space="preserve"> — (post-flip) an unexpected EE-side change or EE-origin product.</w:t>
      </w:r>
    </w:p>
    <w:bookmarkEnd w:id="150"/>
    <w:bookmarkStart w:id="151" w:name="X8361a2c614de944b099d02449ed8d0941050e7b"/>
    <w:p>
      <w:pPr>
        <w:pStyle w:val="Heading3"/>
      </w:pPr>
      <w:r>
        <w:t xml:space="preserve">8.1.10 Build sequence (one packet, internally sequential)</w:t>
      </w:r>
    </w:p>
    <w:p>
      <w:pPr>
        <w:pStyle w:val="FirstParagraph"/>
      </w:pPr>
      <w:r>
        <w:t xml:space="preserve">Built as a single packet, in dependency order: (1) the </w:t>
      </w:r>
      <w:r>
        <w:rPr>
          <w:rStyle w:val="VerbatimChar"/>
        </w:rPr>
        <w:t xml:space="preserve">EasyEcom Item Map</w:t>
      </w:r>
      <w:r>
        <w:t xml:space="preserve"> + the </w:t>
      </w:r>
      <w:r>
        <w:rPr>
          <w:rStyle w:val="VerbatimChar"/>
        </w:rPr>
        <w:t xml:space="preserve">item_master_mode</w:t>
      </w:r>
      <w:r>
        <w:t xml:space="preserve"> substrate; (2) the EE → ERPNext pull (cursor job, engine ruleset reconciliation, tax-resolver integration, product_type branching, content gating); (3) the ERPNext → EE push (create/update, EE-mandatory-field manufacturing); (4) Product Bundle ↔ combo both ways (component resolution, dependency ordering); (5) lifecycle (deactivate/reactivate, phase-governed) and the post-flip drift detection. Reuses the Field Mapping engine (§8.0), 8c’s tax resolver, the 8a per-record savepoint helper, and the workflow-fixture pattern (and its captured gotchas, including the </w:t>
      </w:r>
      <w:r>
        <w:rPr>
          <w:rStyle w:val="VerbatimChar"/>
        </w:rPr>
        <w:t xml:space="preserve">safe_eval</w:t>
      </w:r>
      <w:r>
        <w:t xml:space="preserve">/</w:t>
      </w:r>
      <w:r>
        <w:rPr>
          <w:rStyle w:val="VerbatimChar"/>
        </w:rPr>
        <w:t xml:space="preserve">len()</w:t>
      </w:r>
      <w:r>
        <w:t xml:space="preserve"> condition rule).</w:t>
      </w:r>
    </w:p>
    <w:bookmarkEnd w:id="151"/>
    <w:bookmarkStart w:id="152" w:name="out-of-scope-separate-later"/>
    <w:p>
      <w:pPr>
        <w:pStyle w:val="Heading3"/>
      </w:pPr>
      <w:r>
        <w:t xml:space="preserve">8.1.11 Out of scope (separate, later)</w:t>
      </w:r>
    </w:p>
    <w:p>
      <w:pPr>
        <w:pStyle w:val="Compact"/>
        <w:numPr>
          <w:ilvl w:val="0"/>
          <w:numId w:val="1093"/>
        </w:numPr>
      </w:pPr>
      <w:r>
        <w:rPr>
          <w:bCs/>
          <w:b/>
        </w:rPr>
        <w:t xml:space="preserve">Marketplace listings</w:t>
      </w:r>
      <w:r>
        <w:t xml:space="preserve"> (Amazon ASIN, Flipkart FSN, per-channel </w:t>
      </w:r>
      <w:r>
        <w:rPr>
          <w:rStyle w:val="VerbatimChar"/>
        </w:rPr>
        <w:t xml:space="preserve">marketplace_sku</w:t>
      </w:r>
      <w:r>
        <w:t xml:space="preserve">): synced per-channel from the marketplaces into EasyEcom (EE FAQ); a separate listing-sync concern, not part of the item master.</w:t>
      </w:r>
    </w:p>
    <w:p>
      <w:pPr>
        <w:pStyle w:val="Compact"/>
        <w:numPr>
          <w:ilvl w:val="0"/>
          <w:numId w:val="1093"/>
        </w:numPr>
      </w:pPr>
      <w:r>
        <w:rPr>
          <w:bCs/>
          <w:b/>
        </w:rPr>
        <w:t xml:space="preserve">Stock / inventory sync</w:t>
      </w:r>
      <w:r>
        <w:t xml:space="preserve"> (per-location quantities): a separate concern from the product master (which is the account-wide catalogue).</w:t>
      </w:r>
    </w:p>
    <w:p>
      <w:pPr>
        <w:pStyle w:val="Compact"/>
        <w:numPr>
          <w:ilvl w:val="0"/>
          <w:numId w:val="1093"/>
        </w:numPr>
      </w:pPr>
      <w:r>
        <w:t xml:space="preserve">Account-global sharing across Companies via ERPNext Item Defaults is the standard ERPNext mechanism; the integration does not duplicate the Item per Company.</w:t>
      </w:r>
    </w:p>
    <w:bookmarkEnd w:id="152"/>
    <w:bookmarkEnd w:id="153"/>
    <w:bookmarkStart w:id="159" w:name="customer-master"/>
    <w:p>
      <w:pPr>
        <w:pStyle w:val="Heading2"/>
      </w:pPr>
      <w:r>
        <w:t xml:space="preserve">8.2 Customer master</w:t>
      </w:r>
    </w:p>
    <w:bookmarkStart w:id="154"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9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9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4"/>
    <w:bookmarkStart w:id="155" w:name="direction-of-truth-b2b-d2c"/>
    <w:p>
      <w:pPr>
        <w:pStyle w:val="Heading3"/>
      </w:pPr>
      <w:r>
        <w:t xml:space="preserve">8.2.2 Direction of truth (B2B / D2C)</w:t>
      </w:r>
    </w:p>
    <w:p>
      <w:pPr>
        <w:pStyle w:val="Compact"/>
        <w:numPr>
          <w:ilvl w:val="0"/>
          <w:numId w:val="1095"/>
        </w:numPr>
      </w:pPr>
      <w:r>
        <w:t xml:space="preserve">Direction is bidirectional, ERPNext-leaning. Most B2B customers are entered first in ERPNext (CRM, sales process)</w:t>
      </w:r>
    </w:p>
    <w:p>
      <w:pPr>
        <w:pStyle w:val="Compact"/>
        <w:numPr>
          <w:ilvl w:val="0"/>
          <w:numId w:val="1095"/>
        </w:numPr>
      </w:pPr>
      <w:r>
        <w:t xml:space="preserve">Where EE has a Wholesale Customer record that ERPNext doesn’t: pulled into ERPNext on daily customer sync</w:t>
      </w:r>
    </w:p>
    <w:p>
      <w:pPr>
        <w:pStyle w:val="Compact"/>
        <w:numPr>
          <w:ilvl w:val="0"/>
          <w:numId w:val="1095"/>
        </w:numPr>
      </w:pPr>
      <w:r>
        <w:t xml:space="preserve">Where ERPNext has a Customer that EE doesn’t: pushed via POST /Wholesale/createCustomer</w:t>
      </w:r>
    </w:p>
    <w:p>
      <w:pPr>
        <w:pStyle w:val="Compact"/>
        <w:numPr>
          <w:ilvl w:val="0"/>
          <w:numId w:val="109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p>
      <w:pPr>
        <w:numPr>
          <w:ilvl w:val="0"/>
          <w:numId w:val="1095"/>
        </w:numPr>
      </w:pPr>
      <w:r>
        <w:t xml:space="preserve">Live bring-up findings (Harmony sandbox): the EE wholesale portal login is a dummy nobody uses, so the integration sets a random password on create. CreateCustomer’s response returns the identifier as </w:t>
      </w:r>
      <w:r>
        <w:rPr>
          <w:rStyle w:val="VerbatimChar"/>
        </w:rPr>
        <w:t xml:space="preserve">data.c_id</w:t>
      </w:r>
      <w:r>
        <w:t xml:space="preserve"> (not </w:t>
      </w:r>
      <w:r>
        <w:rPr>
          <w:rStyle w:val="VerbatimChar"/>
        </w:rPr>
        <w:t xml:space="preserve">data.customerId</w:t>
      </w:r>
      <w:r>
        <w:t xml:space="preserve">) — the same value UpdateCustomer consumes under the customerId key. </w:t>
      </w:r>
      <w:r>
        <w:rPr>
          <w:rStyle w:val="VerbatimChar"/>
        </w:rPr>
        <w:t xml:space="preserve">contactNumber</w:t>
      </w:r>
      <w:r>
        <w:t xml:space="preserve"> is REQUIRED on create (EE rejects a missing contact). State is sent as a numeric stateId on create but as a state name on update. India Compliance enforces three GST place-of-supply validators that hard-throw at insert — invalid GSTIN check digit, GSTIN state code not matching the address state, and pincode prefix not matching the state — each sending the whole customer to Flagged-Not-Created (held, no partial record) rather than creating with wrong tax data; URP/unregistered maps to gst_category Unregistered with empty GSTIN and is created normally. Matching is map-row-only with no natural key (gstNum and companyname are heavily duplicated in real EE data). Customer lifecycle sync is N/A (EE exposes no active flag or deactivate endpoint), and the read has no updated_after filter so the scheduled pull is a daily full pull.</w:t>
      </w:r>
    </w:p>
    <w:bookmarkEnd w:id="155"/>
    <w:bookmarkStart w:id="156"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6"/>
    <w:bookmarkStart w:id="157" w:name="marketplace-anonymous-handling"/>
    <w:p>
      <w:pPr>
        <w:pStyle w:val="Heading3"/>
      </w:pPr>
      <w:r>
        <w:t xml:space="preserve">8.2.4 Marketplace anonymous handling</w:t>
      </w:r>
    </w:p>
    <w:p>
      <w:pPr>
        <w:pStyle w:val="Compact"/>
        <w:numPr>
          <w:ilvl w:val="0"/>
          <w:numId w:val="1096"/>
        </w:numPr>
      </w:pPr>
      <w:r>
        <w:t xml:space="preserve">Per-marketplace pseudo-customer: Amazon FBA Buyer Pool, Flipkart Buyer Pool, Myntra Buyer Pool, etc.</w:t>
      </w:r>
    </w:p>
    <w:p>
      <w:pPr>
        <w:pStyle w:val="Compact"/>
        <w:numPr>
          <w:ilvl w:val="0"/>
          <w:numId w:val="1096"/>
        </w:numPr>
      </w:pPr>
      <w:r>
        <w:t xml:space="preserve">Created during onboarding by the FDE, one per Marketplace per Company</w:t>
      </w:r>
    </w:p>
    <w:p>
      <w:pPr>
        <w:pStyle w:val="Compact"/>
        <w:numPr>
          <w:ilvl w:val="0"/>
          <w:numId w:val="1096"/>
        </w:numPr>
      </w:pPr>
      <w:r>
        <w:t xml:space="preserve">Sales Invoices for marketplace B2C orders are raised against this pseudo-customer</w:t>
      </w:r>
    </w:p>
    <w:p>
      <w:pPr>
        <w:pStyle w:val="Compact"/>
        <w:numPr>
          <w:ilvl w:val="0"/>
          <w:numId w:val="1096"/>
        </w:numPr>
      </w:pPr>
      <w:r>
        <w:t xml:space="preserve">Marketplace Anonymous Customer DocType (separate from Customer) holds the (marketplace, marketplace_customer_id, opaque_buyer_hash) mapping for traceability</w:t>
      </w:r>
    </w:p>
    <w:p>
      <w:pPr>
        <w:pStyle w:val="Compact"/>
        <w:numPr>
          <w:ilvl w:val="0"/>
          <w:numId w:val="1096"/>
        </w:numPr>
      </w:pPr>
      <w:r>
        <w:t xml:space="preserve">If the same anonymous identifier reappears on multiple orders (returning buyer), it can be linked, but not promoted to a real Customer</w:t>
      </w:r>
    </w:p>
    <w:bookmarkEnd w:id="157"/>
    <w:bookmarkStart w:id="158"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8"/>
    <w:bookmarkEnd w:id="159"/>
    <w:bookmarkStart w:id="163" w:name="supplier-vendor-master"/>
    <w:p>
      <w:pPr>
        <w:pStyle w:val="Heading2"/>
      </w:pPr>
      <w:r>
        <w:t xml:space="preserve">8.3 Supplier / Vendor master</w:t>
      </w:r>
    </w:p>
    <w:bookmarkStart w:id="160" w:name="direction-of-truth"/>
    <w:p>
      <w:pPr>
        <w:pStyle w:val="Heading3"/>
      </w:pPr>
      <w:r>
        <w:t xml:space="preserve">8.3.1 Direction of truth</w:t>
      </w:r>
    </w:p>
    <w:p>
      <w:pPr>
        <w:pStyle w:val="Compact"/>
        <w:numPr>
          <w:ilvl w:val="0"/>
          <w:numId w:val="1098"/>
        </w:numPr>
      </w:pPr>
      <w:r>
        <w:t xml:space="preserve">Suppliers are largely owned by ERPNext — procurement is a books-driven activity</w:t>
      </w:r>
    </w:p>
    <w:p>
      <w:pPr>
        <w:pStyle w:val="Compact"/>
        <w:numPr>
          <w:ilvl w:val="0"/>
          <w:numId w:val="1098"/>
        </w:numPr>
      </w:pPr>
      <w:r>
        <w:t xml:space="preserve">Push to EasyEcom is required so PO push (Section 9) works — EE needs to know about the Vendor before it can accept a PO referencing it</w:t>
      </w:r>
    </w:p>
    <w:p>
      <w:pPr>
        <w:pStyle w:val="Compact"/>
        <w:numPr>
          <w:ilvl w:val="0"/>
          <w:numId w:val="1098"/>
        </w:numPr>
      </w:pPr>
      <w:r>
        <w:t xml:space="preserve">Bidirectional but ERPNext-dominant: new Vendors enter through ERPNext, existing-only-in-EE Vendors get pulled in during onboarding for completeness, then ERPNext owns going forward</w:t>
      </w:r>
    </w:p>
    <w:bookmarkEnd w:id="160"/>
    <w:bookmarkStart w:id="161"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61"/>
    <w:bookmarkStart w:id="162" w:name="account-global-sharing"/>
    <w:p>
      <w:pPr>
        <w:pStyle w:val="Heading3"/>
      </w:pPr>
      <w:r>
        <w:t xml:space="preserve">8.3.3 Account-global sharing</w:t>
      </w:r>
    </w:p>
    <w:p>
      <w:pPr>
        <w:pStyle w:val="Compact"/>
        <w:numPr>
          <w:ilvl w:val="0"/>
          <w:numId w:val="1099"/>
        </w:numPr>
      </w:pPr>
      <w:r>
        <w:t xml:space="preserve">In ERPNext, Supplier is shared across Companies but Supplier Defaults can be Company-specific</w:t>
      </w:r>
    </w:p>
    <w:p>
      <w:pPr>
        <w:pStyle w:val="Compact"/>
        <w:numPr>
          <w:ilvl w:val="0"/>
          <w:numId w:val="1099"/>
        </w:numPr>
      </w:pPr>
      <w:r>
        <w:t xml:space="preserve">Suppliers are master data maintained at the primary location; there is one EasyEcom vendor record per supplier for the whole account, not one per Company</w:t>
      </w:r>
    </w:p>
    <w:p>
      <w:pPr>
        <w:pStyle w:val="Compact"/>
        <w:numPr>
          <w:ilvl w:val="0"/>
          <w:numId w:val="1099"/>
        </w:numPr>
      </w:pPr>
      <w:r>
        <w:t xml:space="preserve">Mapping table on Supplier: ecs_easyecom_mappings keyed by easyecom_vendor_id (the EE master vendor identifier)</w:t>
      </w:r>
    </w:p>
    <w:p>
      <w:pPr>
        <w:numPr>
          <w:ilvl w:val="0"/>
          <w:numId w:val="1099"/>
        </w:numPr>
      </w:pPr>
      <w:r>
        <w:t xml:space="preserve">Live bring-up findings (Harmony sandbox). Suppliers carry TWO distinct EE identifiers, stored separately and NOT equal: vendor_c_id (int, the READ key returned by getVendors) and vendor_id / vendor_code (string, the WRITE key sent to create/update). CreateVendor returns BOTH (the write-key echo plus a newly-assigned read key), so both are captured at once. UpdateVendor’s response returns the read key under the same vendorId field name the request used for the write key — same name, opposite role. PO and STN flows (§9/§10) resolve an ERPNext Supplier to its EE vendor via the write key in this map; the existing PO-Push and GRN-Pull rulesets that map supplier to vendor_id directly must be repointed to resolve through the Supplier Map when those sections build. The mandatory tax field on CreateVendor is taxIdentificationNum (short form — EE rejects the longer taxIdentificationNumber), though the pull reads the longer tax_identification_number that getVendors returns. Vendors are not portal logins, so there is NO password on create (unlike Customer). State is sent as a name on create and update (no name-to-id resolution). Tax gating is country-aware: Indian suppliers validate GSTIN with PAN auto-extracted from the GSTIN, and an invalid GSTIN/PAN sends the whole supplier to Flagged-Not-Created; foreign suppliers get gst_category Overseas with GSTIN/PAN dropped from the payload (not sent as empty strings). Addresses may arrive as an empty array per side and are handled as no-address. Lifecycle is pull-only (EE active flag to Supplier disabled, with restore); EE exposes no vendor deactivate endpoint, so disable does not push. The scheduled pull is a delta pull using updated_after (vendors support it), unlike the Customer full pull. Foreign suppliers require non-Indian states, so the state/country cache is refreshed eagerly across all countries.</w:t>
      </w:r>
    </w:p>
    <w:bookmarkEnd w:id="162"/>
    <w:bookmarkEnd w:id="163"/>
    <w:bookmarkStart w:id="168"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100"/>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100"/>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4"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4"/>
    <w:bookmarkStart w:id="165"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5"/>
    <w:bookmarkStart w:id="166" w:name="sync-rules"/>
    <w:p>
      <w:pPr>
        <w:pStyle w:val="Heading3"/>
      </w:pPr>
      <w:r>
        <w:t xml:space="preserve">8.4.3 Sync rules</w:t>
      </w:r>
    </w:p>
    <w:p>
      <w:pPr>
        <w:pStyle w:val="Compact"/>
        <w:numPr>
          <w:ilvl w:val="0"/>
          <w:numId w:val="1101"/>
        </w:numPr>
      </w:pPr>
      <w:r>
        <w:t xml:space="preserve">EasyEcom Location records and the Source-of-Truth Map are configured by the FDE during onboarding</w:t>
      </w:r>
    </w:p>
    <w:p>
      <w:pPr>
        <w:pStyle w:val="Compact"/>
        <w:numPr>
          <w:ilvl w:val="0"/>
          <w:numId w:val="1101"/>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101"/>
        </w:numPr>
      </w:pPr>
      <w:r>
        <w:t xml:space="preserve">Frappe Warehouses created post-onboarding: do NOT auto-create EE locations; FDE explicitly maps if needed</w:t>
      </w:r>
    </w:p>
    <w:p>
      <w:pPr>
        <w:pStyle w:val="Compact"/>
        <w:numPr>
          <w:ilvl w:val="0"/>
          <w:numId w:val="1101"/>
        </w:numPr>
      </w:pPr>
      <w:r>
        <w:t xml:space="preserve">De-mapping a warehouse (setting easyecom_location_key blank) is allowed only if no open operational documents reference the link</w:t>
      </w:r>
    </w:p>
    <w:bookmarkEnd w:id="166"/>
    <w:bookmarkStart w:id="167"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102"/>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102"/>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7"/>
    <w:bookmarkEnd w:id="168"/>
    <w:bookmarkStart w:id="176"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9"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9"/>
    <w:bookmarkStart w:id="170"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70"/>
    <w:bookmarkStart w:id="171"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71"/>
    <w:bookmarkStart w:id="172"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72"/>
    <w:bookmarkStart w:id="173"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3"/>
    <w:bookmarkStart w:id="174"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4"/>
    <w:bookmarkStart w:id="175" w:name="failure-modes"/>
    <w:p>
      <w:pPr>
        <w:pStyle w:val="Heading3"/>
      </w:pPr>
      <w:r>
        <w:t xml:space="preserve">8.5.7 Failure modes</w:t>
      </w:r>
    </w:p>
    <w:p>
      <w:pPr>
        <w:pStyle w:val="Compact"/>
        <w:numPr>
          <w:ilvl w:val="0"/>
          <w:numId w:val="1103"/>
        </w:numPr>
      </w:pPr>
      <w:r>
        <w:rPr>
          <w:bCs/>
          <w:b/>
        </w:rPr>
        <w:t xml:space="preserve">Unmapped (tax_rule_name, company):</w:t>
      </w:r>
      <w:r>
        <w:t xml:space="preserve"> auto-creates a To-Configure Tax Rule Map doc; FDE alerted; item tax not silently defaulted.</w:t>
      </w:r>
    </w:p>
    <w:p>
      <w:pPr>
        <w:pStyle w:val="Compact"/>
        <w:numPr>
          <w:ilvl w:val="0"/>
          <w:numId w:val="1103"/>
        </w:numPr>
      </w:pPr>
      <w:r>
        <w:rPr>
          <w:bCs/>
          <w:b/>
        </w:rPr>
        <w:t xml:space="preserve">Item’s company has no rows for its rule</w:t>
      </w:r>
      <w:r>
        <w:t xml:space="preserve"> (rule mapped for other companies but not this one): resolver finds nothing to stamp → FDE task.</w:t>
      </w:r>
    </w:p>
    <w:p>
      <w:pPr>
        <w:pStyle w:val="Compact"/>
        <w:numPr>
          <w:ilvl w:val="0"/>
          <w:numId w:val="1103"/>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103"/>
        </w:numPr>
      </w:pPr>
      <w:r>
        <w:rPr>
          <w:bCs/>
          <w:b/>
        </w:rPr>
        <w:t xml:space="preserve">Item with no HSN:</w:t>
      </w:r>
      <w:r>
        <w:t xml:space="preserve"> flagged per India Compliance requirements (HSN is required for GST documents); handled in Item sync (8d).</w:t>
      </w:r>
    </w:p>
    <w:bookmarkEnd w:id="175"/>
    <w:bookmarkEnd w:id="176"/>
    <w:bookmarkStart w:id="180"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7"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7"/>
    <w:bookmarkStart w:id="178"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8"/>
    <w:bookmarkStart w:id="179" w:name="sync"/>
    <w:p>
      <w:pPr>
        <w:pStyle w:val="Heading3"/>
      </w:pPr>
      <w:r>
        <w:t xml:space="preserve">8.6.3 Sync</w:t>
      </w:r>
    </w:p>
    <w:p>
      <w:pPr>
        <w:pStyle w:val="Compact"/>
        <w:numPr>
          <w:ilvl w:val="0"/>
          <w:numId w:val="1104"/>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104"/>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105"/>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105"/>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104"/>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104"/>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104"/>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104"/>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104"/>
        </w:numPr>
      </w:pPr>
      <w:r>
        <w:t xml:space="preserve">Run during onboarding and on a daily refresh (the sweep re-runs across locations; existing channels are skipped, new ones land Unclassified and alert the FDE).</w:t>
      </w:r>
    </w:p>
    <w:p>
      <w:pPr>
        <w:pStyle w:val="Compact"/>
        <w:numPr>
          <w:ilvl w:val="0"/>
          <w:numId w:val="1104"/>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104"/>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9"/>
    <w:bookmarkEnd w:id="180"/>
    <w:bookmarkStart w:id="181" w:name="lookup-tables"/>
    <w:p>
      <w:pPr>
        <w:pStyle w:val="Heading2"/>
      </w:pPr>
      <w:r>
        <w:t xml:space="preserve">8.7 Lookup tables</w:t>
      </w:r>
    </w:p>
    <w:p>
      <w:pPr>
        <w:pStyle w:val="FirstParagraph"/>
      </w:pPr>
      <w:r>
        <w:t xml:space="preserve">Smaller masters that round out the model:</w:t>
      </w:r>
    </w:p>
    <w:p>
      <w:pPr>
        <w:pStyle w:val="Compact"/>
        <w:numPr>
          <w:ilvl w:val="0"/>
          <w:numId w:val="1106"/>
        </w:numPr>
      </w:pPr>
      <w:r>
        <w:t xml:space="preserve">UoM — pulled from EE on first sync; mapped to ERPNext UoM; new UoMs require FDE approval</w:t>
      </w:r>
    </w:p>
    <w:p>
      <w:pPr>
        <w:pStyle w:val="Compact"/>
        <w:numPr>
          <w:ilvl w:val="0"/>
          <w:numId w:val="1106"/>
        </w:numPr>
      </w:pPr>
      <w:r>
        <w:t xml:space="preserve">Currency — assumed INR-only in v1.0 (multi-currency deferred to v2.0 per the PRD)</w:t>
      </w:r>
    </w:p>
    <w:p>
      <w:pPr>
        <w:pStyle w:val="Compact"/>
        <w:numPr>
          <w:ilvl w:val="0"/>
          <w:numId w:val="1106"/>
        </w:numPr>
      </w:pPr>
      <w:r>
        <w:t xml:space="preserve">Brand — bidirectional, last-write-wins on conflict</w:t>
      </w:r>
    </w:p>
    <w:p>
      <w:pPr>
        <w:pStyle w:val="Compact"/>
        <w:numPr>
          <w:ilvl w:val="0"/>
          <w:numId w:val="1106"/>
        </w:numPr>
      </w:pPr>
      <w:r>
        <w:t xml:space="preserve">Item Group — ERPNext-owned; EE category mapping per ERPNext Item Group is in EasyEcom Category Map DocType</w:t>
      </w:r>
    </w:p>
    <w:p>
      <w:pPr>
        <w:pStyle w:val="Compact"/>
        <w:numPr>
          <w:ilvl w:val="0"/>
          <w:numId w:val="1106"/>
        </w:numPr>
      </w:pPr>
      <w:r>
        <w:t xml:space="preserve">Country / State — standard frappe lookups, not synced</w:t>
      </w:r>
    </w:p>
    <w:bookmarkEnd w:id="181"/>
    <w:bookmarkEnd w:id="182"/>
    <w:bookmarkStart w:id="202"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3"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3"/>
    <w:bookmarkStart w:id="184"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4"/>
    <w:bookmarkStart w:id="185" w:name="po-push-payload-and-idempotency"/>
    <w:p>
      <w:pPr>
        <w:pStyle w:val="Heading2"/>
      </w:pPr>
      <w:r>
        <w:t xml:space="preserve">9.3 PO push: payload and idempotency</w:t>
      </w:r>
    </w:p>
    <w:p>
      <w:pPr>
        <w:pStyle w:val="Compact"/>
        <w:numPr>
          <w:ilvl w:val="0"/>
          <w:numId w:val="1107"/>
        </w:numPr>
      </w:pPr>
      <w:r>
        <w:t xml:space="preserve">Trigger: Purchase Order’s on_submit if any item line has target_warehouse with is_linked = True</w:t>
      </w:r>
    </w:p>
    <w:p>
      <w:pPr>
        <w:pStyle w:val="Compact"/>
        <w:numPr>
          <w:ilvl w:val="0"/>
          <w:numId w:val="1107"/>
        </w:numPr>
      </w:pPr>
      <w:r>
        <w:t xml:space="preserve">Idempotency key: the ERPNext PO name (e.g., PUR-ORD-2026-00321)</w:t>
      </w:r>
    </w:p>
    <w:p>
      <w:pPr>
        <w:pStyle w:val="Compact"/>
        <w:numPr>
          <w:ilvl w:val="0"/>
          <w:numId w:val="110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7"/>
        </w:numPr>
      </w:pPr>
      <w:r>
        <w:t xml:space="preserve">Response carries an EE PO ID and a queueId; we poll /getQueueStatus until status = success</w:t>
      </w:r>
    </w:p>
    <w:p>
      <w:pPr>
        <w:pStyle w:val="Compact"/>
        <w:numPr>
          <w:ilvl w:val="0"/>
          <w:numId w:val="1107"/>
        </w:numPr>
      </w:pPr>
      <w:r>
        <w:t xml:space="preserve">Result stored in ecs_easyecom_po_id custom field on the PO</w:t>
      </w:r>
    </w:p>
    <w:p>
      <w:pPr>
        <w:pStyle w:val="Compact"/>
        <w:numPr>
          <w:ilvl w:val="0"/>
          <w:numId w:val="1107"/>
        </w:numPr>
      </w:pPr>
      <w:r>
        <w:t xml:space="preserve">Failure: queueId resolves to error → EasyEcom Queue Job moved to Failed; FDE notified; ERPNext PO is NOT cancelled (commercially valid PO is preserved)</w:t>
      </w:r>
    </w:p>
    <w:bookmarkEnd w:id="185"/>
    <w:bookmarkStart w:id="186"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8"/>
        </w:numPr>
      </w:pPr>
      <w:r>
        <w:t xml:space="preserve">Lines with target_warehouse linked to EE are grouped by location_key and pushed as separate EE POs (one per location_key)</w:t>
      </w:r>
    </w:p>
    <w:p>
      <w:pPr>
        <w:pStyle w:val="Compact"/>
        <w:numPr>
          <w:ilvl w:val="0"/>
          <w:numId w:val="1108"/>
        </w:numPr>
      </w:pPr>
      <w:r>
        <w:t xml:space="preserve">Lines with target_warehouse not linked to EE are NOT pushed and remain ERPNext-only</w:t>
      </w:r>
    </w:p>
    <w:p>
      <w:pPr>
        <w:pStyle w:val="Compact"/>
        <w:numPr>
          <w:ilvl w:val="0"/>
          <w:numId w:val="1108"/>
        </w:numPr>
      </w:pPr>
      <w:r>
        <w:t xml:space="preserve">The ERPNext PO maintains the unified view; EE sees one or more EE POs each covering a subset of lines</w:t>
      </w:r>
    </w:p>
    <w:p>
      <w:pPr>
        <w:pStyle w:val="Compact"/>
        <w:numPr>
          <w:ilvl w:val="0"/>
          <w:numId w:val="1108"/>
        </w:numPr>
      </w:pPr>
      <w:r>
        <w:t xml:space="preserve">ecs_easyecom_po_mappings child table on the PO records each (location_key, ee_po_id, frappe_lines) tuple</w:t>
      </w:r>
    </w:p>
    <w:bookmarkEnd w:id="186"/>
    <w:bookmarkStart w:id="189" w:name="grn-in-easyecom-detection-and-ingestion"/>
    <w:p>
      <w:pPr>
        <w:pStyle w:val="Heading2"/>
      </w:pPr>
      <w:r>
        <w:t xml:space="preserve">9.5 GRN-in-EasyEcom: detection and ingestion</w:t>
      </w:r>
    </w:p>
    <w:bookmarkStart w:id="187"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9"/>
        </w:numPr>
      </w:pPr>
      <w:r>
        <w:t xml:space="preserve">Polling cron runs every 30 minutes per operational location (company derived from the location)</w:t>
      </w:r>
    </w:p>
    <w:p>
      <w:pPr>
        <w:pStyle w:val="Compact"/>
        <w:numPr>
          <w:ilvl w:val="0"/>
          <w:numId w:val="1109"/>
        </w:numPr>
      </w:pPr>
      <w:r>
        <w:t xml:space="preserve">Calls /wms/getGrnDetails with last_pull_grn cursor as since timestamp</w:t>
      </w:r>
    </w:p>
    <w:p>
      <w:pPr>
        <w:pStyle w:val="Compact"/>
        <w:numPr>
          <w:ilvl w:val="0"/>
          <w:numId w:val="1109"/>
        </w:numPr>
      </w:pPr>
      <w:r>
        <w:t xml:space="preserve">New GRN records discovered → enqueued as EasyEcom Queue Job of type process_grn</w:t>
      </w:r>
    </w:p>
    <w:p>
      <w:pPr>
        <w:pStyle w:val="Compact"/>
        <w:numPr>
          <w:ilvl w:val="0"/>
          <w:numId w:val="1109"/>
        </w:numPr>
      </w:pPr>
      <w:r>
        <w:t xml:space="preserve">Webhook subscription (if EE supports for this client) accelerates detection — webhook receipt knocks the polling cycle into immediate execution for that location</w:t>
      </w:r>
    </w:p>
    <w:p>
      <w:pPr>
        <w:pStyle w:val="Compact"/>
        <w:numPr>
          <w:ilvl w:val="0"/>
          <w:numId w:val="1109"/>
        </w:numPr>
      </w:pPr>
      <w:r>
        <w:t xml:space="preserve">Webhook missed? Doesn’t matter — the next poll catches it (within 30 min)</w:t>
      </w:r>
    </w:p>
    <w:bookmarkEnd w:id="187"/>
    <w:bookmarkStart w:id="188" w:name="idempotency"/>
    <w:p>
      <w:pPr>
        <w:pStyle w:val="Heading3"/>
      </w:pPr>
      <w:r>
        <w:t xml:space="preserve">9.5.2 Idempotency</w:t>
      </w:r>
    </w:p>
    <w:p>
      <w:pPr>
        <w:pStyle w:val="Compact"/>
        <w:numPr>
          <w:ilvl w:val="0"/>
          <w:numId w:val="1110"/>
        </w:numPr>
      </w:pPr>
      <w:r>
        <w:t xml:space="preserve">Each GRN has a unique EE GRN ID</w:t>
      </w:r>
    </w:p>
    <w:p>
      <w:pPr>
        <w:pStyle w:val="Compact"/>
        <w:numPr>
          <w:ilvl w:val="0"/>
          <w:numId w:val="1110"/>
        </w:numPr>
      </w:pPr>
      <w:r>
        <w:t xml:space="preserve">Before processing, we check if a Purchase Receipt with ecs_easyecom_grn_id = this_grn_id already exists; if yes, skip</w:t>
      </w:r>
    </w:p>
    <w:p>
      <w:pPr>
        <w:pStyle w:val="Compact"/>
        <w:numPr>
          <w:ilvl w:val="0"/>
          <w:numId w:val="1110"/>
        </w:numPr>
      </w:pPr>
      <w:r>
        <w:t xml:space="preserve">Webhook + poll concurrency is safe — both paths converge on the same dedup check</w:t>
      </w:r>
    </w:p>
    <w:bookmarkEnd w:id="188"/>
    <w:bookmarkEnd w:id="189"/>
    <w:bookmarkStart w:id="192" w:name="grn-purchase-receipt-mapping"/>
    <w:p>
      <w:pPr>
        <w:pStyle w:val="Heading2"/>
      </w:pPr>
      <w:r>
        <w:t xml:space="preserve">9.6 GRN → Purchase Receipt mapping</w:t>
      </w:r>
    </w:p>
    <w:bookmarkStart w:id="190"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90"/>
    <w:bookmarkStart w:id="191"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91"/>
    <w:bookmarkEnd w:id="192"/>
    <w:bookmarkStart w:id="193"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11"/>
        </w:numPr>
      </w:pPr>
      <w:r>
        <w:t xml:space="preserve">Each Source-of-Truth Map row has a default_rejected_warehouse (configurable, optional)</w:t>
      </w:r>
    </w:p>
    <w:p>
      <w:pPr>
        <w:pStyle w:val="Compact"/>
        <w:numPr>
          <w:ilvl w:val="0"/>
          <w:numId w:val="1111"/>
        </w:numPr>
      </w:pPr>
      <w:r>
        <w:t xml:space="preserve">If rejected_qty &gt; 0 on a GRN line: PR Item gets rejected_qty populated, rejected_warehouse set</w:t>
      </w:r>
    </w:p>
    <w:p>
      <w:pPr>
        <w:pStyle w:val="Compact"/>
        <w:numPr>
          <w:ilvl w:val="0"/>
          <w:numId w:val="1111"/>
        </w:numPr>
      </w:pPr>
      <w:r>
        <w:t xml:space="preserve">If no Rejected Warehouse is configured: PR submission fails with a clear error — FDE configuration required</w:t>
      </w:r>
    </w:p>
    <w:p>
      <w:pPr>
        <w:pStyle w:val="Compact"/>
        <w:numPr>
          <w:ilvl w:val="0"/>
          <w:numId w:val="1111"/>
        </w:numPr>
      </w:pPr>
      <w:r>
        <w:t xml:space="preserve">ERPNext’s standard rejected-quantity handling kicks in: stock entry into rejected warehouse, separate from accepted stock</w:t>
      </w:r>
    </w:p>
    <w:p>
      <w:pPr>
        <w:pStyle w:val="Compact"/>
        <w:numPr>
          <w:ilvl w:val="0"/>
          <w:numId w:val="1111"/>
        </w:numPr>
      </w:pPr>
      <w:r>
        <w:t xml:space="preserve">Subsequent disposition (return-to-vendor, scrap, eventual acceptance) uses ERPNext’s standard flows — not integration-specific</w:t>
      </w:r>
    </w:p>
    <w:bookmarkEnd w:id="193"/>
    <w:bookmarkStart w:id="197" w:name="batch-serial-and-expiry"/>
    <w:p>
      <w:pPr>
        <w:pStyle w:val="Heading2"/>
      </w:pPr>
      <w:r>
        <w:t xml:space="preserve">9.8 Batch, serial, and expiry</w:t>
      </w:r>
    </w:p>
    <w:bookmarkStart w:id="194"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12"/>
        </w:numPr>
      </w:pPr>
      <w:r>
        <w:t xml:space="preserve">If EE GRN includes batch_no but Item.has_batch_no = False → error, FDE alerted</w:t>
      </w:r>
    </w:p>
    <w:p>
      <w:pPr>
        <w:pStyle w:val="Compact"/>
        <w:numPr>
          <w:ilvl w:val="0"/>
          <w:numId w:val="1112"/>
        </w:numPr>
      </w:pPr>
      <w:r>
        <w:t xml:space="preserve">If Item.has_batch_no = True but EE GRN omits batch_no → error, FDE alerted</w:t>
      </w:r>
    </w:p>
    <w:p>
      <w:pPr>
        <w:pStyle w:val="Compact"/>
        <w:numPr>
          <w:ilvl w:val="0"/>
          <w:numId w:val="1112"/>
        </w:numPr>
      </w:pPr>
      <w:r>
        <w:t xml:space="preserve">Same for serial_no and expiry_date</w:t>
      </w:r>
    </w:p>
    <w:p>
      <w:pPr>
        <w:pStyle w:val="Compact"/>
        <w:numPr>
          <w:ilvl w:val="0"/>
          <w:numId w:val="1112"/>
        </w:numPr>
      </w:pPr>
      <w:r>
        <w:t xml:space="preserve">Mismatches usually indicate Item master misconfiguration on one side</w:t>
      </w:r>
    </w:p>
    <w:bookmarkEnd w:id="194"/>
    <w:bookmarkStart w:id="195" w:name="batch-creation"/>
    <w:p>
      <w:pPr>
        <w:pStyle w:val="Heading3"/>
      </w:pPr>
      <w:r>
        <w:t xml:space="preserve">9.8.2 Batch creation</w:t>
      </w:r>
    </w:p>
    <w:p>
      <w:pPr>
        <w:pStyle w:val="Compact"/>
        <w:numPr>
          <w:ilvl w:val="0"/>
          <w:numId w:val="1113"/>
        </w:numPr>
      </w:pPr>
      <w:r>
        <w:t xml:space="preserve">New batch_no in EE GRN: create Batch record in ERPNext with item_code, batch_no, manufacturing_date, expiry_date</w:t>
      </w:r>
    </w:p>
    <w:p>
      <w:pPr>
        <w:pStyle w:val="Compact"/>
        <w:numPr>
          <w:ilvl w:val="0"/>
          <w:numId w:val="1113"/>
        </w:numPr>
      </w:pPr>
      <w:r>
        <w:t xml:space="preserve">Batch already exists: link the PR to it (multiple GRNs for the same batch are valid for restocks)</w:t>
      </w:r>
    </w:p>
    <w:p>
      <w:pPr>
        <w:pStyle w:val="Compact"/>
        <w:numPr>
          <w:ilvl w:val="0"/>
          <w:numId w:val="1113"/>
        </w:numPr>
      </w:pPr>
      <w:r>
        <w:t xml:space="preserve">Batch attributes update only if blank — never overwrite</w:t>
      </w:r>
    </w:p>
    <w:bookmarkEnd w:id="195"/>
    <w:bookmarkStart w:id="196" w:name="serial-number-creation"/>
    <w:p>
      <w:pPr>
        <w:pStyle w:val="Heading3"/>
      </w:pPr>
      <w:r>
        <w:t xml:space="preserve">9.8.3 Serial number creation</w:t>
      </w:r>
    </w:p>
    <w:p>
      <w:pPr>
        <w:pStyle w:val="Compact"/>
        <w:numPr>
          <w:ilvl w:val="0"/>
          <w:numId w:val="1114"/>
        </w:numPr>
      </w:pPr>
      <w:r>
        <w:t xml:space="preserve">Each serial in EE GRN becomes a Serial No record in ERPNext linked to the PR</w:t>
      </w:r>
    </w:p>
    <w:p>
      <w:pPr>
        <w:pStyle w:val="Compact"/>
        <w:numPr>
          <w:ilvl w:val="0"/>
          <w:numId w:val="1114"/>
        </w:numPr>
      </w:pPr>
      <w:r>
        <w:t xml:space="preserve">Serial-no validation: must be unique per item_code</w:t>
      </w:r>
    </w:p>
    <w:p>
      <w:pPr>
        <w:pStyle w:val="Compact"/>
        <w:numPr>
          <w:ilvl w:val="0"/>
          <w:numId w:val="1114"/>
        </w:numPr>
      </w:pPr>
      <w:r>
        <w:t xml:space="preserve">Conflict (serial already exists for the same item with a different status): integration aborts the GRN ingestion, FDE alerted</w:t>
      </w:r>
    </w:p>
    <w:bookmarkEnd w:id="196"/>
    <w:bookmarkEnd w:id="197"/>
    <w:bookmarkStart w:id="198" w:name="tax-category-and-gst-handling"/>
    <w:p>
      <w:pPr>
        <w:pStyle w:val="Heading2"/>
      </w:pPr>
      <w:r>
        <w:t xml:space="preserve">9.9 Tax category and GST handling</w:t>
      </w:r>
    </w:p>
    <w:p>
      <w:pPr>
        <w:pStyle w:val="Compact"/>
        <w:numPr>
          <w:ilvl w:val="0"/>
          <w:numId w:val="1115"/>
        </w:numPr>
      </w:pPr>
      <w:r>
        <w:t xml:space="preserve">Tax category for the PR line is resolved from the ERPNext Item Tax Template, not from the EE GRN payload</w:t>
      </w:r>
    </w:p>
    <w:p>
      <w:pPr>
        <w:pStyle w:val="Compact"/>
        <w:numPr>
          <w:ilvl w:val="0"/>
          <w:numId w:val="1115"/>
        </w:numPr>
      </w:pPr>
      <w:r>
        <w:t xml:space="preserve">EE-side tax amounts are sanity-checked against the ERPNext-derived tax — variance &gt; 1% triggers an Integration Discrepancy of severity Warning</w:t>
      </w:r>
    </w:p>
    <w:p>
      <w:pPr>
        <w:pStyle w:val="Compact"/>
        <w:numPr>
          <w:ilvl w:val="0"/>
          <w:numId w:val="1115"/>
        </w:numPr>
      </w:pPr>
      <w:r>
        <w:t xml:space="preserve">Place of supply rules per India Compliance app drive CGST/SGST vs IGST split</w:t>
      </w:r>
    </w:p>
    <w:p>
      <w:pPr>
        <w:pStyle w:val="Compact"/>
        <w:numPr>
          <w:ilvl w:val="0"/>
          <w:numId w:val="1115"/>
        </w:numPr>
      </w:pPr>
      <w:r>
        <w:t xml:space="preserve">ITC eligibility flag is preserved through the GRN → PR mapping</w:t>
      </w:r>
    </w:p>
    <w:p>
      <w:pPr>
        <w:pStyle w:val="Compact"/>
        <w:numPr>
          <w:ilvl w:val="0"/>
          <w:numId w:val="1115"/>
        </w:numPr>
      </w:pPr>
      <w:r>
        <w:t xml:space="preserve">e-invoice and e-waybill from the supplier (if provided) are stored as PR attachments</w:t>
      </w:r>
    </w:p>
    <w:bookmarkEnd w:id="198"/>
    <w:bookmarkStart w:id="199"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16"/>
        </w:numPr>
      </w:pPr>
      <w:r>
        <w:t xml:space="preserve">Each GRN produces a separate Purchase Receipt in ERPNext</w:t>
      </w:r>
    </w:p>
    <w:p>
      <w:pPr>
        <w:pStyle w:val="Compact"/>
        <w:numPr>
          <w:ilvl w:val="0"/>
          <w:numId w:val="1116"/>
        </w:numPr>
      </w:pPr>
      <w:r>
        <w:t xml:space="preserve">All PRs reference the same Purchase Order</w:t>
      </w:r>
    </w:p>
    <w:p>
      <w:pPr>
        <w:pStyle w:val="Compact"/>
        <w:numPr>
          <w:ilvl w:val="0"/>
          <w:numId w:val="1116"/>
        </w:numPr>
      </w:pPr>
      <w:r>
        <w:t xml:space="preserve">PO status progression: Draft → Submitted → Partially Received (after GRN-1) → Received (after GRN-2)</w:t>
      </w:r>
    </w:p>
    <w:p>
      <w:pPr>
        <w:pStyle w:val="Compact"/>
        <w:numPr>
          <w:ilvl w:val="0"/>
          <w:numId w:val="1116"/>
        </w:numPr>
      </w:pPr>
      <w:r>
        <w:t xml:space="preserve">Over-receipt: if cumulative received_qty exceeds PO qty (configurable tolerance, default 0%), the PR submission fails — FDE handles via PO amendment</w:t>
      </w:r>
    </w:p>
    <w:bookmarkEnd w:id="199"/>
    <w:bookmarkStart w:id="200"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200"/>
    <w:bookmarkStart w:id="201"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201"/>
    <w:bookmarkEnd w:id="202"/>
    <w:bookmarkStart w:id="211" w:name="stock-transfer-flows"/>
    <w:p>
      <w:pPr>
        <w:pStyle w:val="Heading1"/>
      </w:pPr>
      <w:r>
        <w:t xml:space="preserve">10. Stock Transfer Flows</w:t>
      </w:r>
    </w:p>
    <w:p>
      <w:pPr>
        <w:pStyle w:val="BodyText"/>
      </w:pPr>
      <w:r>
        <w:t xml:space="preserve">Stock Transfers between warehouses use ERPNext’s Internal Customer / Internal Supplier pattern with Goods-In-Transit (GIT) as the inventory bridge, NOT the Stock Entry model the pre-build SPEC described. The integration creates documents (DN, SI, IPR, IPI, Debit Note) and orchestrates submissions; it never modifies GL postings. The decision matrix is four-branch on (source EE-mapped, target EE-mapped); the build is live-verified on Harmony across all four branches.</w:t>
      </w:r>
    </w:p>
    <w:p>
      <w:pPr>
        <w:pStyle w:val="BodyText"/>
      </w:pPr>
      <w:r>
        <w:t xml:space="preserve">This section was substantially rewritten 2026-05-30 (closeout) and amended 2026-06-01 (post-live-integration smoke + corrective). The pre-build SPEC’s four-flavour Stock Entry model is </w:t>
      </w:r>
      <w:r>
        <w:rPr>
          <w:b w:val="true"/>
          <w:bCs w:val="true"/>
        </w:rPr>
        <w:t xml:space="preserve">superseded</w:t>
      </w:r>
      <w:r>
        <w:t xml:space="preserve">: §10’s actual model is Internal-Customer-DN-based.</w:t>
      </w:r>
    </w:p>
    <w:p>
      <w:pPr>
        <w:pStyle w:val="Heading2"/>
      </w:pPr>
      <w:r>
        <w:t xml:space="preserve">10.0 The §10 principle</w:t>
      </w:r>
    </w:p>
    <w:p>
      <w:pPr>
        <w:pStyle w:val="FirstParagraph"/>
      </w:pPr>
      <w:r>
        <w:rPr>
          <w:b w:val="true"/>
          <w:bCs w:val="true"/>
        </w:rPr>
        <w:t xml:space="preserve">The integration NEVER modifies GL postings.</w:t>
      </w:r>
      <w:r>
        <w:t xml:space="preserve"> It orchestrates document creation (DNs, SIs, IPRs, IPIs, Debit Notes) but never auto-submits anything financial except IPRs when financial preconditions hold. ERP users submit; the integration drafts. The discipline that justifies every "Draft, not Submit" decision throughout the rest of this section.</w:t>
      </w:r>
    </w:p>
    <w:p>
      <w:pPr>
        <w:pStyle w:val="Heading2"/>
      </w:pPr>
      <w:r>
        <w:t xml:space="preserve">10.1 The decision matrix (4-branch, grounded 2026-06-01)</w:t>
      </w:r>
    </w:p>
    <w:p>
      <w:pPr>
        <w:pStyle w:val="FirstParagraph"/>
      </w:pPr>
      <w:r>
        <w:t xml:space="preserve">The matrix is two-dimensional on (source EE-mapped, target EE-mapped). All four quadrants have either a grounded EE primitive or a deliberate inert outcome.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EE-mapped?</w:t>
            </w:r>
          </w:p>
        </w:tc>
        <w:tc>
          <w:tcPr/>
          <w:p>
            <w:pPr>
              <w:pStyle w:val="Compact"/>
              <w:jc w:val="left"/>
            </w:pPr>
            <w:r>
              <w:t xml:space="preserve">Target EE-mapped?</w:t>
            </w:r>
          </w:p>
        </w:tc>
        <w:tc>
          <w:tcPr/>
          <w:p>
            <w:pPr>
              <w:pStyle w:val="Compact"/>
              <w:jc w:val="left"/>
            </w:pPr>
            <w:r>
              <w:t xml:space="preserve">Branch</w:t>
            </w:r>
          </w:p>
        </w:tc>
        <w:tc>
          <w:tcPr/>
          <w:p>
            <w:pPr>
              <w:pStyle w:val="Compact"/>
              <w:jc w:val="left"/>
            </w:pPr>
            <w:r>
              <w:t xml:space="preserve">EE primitive</w:t>
            </w:r>
          </w:p>
        </w:tc>
      </w:tr>
      <w:tr>
        <w:tc>
          <w:tcPr/>
          <w:p>
            <w:pPr>
              <w:pStyle w:val="Compact"/>
              <w:jc w:val="left"/>
            </w:pPr>
            <w:r>
              <w:t xml:space="preserve">❌</w:t>
            </w:r>
          </w:p>
        </w:tc>
        <w:tc>
          <w:tcPr/>
          <w:p>
            <w:pPr>
              <w:pStyle w:val="Compact"/>
              <w:jc w:val="left"/>
            </w:pPr>
            <w:r>
              <w:t xml:space="preserve">❌</w:t>
            </w:r>
          </w:p>
        </w:tc>
        <w:tc>
          <w:tcPr/>
          <w:p>
            <w:pPr>
              <w:pStyle w:val="Compact"/>
              <w:jc w:val="left"/>
            </w:pPr>
            <w:r>
              <w:rPr>
                <w:b w:val="true"/>
                <w:bCs w:val="true"/>
              </w:rPr>
              <w:t xml:space="preserve">Inert</w:t>
            </w:r>
          </w:p>
        </w:tc>
        <w:tc>
          <w:tcPr/>
          <w:p>
            <w:pPr>
              <w:pStyle w:val="Compact"/>
              <w:jc w:val="left"/>
            </w:pPr>
            <w:r>
              <w:t xml:space="preserve">(no EE call) — Gate-0 silent skip; pure ERPNext-native</w:t>
            </w:r>
          </w:p>
        </w:tc>
      </w:tr>
      <w:tr>
        <w:tc>
          <w:tcPr/>
          <w:p>
            <w:pPr>
              <w:pStyle w:val="Compact"/>
              <w:jc w:val="left"/>
            </w:pPr>
            <w:r>
              <w:t xml:space="preserve">✅</w:t>
            </w:r>
          </w:p>
        </w:tc>
        <w:tc>
          <w:tcPr/>
          <w:p>
            <w:pPr>
              <w:pStyle w:val="Compact"/>
              <w:jc w:val="left"/>
            </w:pPr>
            <w:r>
              <w:t xml:space="preserve">✅</w:t>
            </w:r>
          </w:p>
        </w:tc>
        <w:tc>
          <w:tcPr/>
          <w:p>
            <w:pPr>
              <w:pStyle w:val="Compact"/>
              <w:jc w:val="left"/>
            </w:pPr>
            <w:r>
              <w:rPr>
                <w:b w:val="true"/>
                <w:bCs w:val="true"/>
              </w:rPr>
              <w:t xml:space="preserve">STN</w:t>
            </w:r>
          </w:p>
        </w:tc>
        <w:tc>
          <w:tcPr/>
          <w:p>
            <w:pPr>
              <w:pStyle w:val="Compact"/>
              <w:jc w:val="left"/>
            </w:pPr>
            <w:r>
              <w:rPr>
                <w:rStyle w:val="VerbatimChar"/>
              </w:rPr>
              <w:t xml:space="preserve">createOrder · orderType=stocktransferorder</w:t>
            </w:r>
          </w:p>
        </w:tc>
      </w:tr>
      <w:tr>
        <w:tc>
          <w:tcPr/>
          <w:p>
            <w:pPr>
              <w:pStyle w:val="Compact"/>
              <w:jc w:val="left"/>
            </w:pPr>
            <w:r>
              <w:t xml:space="preserve">❌</w:t>
            </w:r>
          </w:p>
        </w:tc>
        <w:tc>
          <w:tcPr/>
          <w:p>
            <w:pPr>
              <w:pStyle w:val="Compact"/>
              <w:jc w:val="left"/>
            </w:pPr>
            <w:r>
              <w:t xml:space="preserve">✅</w:t>
            </w:r>
          </w:p>
        </w:tc>
        <w:tc>
          <w:tcPr/>
          <w:p>
            <w:pPr>
              <w:pStyle w:val="Compact"/>
              <w:jc w:val="left"/>
            </w:pPr>
            <w:r>
              <w:rPr>
                <w:b w:val="true"/>
                <w:bCs w:val="true"/>
              </w:rPr>
              <w:t xml:space="preserve">PO</w:t>
            </w:r>
          </w:p>
        </w:tc>
        <w:tc>
          <w:tcPr/>
          <w:p>
            <w:pPr>
              <w:pStyle w:val="Compact"/>
              <w:jc w:val="left"/>
            </w:pPr>
            <w:r>
              <w:rPr>
                <w:rStyle w:val="VerbatimChar"/>
              </w:rPr>
              <w:t xml:space="preserve">CreatePurchaseOrder</w:t>
            </w:r>
            <w:r>
              <w:t xml:space="preserve"> (Internal Supplier representation)</w:t>
            </w:r>
          </w:p>
        </w:tc>
      </w:tr>
      <w:tr>
        <w:tc>
          <w:tcPr/>
          <w:p>
            <w:pPr>
              <w:pStyle w:val="Compact"/>
              <w:jc w:val="left"/>
            </w:pPr>
            <w:r>
              <w:t xml:space="preserve">✅</w:t>
            </w:r>
          </w:p>
        </w:tc>
        <w:tc>
          <w:tcPr/>
          <w:p>
            <w:pPr>
              <w:pStyle w:val="Compact"/>
              <w:jc w:val="left"/>
            </w:pPr>
            <w:r>
              <w:t xml:space="preserve">❌</w:t>
            </w:r>
          </w:p>
        </w:tc>
        <w:tc>
          <w:tcPr/>
          <w:p>
            <w:pPr>
              <w:pStyle w:val="Compact"/>
              <w:jc w:val="left"/>
            </w:pPr>
            <w:r>
              <w:rPr>
                <w:b w:val="true"/>
                <w:bCs w:val="true"/>
              </w:rPr>
              <w:t xml:space="preserve">B2B</w:t>
            </w:r>
          </w:p>
        </w:tc>
        <w:tc>
          <w:tcPr/>
          <w:p>
            <w:pPr>
              <w:pStyle w:val="Compact"/>
              <w:jc w:val="left"/>
            </w:pPr>
            <w:r>
              <w:rPr>
                <w:rStyle w:val="VerbatimChar"/>
              </w:rPr>
              <w:t xml:space="preserve">createOrder · orderType=businessorder</w:t>
            </w:r>
            <w:r>
              <w:t xml:space="preserve"> (Internal Customer wholesale c_id)</w:t>
            </w:r>
          </w:p>
        </w:tc>
      </w:tr>
    </w:tbl>
    <w:p>
      <w:pPr>
        <w:pStyle w:val="BodyText"/>
      </w:pPr>
      <w:r>
        <w:t xml:space="preserve">Sources of grounding: STN payload verified against live Harmony round-trip 2026-05-29 (DN-STNORDERTEST1); B2B payload verified against live Harmony round-trip 2026-06-01 (DN-26-00040). PO branch reuses §9’s </w:t>
      </w:r>
      <w:r>
        <w:rPr>
          <w:rStyle w:val="VerbatimChar"/>
        </w:rPr>
        <w:t xml:space="preserve">CreatePurchaseOrder</w:t>
      </w:r>
      <w:r>
        <w:t xml:space="preserve"> wire.</w:t>
      </w:r>
    </w:p>
    <w:p>
      <w:pPr>
        <w:pStyle w:val="BodyText"/>
      </w:pPr>
      <w:r>
        <w:t xml:space="preserve">The Inert branch is the most important invariant: a DN between two non-EE-mapped warehouses sees zero integration activity. The lifecycle is exactly ERPNext-native. No Transfer Map, no Sync Record, no flag. Same Gate-0 invariant as §9.</w:t>
      </w:r>
    </w:p>
    <w:p>
      <w:pPr>
        <w:pStyle w:val="BodyText"/>
      </w:pPr>
      <w:r>
        <w:t xml:space="preserve">The fourth branch (B2B) was discovered during the live integration smoke; it was structurally absent from the original design packet. </w:t>
      </w:r>
      <w:r>
        <w:rPr>
          <w:b w:val="true"/>
          <w:bCs w:val="true"/>
        </w:rPr>
        <w:t xml:space="preserve">Lesson: future spec decision-matrices must enumerate all quadrants explicitly and gate "design complete" on each having either a grounded EE primitive or a deliberate inert outcome.</w:t>
      </w:r>
    </w:p>
    <w:p>
      <w:pPr>
        <w:pStyle w:val="Heading2"/>
      </w:pPr>
      <w:r>
        <w:t xml:space="preserve">10.2 Internal Customer / Internal Supplier pattern (N+N model)</w:t>
      </w:r>
    </w:p>
    <w:p>
      <w:pPr>
        <w:pStyle w:val="FirstParagraph"/>
      </w:pPr>
      <w:r>
        <w:t xml:space="preserve">§10 uses ERPNext’s </w:t>
      </w:r>
      <w:r>
        <w:rPr>
          <w:rStyle w:val="VerbatimChar"/>
        </w:rPr>
        <w:t xml:space="preserve">is_internal_customer</w:t>
      </w:r>
      <w:r>
        <w:t xml:space="preserve"> / </w:t>
      </w:r>
      <w:r>
        <w:rPr>
          <w:rStyle w:val="VerbatimChar"/>
        </w:rPr>
        <w:t xml:space="preserve">is_internal_supplier</w:t>
      </w:r>
      <w:r>
        <w:t xml:space="preserve"> flags to model inter-Company stock movement. Crucial cardinality finding from Stage 1 implementation: ERPNext enforces </w:t>
      </w:r>
      <w:r>
        <w:rPr>
          <w:b w:val="true"/>
          <w:bCs w:val="true"/>
        </w:rPr>
        <w:t xml:space="preserve">at-most-one Internal Customer per `represents_company`</w:t>
      </w:r>
      <w:r>
        <w:t xml:space="preserve">, so the original N×(N−1)-per-pair model was structurally refused. The actual ERPNext-idiomatic model is N+N:</w:t>
      </w:r>
    </w:p>
    <w:p>
      <w:pPr>
        <w:pStyle w:val="Compact"/>
        <w:ind w:left="360" w:hanging="360"/>
      </w:pPr>
      <w:r>
        <w:t xml:space="preserve">• </w:t>
      </w:r>
      <w:r>
        <w:rPr>
          <w:b w:val="true"/>
          <w:bCs w:val="true"/>
        </w:rPr>
        <w:t xml:space="preserve">One Internal Customer per destination Company.</w:t>
      </w:r>
      <w:r>
        <w:t xml:space="preserve"> Named </w:t>
      </w:r>
      <w:r>
        <w:rPr>
          <w:rStyle w:val="VerbatimChar"/>
        </w:rPr>
        <w:t xml:space="preserve">INTL-CUST-for-{destination}</w:t>
      </w:r>
      <w:r>
        <w:t xml:space="preserve">. </w:t>
      </w:r>
      <w:r>
        <w:rPr>
          <w:rStyle w:val="VerbatimChar"/>
        </w:rPr>
        <w:t xml:space="preserve">is_internal_customer=1</w:t>
      </w:r>
      <w:r>
        <w:t xml:space="preserve">, </w:t>
      </w:r>
      <w:r>
        <w:rPr>
          <w:rStyle w:val="VerbatimChar"/>
        </w:rPr>
        <w:t xml:space="preserve">represents_company=&lt;destination&gt;</w:t>
      </w:r>
      <w:r>
        <w:t xml:space="preserve">. The </w:t>
      </w:r>
      <w:r>
        <w:rPr>
          <w:rStyle w:val="VerbatimChar"/>
        </w:rPr>
        <w:t xml:space="preserve">companies</w:t>
      </w:r>
      <w:r>
        <w:t xml:space="preserve"> ("Allowed To Transact With") child table enumerates every source Company permitted to sell to this destination.</w:t>
      </w:r>
    </w:p>
    <w:p>
      <w:pPr>
        <w:pStyle w:val="Compact"/>
        <w:ind w:left="360" w:hanging="360"/>
      </w:pPr>
      <w:r>
        <w:t xml:space="preserve">• </w:t>
      </w:r>
      <w:r>
        <w:rPr>
          <w:b w:val="true"/>
          <w:bCs w:val="true"/>
        </w:rPr>
        <w:t xml:space="preserve">One Internal Supplier per source Company.</w:t>
      </w:r>
      <w:r>
        <w:t xml:space="preserve"> Named </w:t>
      </w:r>
      <w:r>
        <w:rPr>
          <w:rStyle w:val="VerbatimChar"/>
        </w:rPr>
        <w:t xml:space="preserve">INTL-SUPP-from-{source}</w:t>
      </w:r>
      <w:r>
        <w:t xml:space="preserve">. Symmetric — </w:t>
      </w:r>
      <w:r>
        <w:rPr>
          <w:rStyle w:val="VerbatimChar"/>
        </w:rPr>
        <w:t xml:space="preserve">companies</w:t>
      </w:r>
      <w:r>
        <w:t xml:space="preserve"> child lists every target.</w:t>
      </w:r>
    </w:p>
    <w:p>
      <w:pPr>
        <w:pStyle w:val="BodyText"/>
      </w:pPr>
      <w:r>
        <w:t xml:space="preserve">Auto-created at go-live via </w:t>
      </w:r>
      <w:r>
        <w:rPr>
          <w:rStyle w:val="VerbatimChar"/>
        </w:rPr>
        <w:t xml:space="preserve">ensure_internal_party_pairs_for_account(account_name)</w:t>
      </w:r>
      <w:r>
        <w:t xml:space="preserve">. Idempotent; reconciles </w:t>
      </w:r>
      <w:r>
        <w:rPr>
          <w:rStyle w:val="VerbatimChar"/>
        </w:rPr>
        <w:t xml:space="preserve">companies</w:t>
      </w:r>
      <w:r>
        <w:t xml:space="preserve"> child additively on re-run. The Internal Customer is also auto-pushed to EE via §8e’s Customer machinery so </w:t>
      </w:r>
      <w:r>
        <w:rPr>
          <w:rStyle w:val="VerbatimChar"/>
        </w:rPr>
        <w:t xml:space="preserve">ee_customer_id</w:t>
      </w:r>
      <w:r>
        <w:t xml:space="preserve"> (the regular customerId) and </w:t>
      </w:r>
      <w:r>
        <w:rPr>
          <w:rStyle w:val="VerbatimChar"/>
        </w:rPr>
        <w:t xml:space="preserve">c_id</w:t>
      </w:r>
      <w:r>
        <w:t xml:space="preserve"> (the wholesale c_id from </w:t>
      </w:r>
      <w:r>
        <w:rPr>
          <w:rStyle w:val="VerbatimChar"/>
        </w:rPr>
        <w:t xml:space="preserve">/Wholesale/CreateCustomer</w:t>
      </w:r>
      <w:r>
        <w:t xml:space="preserve">) are both captured.</w:t>
      </w:r>
    </w:p>
    <w:p>
      <w:pPr>
        <w:pStyle w:val="BodyText"/>
      </w:pPr>
      <w:r>
        <w:rPr>
          <w:b w:val="true"/>
          <w:bCs w:val="true"/>
        </w:rPr>
        <w:t xml:space="preserve">Runtime lookup pattern:</w:t>
      </w:r>
      <w:r>
        <w:t xml:space="preserve"> for a transfer from Company A to Company B:</w:t>
      </w:r>
    </w:p>
    <w:p>
      <w:pPr>
        <w:pStyle w:val="Compact"/>
        <w:ind w:left="360" w:hanging="360"/>
      </w:pPr>
      <w:r>
        <w:t xml:space="preserve">• </w:t>
      </w:r>
      <w:r>
        <w:t xml:space="preserve">Find Customer where </w:t>
      </w:r>
      <w:r>
        <w:rPr>
          <w:rStyle w:val="VerbatimChar"/>
        </w:rPr>
        <w:t xml:space="preserve">is_internal_customer=1 AND represents_company=B AND A in companies[*].company</w:t>
      </w:r>
      <w:r>
        <w:t xml:space="preserve">.</w:t>
      </w:r>
    </w:p>
    <w:p>
      <w:pPr>
        <w:pStyle w:val="Compact"/>
        <w:ind w:left="360" w:hanging="360"/>
      </w:pPr>
      <w:r>
        <w:t xml:space="preserve">• </w:t>
      </w:r>
      <w:r>
        <w:t xml:space="preserve">Find Supplier symmetrically: </w:t>
      </w:r>
      <w:r>
        <w:rPr>
          <w:rStyle w:val="VerbatimChar"/>
        </w:rPr>
        <w:t xml:space="preserve">is_internal_supplier=1 AND represents_company=A AND B in companies[*].company</w:t>
      </w:r>
      <w:r>
        <w:t xml:space="preserve">.</w:t>
      </w:r>
    </w:p>
    <w:p>
      <w:pPr>
        <w:pStyle w:val="BodyText"/>
      </w:pPr>
      <w:r>
        <w:t xml:space="preserve">The </w:t>
      </w:r>
      <w:r>
        <w:rPr>
          <w:rStyle w:val="VerbatimChar"/>
        </w:rPr>
        <w:t xml:space="preserve">is_internal_*</w:t>
      </w:r>
      <w:r>
        <w:t xml:space="preserve"> flags drive correct GL behaviour: ERPNext’s selling/buying controllers handle the inter-Company representation natively. Source-side SI and destination-side IPI are recognised as paired internal documents; ITC flows correctly through GSTR-1 / GSTR-2/3B.</w:t>
      </w:r>
    </w:p>
    <w:p>
      <w:pPr>
        <w:pStyle w:val="Heading2"/>
      </w:pPr>
      <w:r>
        <w:t xml:space="preserve">10.3 Outbound — DN submit triggers the whole flow</w:t>
      </w:r>
    </w:p>
    <w:p>
      <w:pPr>
        <w:pStyle w:val="FirstParagraph"/>
      </w:pPr>
      <w:r>
        <w:rPr>
          <w:b w:val="true"/>
          <w:bCs w:val="true"/>
        </w:rPr>
        <w:t xml:space="preserve">Gate 0</w:t>
      </w:r>
      <w:r>
        <w:t xml:space="preserve">: on Delivery Note </w:t>
      </w:r>
      <w:r>
        <w:rPr>
          <w:rStyle w:val="VerbatimChar"/>
        </w:rPr>
        <w:t xml:space="preserve">on_submit</w:t>
      </w:r>
      <w:r>
        <w:t xml:space="preserve"> (ALWAYS runs first):</w:t>
      </w:r>
    </w:p>
    <w:p>
      <w:pPr>
        <w:pStyle w:val="Compact"/>
        <w:ind w:left="360" w:hanging="360"/>
      </w:pPr>
      <w:r>
        <w:t xml:space="preserve">• </w:t>
      </w:r>
      <w:r>
        <w:rPr>
          <w:rStyle w:val="VerbatimChar"/>
        </w:rPr>
        <w:t xml:space="preserve">dn.is_internal_customer == 1</w:t>
      </w:r>
      <w:r>
        <w:t xml:space="preserve">? AND at least one of (source warehouse, target warehouse) is EE-mapped via §8a </w:t>
      </w:r>
      <w:r>
        <w:rPr>
          <w:rStyle w:val="VerbatimChar"/>
        </w:rPr>
        <w:t xml:space="preserve">location_key</w:t>
      </w:r>
      <w:r>
        <w:t xml:space="preserve">?</w:t>
      </w:r>
    </w:p>
    <w:p>
      <w:pPr>
        <w:pStyle w:val="Compact"/>
        <w:ind w:left="360" w:hanging="360"/>
      </w:pPr>
      <w:r>
        <w:t xml:space="preserve">• </w:t>
      </w:r>
      <w:r>
        <w:t xml:space="preserve">If either condition fails → return immediately. No Transfer Map row, no SI auto-draft, no EE push, no Sync Record. Integration is silently inert.</w:t>
      </w:r>
    </w:p>
    <w:p>
      <w:pPr>
        <w:pStyle w:val="BodyText"/>
      </w:pPr>
      <w:r>
        <w:rPr>
          <w:b w:val="true"/>
          <w:bCs w:val="true"/>
        </w:rPr>
        <w:t xml:space="preserve">Multi-warehouse DN</w:t>
      </w:r>
      <w:r>
        <w:t xml:space="preserve"> (line items spanning multiple distinct source/target pairs) is rejected at validate-pre-submit with an error directing user to split. Same "split, don’t auto-multiplex" principle as §9’s mixed-warehouse rule.</w:t>
      </w:r>
    </w:p>
    <w:p>
      <w:pPr>
        <w:pStyle w:val="BodyText"/>
      </w:pPr>
      <w:r>
        <w:rPr>
          <w:b w:val="true"/>
          <w:bCs w:val="true"/>
        </w:rPr>
        <w:t xml:space="preserve">Preconditions</w:t>
      </w:r>
      <w:r>
        <w:t xml:space="preserve"> (after Gate 0; miss → Transfer Map status=Drift with </w:t>
      </w:r>
      <w:r>
        <w:rPr>
          <w:rStyle w:val="VerbatimChar"/>
        </w:rPr>
        <w:t xml:space="preserve">flag_reason</w:t>
      </w:r>
      <w:r>
        <w:t xml:space="preserve">):</w:t>
      </w:r>
    </w:p>
    <w:p>
      <w:pPr>
        <w:pStyle w:val="Compact"/>
        <w:ind w:left="360" w:hanging="360"/>
      </w:pPr>
      <w:r>
        <w:t xml:space="preserve">• </w:t>
      </w:r>
      <w:r>
        <w:t xml:space="preserve">Internal Customer pair fabric exists (look up per §10.2).</w:t>
      </w:r>
    </w:p>
    <w:p>
      <w:pPr>
        <w:pStyle w:val="Compact"/>
        <w:ind w:left="360" w:hanging="360"/>
      </w:pPr>
      <w:r>
        <w:t xml:space="preserve">• </w:t>
      </w:r>
      <w:r>
        <w:t xml:space="preserve">Internal Customer pushed to EE (Customer Map has </w:t>
      </w:r>
      <w:r>
        <w:rPr>
          <w:rStyle w:val="VerbatimChar"/>
        </w:rPr>
        <w:t xml:space="preserve">ee_customer_id</w:t>
      </w:r>
      <w:r>
        <w:t xml:space="preserve">).</w:t>
      </w:r>
    </w:p>
    <w:p>
      <w:pPr>
        <w:pStyle w:val="Compact"/>
        <w:ind w:left="360" w:hanging="360"/>
      </w:pPr>
      <w:r>
        <w:t xml:space="preserve">• </w:t>
      </w:r>
      <w:r>
        <w:t xml:space="preserve">Every line item has an Item Map row.</w:t>
      </w:r>
    </w:p>
    <w:p>
      <w:pPr>
        <w:pStyle w:val="Compact"/>
        <w:ind w:left="360" w:hanging="360"/>
      </w:pPr>
      <w:r>
        <w:t xml:space="preserve">• </w:t>
      </w:r>
      <w:r>
        <w:t xml:space="preserve">Source and target Company GSTINs resolvable (Warehouse → Address → gstin; falls back to Company.gstin).</w:t>
      </w:r>
    </w:p>
    <w:p>
      <w:pPr>
        <w:pStyle w:val="Compact"/>
        <w:ind w:left="360" w:hanging="360"/>
      </w:pPr>
      <w:r>
        <w:t xml:space="preserve">• </w:t>
      </w:r>
      <w:r>
        <w:t xml:space="preserve">Target warehouse has a resolvable Address (used in STN/PO payload).</w:t>
      </w:r>
    </w:p>
    <w:p>
      <w:pPr>
        <w:pStyle w:val="BodyText"/>
      </w:pPr>
      <w:r>
        <w:rPr>
          <w:b w:val="true"/>
          <w:bCs w:val="true"/>
        </w:rPr>
        <w:t xml:space="preserve">Transfer Map creation:</w:t>
      </w:r>
      <w:r>
        <w:t xml:space="preserve"> every §10 DN that clears Gate 0 + preconditions creates exactly one </w:t>
      </w:r>
      <w:r>
        <w:rPr>
          <w:rStyle w:val="VerbatimChar"/>
        </w:rPr>
        <w:t xml:space="preserve">EasyEcom Transfer Map</w:t>
      </w:r>
      <w:r>
        <w:t xml:space="preserve"> row, keyed on the DN name (</w:t>
      </w:r>
      <w:r>
        <w:rPr>
          <w:rStyle w:val="VerbatimChar"/>
        </w:rPr>
        <w:t xml:space="preserve">ECS-XFER-{dn_name}</w:t>
      </w:r>
      <w:r>
        <w:t xml:space="preserve">). The Map carries:</w:t>
      </w:r>
    </w:p>
    <w:p>
      <w:pPr>
        <w:pStyle w:val="Compact"/>
        <w:ind w:left="360" w:hanging="360"/>
      </w:pPr>
      <w:r>
        <w:t xml:space="preserve">• </w:t>
      </w:r>
      <w:r>
        <w:rPr>
          <w:rStyle w:val="VerbatimChar"/>
        </w:rPr>
        <w:t xml:space="preserve">delivery_note</w:t>
      </w:r>
      <w:r>
        <w:t xml:space="preserve">, </w:t>
      </w:r>
      <w:r>
        <w:rPr>
          <w:rStyle w:val="VerbatimChar"/>
        </w:rPr>
        <w:t xml:space="preserve">source_warehouse</w:t>
      </w:r>
      <w:r>
        <w:t xml:space="preserve">, </w:t>
      </w:r>
      <w:r>
        <w:rPr>
          <w:rStyle w:val="VerbatimChar"/>
        </w:rPr>
        <w:t xml:space="preserve">target_warehouse</w:t>
      </w:r>
    </w:p>
    <w:p>
      <w:pPr>
        <w:pStyle w:val="Compact"/>
        <w:ind w:left="360" w:hanging="360"/>
      </w:pPr>
      <w:r>
        <w:t xml:space="preserve">• </w:t>
      </w:r>
      <w:r>
        <w:rPr>
          <w:rStyle w:val="VerbatimChar"/>
        </w:rPr>
        <w:t xml:space="preserve">source_company_gstin</w:t>
      </w:r>
      <w:r>
        <w:t xml:space="preserve">, </w:t>
      </w:r>
      <w:r>
        <w:rPr>
          <w:rStyle w:val="VerbatimChar"/>
        </w:rPr>
        <w:t xml:space="preserve">target_company_gstin</w:t>
      </w:r>
      <w:r>
        <w:t xml:space="preserve"> (per-Warehouse-Address resolution, falls back to Company.gstin — supports multi-state GSTIN registrations)</w:t>
      </w:r>
    </w:p>
    <w:p>
      <w:pPr>
        <w:pStyle w:val="Compact"/>
        <w:ind w:left="360" w:hanging="360"/>
      </w:pPr>
      <w:r>
        <w:t xml:space="preserve">• </w:t>
      </w:r>
      <w:r>
        <w:rPr>
          <w:rStyle w:val="VerbatimChar"/>
        </w:rPr>
        <w:t xml:space="preserve">gstin_different</w:t>
      </w:r>
      <w:r>
        <w:t xml:space="preserve"> (derived)</w:t>
      </w:r>
    </w:p>
    <w:p>
      <w:pPr>
        <w:pStyle w:val="Compact"/>
        <w:ind w:left="360" w:hanging="360"/>
      </w:pPr>
      <w:r>
        <w:t xml:space="preserve">• </w:t>
      </w:r>
      <w:r>
        <w:rPr>
          <w:rStyle w:val="VerbatimChar"/>
        </w:rPr>
        <w:t xml:space="preserve">ee_doctype</w:t>
      </w:r>
      <w:r>
        <w:t xml:space="preserve">: enum </w:t>
      </w:r>
      <w:r>
        <w:rPr>
          <w:rStyle w:val="VerbatimChar"/>
        </w:rPr>
        <w:t xml:space="preserve">STN / PO / B2B</w:t>
      </w:r>
    </w:p>
    <w:p>
      <w:pPr>
        <w:pStyle w:val="Compact"/>
        <w:ind w:left="360" w:hanging="360"/>
      </w:pPr>
      <w:r>
        <w:t xml:space="preserve">• </w:t>
      </w:r>
      <w:r>
        <w:rPr>
          <w:rStyle w:val="VerbatimChar"/>
        </w:rPr>
        <w:t xml:space="preserve">ee_order_id</w:t>
      </w:r>
      <w:r>
        <w:t xml:space="preserve">, </w:t>
      </w:r>
      <w:r>
        <w:rPr>
          <w:rStyle w:val="VerbatimChar"/>
        </w:rPr>
        <w:t xml:space="preserve">ee_suborder_id</w:t>
      </w:r>
      <w:r>
        <w:t xml:space="preserve">, </w:t>
      </w:r>
      <w:r>
        <w:rPr>
          <w:rStyle w:val="VerbatimChar"/>
        </w:rPr>
        <w:t xml:space="preserve">ee_invoice_id</w:t>
      </w:r>
      <w:r>
        <w:t xml:space="preserve"> (Data strings from EE response on STN/B2B branches)</w:t>
      </w:r>
    </w:p>
    <w:p>
      <w:pPr>
        <w:pStyle w:val="Compact"/>
        <w:ind w:left="360" w:hanging="360"/>
      </w:pPr>
      <w:r>
        <w:t xml:space="preserve">• </w:t>
      </w:r>
      <w:r>
        <w:rPr>
          <w:rStyle w:val="VerbatimChar"/>
        </w:rPr>
        <w:t xml:space="preserve">ee_po_id</w:t>
      </w:r>
      <w:r>
        <w:t xml:space="preserve"> (Int, PO branch only)</w:t>
      </w:r>
    </w:p>
    <w:p>
      <w:pPr>
        <w:pStyle w:val="Compact"/>
        <w:ind w:left="360" w:hanging="360"/>
      </w:pPr>
      <w:r>
        <w:t xml:space="preserve">• </w:t>
      </w:r>
      <w:r>
        <w:rPr>
          <w:rStyle w:val="VerbatimChar"/>
        </w:rPr>
        <w:t xml:space="preserve">sales_invoice</w:t>
      </w:r>
      <w:r>
        <w:t xml:space="preserve"> (link to auto-drafted SI when </w:t>
      </w:r>
      <w:r>
        <w:rPr>
          <w:rStyle w:val="VerbatimChar"/>
        </w:rPr>
        <w:t xml:space="preserve">gstin_different=1</w:t>
      </w:r>
      <w:r>
        <w:t xml:space="preserve">)</w:t>
      </w:r>
    </w:p>
    <w:p>
      <w:pPr>
        <w:pStyle w:val="Compact"/>
        <w:ind w:left="360" w:hanging="360"/>
      </w:pPr>
      <w:r>
        <w:t xml:space="preserve">• </w:t>
      </w:r>
      <w:r>
        <w:rPr>
          <w:rStyle w:val="VerbatimChar"/>
        </w:rPr>
        <w:t xml:space="preserve">internal_purchase_invoice</w:t>
      </w:r>
      <w:r>
        <w:t xml:space="preserve">, </w:t>
      </w:r>
      <w:r>
        <w:rPr>
          <w:rStyle w:val="VerbatimChar"/>
        </w:rPr>
        <w:t xml:space="preserve">draft_debit_note</w:t>
      </w:r>
      <w:r>
        <w:t xml:space="preserve"> (links to auto-drafted IPI/DN on inbound)</w:t>
      </w:r>
    </w:p>
    <w:p>
      <w:pPr>
        <w:pStyle w:val="Compact"/>
        <w:ind w:left="360" w:hanging="360"/>
      </w:pPr>
      <w:r>
        <w:t xml:space="preserve">• </w:t>
      </w:r>
      <w:r>
        <w:rPr>
          <w:rStyle w:val="VerbatimChar"/>
        </w:rPr>
        <w:t xml:space="preserve">internal_purchase_receipts</w:t>
      </w:r>
      <w:r>
        <w:t xml:space="preserve"> (Table → IPR Link child, multi-GRN accumulator)</w:t>
      </w:r>
    </w:p>
    <w:p>
      <w:pPr>
        <w:pStyle w:val="Compact"/>
        <w:ind w:left="360" w:hanging="360"/>
      </w:pPr>
      <w:r>
        <w:t xml:space="preserve">• </w:t>
      </w:r>
      <w:r>
        <w:rPr>
          <w:rStyle w:val="VerbatimChar"/>
        </w:rPr>
        <w:t xml:space="preserve">git_balance</w:t>
      </w:r>
      <w:r>
        <w:t xml:space="preserve"> (derived; current GIT inventory for this transfer)</w:t>
      </w:r>
    </w:p>
    <w:p>
      <w:pPr>
        <w:pStyle w:val="Compact"/>
        <w:ind w:left="360" w:hanging="360"/>
      </w:pPr>
      <w:r>
        <w:t xml:space="preserve">• </w:t>
      </w:r>
      <w:r>
        <w:rPr>
          <w:rStyle w:val="VerbatimChar"/>
        </w:rPr>
        <w:t xml:space="preserve">status</w:t>
      </w:r>
      <w:r>
        <w:t xml:space="preserve"> (9-state enum: Mapped / SI-Pending / SI-Submitted / EE-Pushed / Partial-Received / Fully-Received / DN-Submitted-Locked / Drift / Disabled)</w:t>
      </w:r>
    </w:p>
    <w:p>
      <w:pPr>
        <w:pStyle w:val="Compact"/>
        <w:ind w:left="360" w:hanging="360"/>
      </w:pPr>
      <w:r>
        <w:t xml:space="preserve">• </w:t>
      </w:r>
      <w:r>
        <w:rPr>
          <w:rStyle w:val="VerbatimChar"/>
        </w:rPr>
        <w:t xml:space="preserve">flag_reason</w:t>
      </w:r>
      <w:r>
        <w:t xml:space="preserve">, </w:t>
      </w:r>
      <w:r>
        <w:rPr>
          <w:rStyle w:val="VerbatimChar"/>
        </w:rPr>
        <w:t xml:space="preserve">last_observed_at</w:t>
      </w:r>
      <w:r>
        <w:t xml:space="preserve">, </w:t>
      </w:r>
      <w:r>
        <w:rPr>
          <w:rStyle w:val="VerbatimChar"/>
        </w:rPr>
        <w:t xml:space="preserve">ecs_pending_ee_push</w:t>
      </w:r>
    </w:p>
    <w:p>
      <w:pPr>
        <w:pStyle w:val="BodyText"/>
      </w:pPr>
      <w:r>
        <w:rPr>
          <w:b w:val="true"/>
          <w:bCs w:val="true"/>
        </w:rPr>
        <w:t xml:space="preserve">SI auto-draft (different-GSTIN only):</w:t>
      </w:r>
      <w:r>
        <w:t xml:space="preserve"> if </w:t>
      </w:r>
      <w:r>
        <w:rPr>
          <w:rStyle w:val="VerbatimChar"/>
        </w:rPr>
        <w:t xml:space="preserve">gstin_different=1</w:t>
      </w:r>
      <w:r>
        <w:t xml:space="preserve"> AND all preconditions clear:</w:t>
      </w:r>
    </w:p>
    <w:p>
      <w:pPr>
        <w:pStyle w:val="Compact"/>
        <w:ind w:left="360" w:hanging="360"/>
      </w:pPr>
      <w:r>
        <w:t xml:space="preserve">• </w:t>
      </w:r>
      <w:r>
        <w:t xml:space="preserve">Auto-create an Internal Sales Invoice in </w:t>
      </w:r>
      <w:r>
        <w:rPr>
          <w:b w:val="true"/>
          <w:bCs w:val="true"/>
        </w:rPr>
        <w:t xml:space="preserve">Draft</w:t>
      </w:r>
      <w:r>
        <w:t xml:space="preserve"> (docstatus=0), sized to the DN’s dispatched quantities.</w:t>
      </w:r>
    </w:p>
    <w:p>
      <w:pPr>
        <w:pStyle w:val="Compact"/>
        <w:ind w:left="360" w:hanging="360"/>
      </w:pPr>
      <w:r>
        <w:t xml:space="preserve">• </w:t>
      </w:r>
      <w:r>
        <w:t xml:space="preserve">Customer = the resolved Internal Customer; source Company = source warehouse’s Company.</w:t>
      </w:r>
    </w:p>
    <w:p>
      <w:pPr>
        <w:pStyle w:val="Compact"/>
        <w:ind w:left="360" w:hanging="360"/>
      </w:pPr>
      <w:r>
        <w:t xml:space="preserve">• </w:t>
      </w:r>
      <w:r>
        <w:rPr>
          <w:rStyle w:val="VerbatimChar"/>
        </w:rPr>
        <w:t xml:space="preserve">update_stock=0</w:t>
      </w:r>
      <w:r>
        <w:t xml:space="preserve"> (the DN already did stock-out; SI is GST-only).</w:t>
      </w:r>
    </w:p>
    <w:p>
      <w:pPr>
        <w:pStyle w:val="Compact"/>
        <w:ind w:left="360" w:hanging="360"/>
      </w:pPr>
      <w:r>
        <w:t xml:space="preserve">• </w:t>
      </w:r>
      <w:r>
        <w:rPr>
          <w:b w:val="true"/>
          <w:bCs w:val="true"/>
        </w:rPr>
        <w:t xml:space="preserve">`ecs_section10_transfer_map` back-link populated to the Transfer Map’s name BEFORE the SI is saved.</w:t>
      </w:r>
      <w:r>
        <w:t xml:space="preserve"> This is a load-bearing invariant — see §10.x SI back-link contract below.</w:t>
      </w:r>
    </w:p>
    <w:p>
      <w:pPr>
        <w:pStyle w:val="Compact"/>
        <w:ind w:left="360" w:hanging="360"/>
      </w:pPr>
      <w:r>
        <w:t xml:space="preserve">• </w:t>
      </w:r>
      <w:r>
        <w:t xml:space="preserve">Items mirror DN lines: same Item, same qty, same rate, same Item Tax Template.</w:t>
      </w:r>
    </w:p>
    <w:p>
      <w:pPr>
        <w:pStyle w:val="Compact"/>
        <w:ind w:left="360" w:hanging="360"/>
      </w:pPr>
      <w:r>
        <w:t xml:space="preserve">• </w:t>
      </w:r>
      <w:r>
        <w:t xml:space="preserve">The SI is auto-drafted because the destination-side IPR auto-submit (different-GSTIN) is gated on SI being submitted; the cascade hands off to the ERP user at this draft point.</w:t>
      </w:r>
    </w:p>
    <w:p>
      <w:pPr>
        <w:pStyle w:val="BodyText"/>
      </w:pPr>
      <w:r>
        <w:rPr>
          <w:b w:val="true"/>
          <w:bCs w:val="true"/>
        </w:rPr>
        <w:t xml:space="preserve">EE push — branch decision:</w:t>
      </w:r>
    </w:p>
    <w:p>
      <w:pPr>
        <w:pStyle w:val="Compact"/>
        <w:ind w:left="360" w:hanging="360"/>
      </w:pPr>
      <w:r>
        <w:t xml:space="preserve">• </w:t>
      </w:r>
      <w:r>
        <w:t xml:space="preserve">Source EE-mapped, target EE-mapped → STN (§10.5).</w:t>
      </w:r>
    </w:p>
    <w:p>
      <w:pPr>
        <w:pStyle w:val="Compact"/>
        <w:ind w:left="360" w:hanging="360"/>
      </w:pPr>
      <w:r>
        <w:t xml:space="preserve">• </w:t>
      </w:r>
      <w:r>
        <w:t xml:space="preserve">Source EE-mapped, target NOT EE-mapped → B2B (§10.6).</w:t>
      </w:r>
    </w:p>
    <w:p>
      <w:pPr>
        <w:pStyle w:val="Compact"/>
        <w:ind w:left="360" w:hanging="360"/>
      </w:pPr>
      <w:r>
        <w:t xml:space="preserve">• </w:t>
      </w:r>
      <w:r>
        <w:t xml:space="preserve">Source NOT EE-mapped, target EE-mapped → PO (§10.7).</w:t>
      </w:r>
    </w:p>
    <w:p>
      <w:pPr>
        <w:pStyle w:val="Compact"/>
        <w:ind w:left="360" w:hanging="360"/>
      </w:pPr>
      <w:r>
        <w:t xml:space="preserve">• </w:t>
      </w:r>
      <w:r>
        <w:t xml:space="preserve">Neither EE-mapped → Inert (Gate 0 already returned).</w:t>
      </w:r>
    </w:p>
    <w:p>
      <w:pPr>
        <w:pStyle w:val="BodyText"/>
      </w:pPr>
      <w:r>
        <w:rPr>
          <w:b w:val="true"/>
          <w:bCs w:val="true"/>
        </w:rPr>
        <w:t xml:space="preserve">Status transitions on outbound:</w:t>
      </w:r>
    </w:p>
    <w:p>
      <w:pPr>
        <w:pStyle w:val="Compact"/>
        <w:ind w:left="360" w:hanging="360"/>
      </w:pPr>
      <w:r>
        <w:t xml:space="preserve">• </w:t>
      </w:r>
      <w:r>
        <w:rPr>
          <w:rStyle w:val="VerbatimChar"/>
        </w:rPr>
        <w:t xml:space="preserve">Mapped → SI-Pending</w:t>
      </w:r>
      <w:r>
        <w:t xml:space="preserve"> when SI is drafted (different-GSTIN cases).</w:t>
      </w:r>
    </w:p>
    <w:p>
      <w:pPr>
        <w:pStyle w:val="Compact"/>
        <w:ind w:left="360" w:hanging="360"/>
      </w:pPr>
      <w:r>
        <w:t xml:space="preserve">• </w:t>
      </w:r>
      <w:r>
        <w:rPr>
          <w:rStyle w:val="VerbatimChar"/>
        </w:rPr>
        <w:t xml:space="preserve">Mapped → EE-Pushed</w:t>
      </w:r>
      <w:r>
        <w:t xml:space="preserve"> when EE push succeeds (same-GSTIN cases, no SI involved).</w:t>
      </w:r>
    </w:p>
    <w:p>
      <w:pPr>
        <w:pStyle w:val="Compact"/>
        <w:ind w:left="360" w:hanging="360"/>
      </w:pPr>
      <w:r>
        <w:t xml:space="preserve">• </w:t>
      </w:r>
      <w:r>
        <w:rPr>
          <w:rStyle w:val="VerbatimChar"/>
        </w:rPr>
        <w:t xml:space="preserve">SI-Pending → EE-Pushed</w:t>
      </w:r>
      <w:r>
        <w:t xml:space="preserve"> when EE push succeeds AND SI is later submitted (this transition fixed 2026-06-01; previously stuck at SI-Pending forever — see §10.x status transition fix).</w:t>
      </w:r>
    </w:p>
    <w:p>
      <w:pPr>
        <w:pStyle w:val="Compact"/>
        <w:ind w:left="360" w:hanging="360"/>
      </w:pPr>
      <w:r>
        <w:t xml:space="preserve">• </w:t>
      </w:r>
      <w:r>
        <w:rPr>
          <w:rStyle w:val="VerbatimChar"/>
        </w:rPr>
        <w:t xml:space="preserve">SI-Pending → SI-Submitted</w:t>
      </w:r>
      <w:r>
        <w:t xml:space="preserve"> when push is still pending (paused-substrate case).</w:t>
      </w:r>
    </w:p>
    <w:p>
      <w:pPr>
        <w:pStyle w:val="Compact"/>
        <w:ind w:left="360" w:hanging="360"/>
      </w:pPr>
      <w:r>
        <w:t xml:space="preserve">• </w:t>
      </w:r>
      <w:r>
        <w:t xml:space="preserve">Any failure on the push → </w:t>
      </w:r>
      <w:r>
        <w:rPr>
          <w:rStyle w:val="VerbatimChar"/>
        </w:rPr>
        <w:t xml:space="preserve">Drift</w:t>
      </w:r>
      <w:r>
        <w:t xml:space="preserve"> with </w:t>
      </w:r>
      <w:r>
        <w:rPr>
          <w:rStyle w:val="VerbatimChar"/>
        </w:rPr>
        <w:t xml:space="preserve">flag_reason</w:t>
      </w:r>
      <w:r>
        <w:t xml:space="preserve">. DN stays Submitted in ERPNext (integration never cancels valid ERPNext documents).</w:t>
      </w:r>
    </w:p>
    <w:p>
      <w:pPr>
        <w:pStyle w:val="Heading2"/>
      </w:pPr>
      <w:r>
        <w:t xml:space="preserve">10.4 Outbound — Same-GSTIN STN flow (Linked → Linked, same GSTIN)</w:t>
      </w:r>
    </w:p>
    <w:p>
      <w:pPr>
        <w:pStyle w:val="Compact"/>
        <w:ind w:left="360" w:hanging="360"/>
      </w:pPr>
      <w:r>
        <w:t xml:space="preserve">• </w:t>
      </w:r>
      <w:r>
        <w:t xml:space="preserve">DN submitted, Gate 0 + preconditions clear.</w:t>
      </w:r>
    </w:p>
    <w:p>
      <w:pPr>
        <w:pStyle w:val="Compact"/>
        <w:ind w:left="360" w:hanging="360"/>
      </w:pPr>
      <w:r>
        <w:t xml:space="preserve">• </w:t>
      </w:r>
      <w:r>
        <w:t xml:space="preserve">Transfer Map row created, status </w:t>
      </w:r>
      <w:r>
        <w:rPr>
          <w:rStyle w:val="VerbatimChar"/>
        </w:rPr>
        <w:t xml:space="preserve">Mapped → EE-Pushed</w:t>
      </w:r>
      <w:r>
        <w:t xml:space="preserve">.</w:t>
      </w:r>
    </w:p>
    <w:p>
      <w:pPr>
        <w:pStyle w:val="Compact"/>
        <w:ind w:left="360" w:hanging="360"/>
      </w:pPr>
      <w:r>
        <w:t xml:space="preserve">• </w:t>
      </w:r>
      <w:r>
        <w:t xml:space="preserve">STN payload pushed (§10.5).</w:t>
      </w:r>
    </w:p>
    <w:p>
      <w:pPr>
        <w:pStyle w:val="Compact"/>
        <w:ind w:left="360" w:hanging="360"/>
      </w:pPr>
      <w:r>
        <w:t xml:space="preserve">• </w:t>
      </w:r>
      <w:r>
        <w:t xml:space="preserve">Stock parks in destination Company’s </w:t>
      </w:r>
      <w:r>
        <w:rPr>
          <w:rStyle w:val="VerbatimChar"/>
        </w:rPr>
        <w:t xml:space="preserve">default_in_transit_warehouse</w:t>
      </w:r>
      <w:r>
        <w:t xml:space="preserve"> (GIT) on DN submit.</w:t>
      </w:r>
    </w:p>
    <w:p>
      <w:pPr>
        <w:pStyle w:val="Compact"/>
        <w:ind w:left="360" w:hanging="360"/>
      </w:pPr>
      <w:r>
        <w:t xml:space="preserve">• </w:t>
      </w:r>
      <w:r>
        <w:t xml:space="preserve">No SI, no IPI, no DN — same GSTIN means no legal supply between entities; pure stock movement.</w:t>
      </w:r>
    </w:p>
    <w:p>
      <w:pPr>
        <w:pStyle w:val="Compact"/>
        <w:ind w:left="360" w:hanging="360"/>
      </w:pPr>
      <w:r>
        <w:t xml:space="preserve">• </w:t>
      </w:r>
      <w:r>
        <w:t xml:space="preserve">Inbound (§10.8) creates and auto-submits an IPR moving GIT → destination warehouse.</w:t>
      </w:r>
    </w:p>
    <w:p>
      <w:pPr>
        <w:pStyle w:val="Heading2"/>
      </w:pPr>
      <w:r>
        <w:t xml:space="preserve">10.5 STN payload contract (grounded against live Harmony 2026-05-29)</w:t>
      </w:r>
    </w:p>
    <w:p>
      <w:pPr>
        <w:pStyle w:val="FirstParagraph"/>
      </w:pPr>
      <w:r>
        <w:t xml:space="preserve">Endpoint: </w:t>
      </w:r>
      <w:r>
        <w:rPr>
          <w:rStyle w:val="VerbatimChar"/>
        </w:rPr>
        <w:t xml:space="preserve">POST {{BaseURL}}/webhook/v2/createOrder</w:t>
      </w:r>
      <w:r>
        <w:t xml:space="preserve"> (constant: </w:t>
      </w:r>
      <w:r>
        <w:rPr>
          <w:rStyle w:val="VerbatimChar"/>
        </w:rPr>
        <w:t xml:space="preserve">CREATE_ORDER</w:t>
      </w:r>
      <w:r>
        <w:t xml:space="preserve">). Bearer JWT only (no x-api-key needed on this path).</w:t>
      </w:r>
    </w:p>
    <w:p>
      <w:pPr>
        <w:pStyle w:val="SourceCode"/>
      </w:pPr>
      <w:r>
        <w:t xml:space="preserve">{</w:t>
      </w:r>
    </w:p>
    <w:p>
      <w:pPr>
        <w:pStyle w:val="SourceCode"/>
      </w:pPr>
      <w:r>
        <w:t xml:space="preserve">  "orderType": "stocktransferorder",   // exact string</w:t>
      </w:r>
    </w:p>
    <w:p>
      <w:pPr>
        <w:pStyle w:val="SourceCode"/>
      </w:pPr>
      <w:r>
        <w:t xml:space="preserve">  "orderNumber": "&lt;dn_name&gt;",          // content-channel key</w:t>
      </w:r>
    </w:p>
    <w:p>
      <w:pPr>
        <w:pStyle w:val="SourceCode"/>
      </w:pPr>
      <w:r>
        <w:t xml:space="preserve">  "orderDate": "YYYY-MM-DD HH:MM:SS",  // UTC, converted from site_tz explicitly</w:t>
      </w:r>
    </w:p>
    <w:p>
      <w:pPr>
        <w:pStyle w:val="SourceCode"/>
      </w:pPr>
      <w:r>
        <w:t xml:space="preserve">  "expDeliveryDate": "YYYY-MM-DD HH:MM:SS",</w:t>
      </w:r>
    </w:p>
    <w:p>
      <w:pPr>
        <w:pStyle w:val="SourceCode"/>
      </w:pPr>
      <w:r>
        <w:t xml:space="preserve">  "shippingCost": 0,</w:t>
      </w:r>
    </w:p>
    <w:p>
      <w:pPr>
        <w:pStyle w:val="SourceCode"/>
      </w:pPr>
      <w:r>
        <w:t xml:space="preserve">  "paymentMode": 5,                    // from stn_default_payment_mode setting</w:t>
      </w:r>
    </w:p>
    <w:p>
      <w:pPr>
        <w:pStyle w:val="SourceCode"/>
      </w:pPr>
      <w:r>
        <w:t xml:space="preserve">  "shippingMethod": 1,                 // from stn_default_shipping_method</w:t>
      </w:r>
    </w:p>
    <w:p>
      <w:pPr>
        <w:pStyle w:val="SourceCode"/>
      </w:pPr>
      <w:r>
        <w:t xml:space="preserve">  "packageWeight": &lt;sum_grams_or_0&gt;,</w:t>
      </w:r>
    </w:p>
    <w:p>
      <w:pPr>
        <w:pStyle w:val="SourceCode"/>
      </w:pPr>
      <w:r>
        <w:t xml:space="preserve">  "packageHeight": 0, "packageWidth": 0, "packageLength": 0,</w:t>
      </w:r>
    </w:p>
    <w:p>
      <w:pPr>
        <w:pStyle w:val="SourceCode"/>
      </w:pPr>
      <w:r>
        <w:t xml:space="preserve">  "items": [</w:t>
      </w:r>
    </w:p>
    <w:p>
      <w:pPr>
        <w:pStyle w:val="SourceCode"/>
      </w:pPr>
      <w:r>
        <w:t xml:space="preserve">    {</w:t>
      </w:r>
    </w:p>
    <w:p>
      <w:pPr>
        <w:pStyle w:val="SourceCode"/>
      </w:pPr>
      <w:r>
        <w:t xml:space="preserve">      "OrderItemId": "&lt;dn_name&gt;-L&lt;idx&gt;",</w:t>
      </w:r>
    </w:p>
    <w:p>
      <w:pPr>
        <w:pStyle w:val="SourceCode"/>
      </w:pPr>
      <w:r>
        <w:t xml:space="preserve">      "Sku": "&lt;resolved_sku&gt;",</w:t>
      </w:r>
    </w:p>
    <w:p>
      <w:pPr>
        <w:pStyle w:val="SourceCode"/>
      </w:pPr>
      <w:r>
        <w:t xml:space="preserve">      "Quantity": "&lt;qty_as_string&gt;",</w:t>
      </w:r>
    </w:p>
    <w:p>
      <w:pPr>
        <w:pStyle w:val="SourceCode"/>
      </w:pPr>
      <w:r>
        <w:t xml:space="preserve">      "Price": &lt;line_rate&gt;,</w:t>
      </w:r>
    </w:p>
    <w:p>
      <w:pPr>
        <w:pStyle w:val="SourceCode"/>
      </w:pPr>
      <w:r>
        <w:t xml:space="preserve">      "itemDiscount": 0</w:t>
      </w:r>
    </w:p>
    <w:p>
      <w:pPr>
        <w:pStyle w:val="SourceCode"/>
      </w:pPr>
      <w:r>
        <w:t xml:space="preserve">    }</w:t>
      </w:r>
    </w:p>
    <w:p>
      <w:pPr>
        <w:pStyle w:val="SourceCode"/>
      </w:pPr>
      <w:r>
        <w:t xml:space="preserve">  ],</w:t>
      </w:r>
    </w:p>
    <w:p>
      <w:pPr>
        <w:pStyle w:val="SourceCode"/>
      </w:pPr>
      <w:r>
        <w:t xml:space="preserve">  "customer": [          // single-element ARRAY (EE quirk, not object)</w:t>
      </w:r>
    </w:p>
    <w:p>
      <w:pPr>
        <w:pStyle w:val="SourceCode"/>
      </w:pPr>
      <w:r>
        <w:t xml:space="preserve">    {</w:t>
      </w:r>
    </w:p>
    <w:p>
      <w:pPr>
        <w:pStyle w:val="SourceCode"/>
      </w:pPr>
      <w:r>
        <w:t xml:space="preserve">      "customerId": &lt;ee_customer_id_int&gt;,</w:t>
      </w:r>
    </w:p>
    <w:p>
      <w:pPr>
        <w:pStyle w:val="SourceCode"/>
      </w:pPr>
      <w:r>
        <w:t xml:space="preserve">      "billing": { "name": "&lt;paren_stripped_location_name&gt;", "addressLine1": ..., ... },</w:t>
      </w:r>
    </w:p>
    <w:p>
      <w:pPr>
        <w:pStyle w:val="SourceCode"/>
      </w:pPr>
      <w:r>
        <w:t xml:space="preserve">      "shipping": { "name": "&lt;paren_stripped_location_name&gt;", "addressLine1": ..., ... }</w:t>
      </w:r>
    </w:p>
    <w:p>
      <w:pPr>
        <w:pStyle w:val="SourceCode"/>
      </w:pPr>
      <w:r>
        <w:t xml:space="preserve">    }</w:t>
      </w:r>
    </w:p>
    <w:p>
      <w:pPr>
        <w:pStyle w:val="SourceCode"/>
      </w:pPr>
      <w:r>
        <w:t xml:space="preserve">  ]</w:t>
      </w:r>
    </w:p>
    <w:p>
      <w:pPr>
        <w:pStyle w:val="SourceCode"/>
      </w:pPr>
      <w:r>
        <w:t xml:space="preserve">}</w:t>
      </w:r>
    </w:p>
    <w:p>
      <w:pPr>
        <w:pStyle w:val="BodyText"/>
      </w:pPr>
      <w:r>
        <w:rPr>
          <w:b w:val="true"/>
          <w:bCs w:val="true"/>
        </w:rPr>
        <w:t xml:space="preserve">OMITTED fields</w:t>
      </w:r>
      <w:r>
        <w:t xml:space="preserve"> (the live test payload included these with placeholders; we strip them cleanly — test discipline asserts each is *not present* in the built payload): </w:t>
      </w:r>
      <w:r>
        <w:rPr>
          <w:rStyle w:val="VerbatimChar"/>
        </w:rPr>
        <w:t xml:space="preserve">is_market_shipped</w:t>
      </w:r>
      <w:r>
        <w:t xml:space="preserve">, </w:t>
      </w:r>
      <w:r>
        <w:rPr>
          <w:rStyle w:val="VerbatimChar"/>
        </w:rPr>
        <w:t xml:space="preserve">closed</w:t>
      </w:r>
      <w:r>
        <w:t xml:space="preserve">, </w:t>
      </w:r>
      <w:r>
        <w:rPr>
          <w:rStyle w:val="VerbatimChar"/>
        </w:rPr>
        <w:t xml:space="preserve">queue</w:t>
      </w:r>
      <w:r>
        <w:t xml:space="preserve">, </w:t>
      </w:r>
      <w:r>
        <w:rPr>
          <w:rStyle w:val="VerbatimChar"/>
        </w:rPr>
        <w:t xml:space="preserve">paymentGateway</w:t>
      </w:r>
      <w:r>
        <w:t xml:space="preserve">, </w:t>
      </w:r>
      <w:r>
        <w:rPr>
          <w:rStyle w:val="VerbatimChar"/>
        </w:rPr>
        <w:t xml:space="preserve">walletDiscount</w:t>
      </w:r>
      <w:r>
        <w:t xml:space="preserve">, </w:t>
      </w:r>
      <w:r>
        <w:rPr>
          <w:rStyle w:val="VerbatimChar"/>
        </w:rPr>
        <w:t xml:space="preserve">promoCodeDiscount</w:t>
      </w:r>
      <w:r>
        <w:t xml:space="preserve">, </w:t>
      </w:r>
      <w:r>
        <w:rPr>
          <w:rStyle w:val="VerbatimChar"/>
        </w:rPr>
        <w:t xml:space="preserve">prepaidDiscount</w:t>
      </w:r>
      <w:r>
        <w:t xml:space="preserve">, </w:t>
      </w:r>
      <w:r>
        <w:rPr>
          <w:rStyle w:val="VerbatimChar"/>
        </w:rPr>
        <w:t xml:space="preserve">paymentTransactionNumber</w:t>
      </w:r>
      <w:r>
        <w:t xml:space="preserve">, </w:t>
      </w:r>
      <w:r>
        <w:rPr>
          <w:rStyle w:val="VerbatimChar"/>
        </w:rPr>
        <w:t xml:space="preserve">collectableAmount</w:t>
      </w:r>
      <w:r>
        <w:t xml:space="preserve">, </w:t>
      </w:r>
      <w:r>
        <w:rPr>
          <w:rStyle w:val="VerbatimChar"/>
        </w:rPr>
        <w:t xml:space="preserve">salesmanId</w:t>
      </w:r>
      <w:r>
        <w:t xml:space="preserve">, </w:t>
      </w:r>
      <w:r>
        <w:rPr>
          <w:rStyle w:val="VerbatimChar"/>
        </w:rPr>
        <w:t xml:space="preserve">discount</w:t>
      </w:r>
      <w:r>
        <w:t xml:space="preserve">, </w:t>
      </w:r>
      <w:r>
        <w:rPr>
          <w:rStyle w:val="VerbatimChar"/>
        </w:rPr>
        <w:t xml:space="preserve">marketplace_id</w:t>
      </w:r>
      <w:r>
        <w:t xml:space="preserve">, </w:t>
      </w:r>
      <w:r>
        <w:rPr>
          <w:rStyle w:val="VerbatimChar"/>
        </w:rPr>
        <w:t xml:space="preserve">custom_fields</w:t>
      </w:r>
      <w:r>
        <w:t xml:space="preserve">, </w:t>
      </w:r>
      <w:r>
        <w:rPr>
          <w:rStyle w:val="VerbatimChar"/>
        </w:rPr>
        <w:t xml:space="preserve">latitude</w:t>
      </w:r>
      <w:r>
        <w:t xml:space="preserve">, </w:t>
      </w:r>
      <w:r>
        <w:rPr>
          <w:rStyle w:val="VerbatimChar"/>
        </w:rPr>
        <w:t xml:space="preserve">longitude</w:t>
      </w:r>
      <w:r>
        <w:t xml:space="preserve">, </w:t>
      </w:r>
      <w:r>
        <w:rPr>
          <w:rStyle w:val="VerbatimChar"/>
        </w:rPr>
        <w:t xml:space="preserve">gst_number</w:t>
      </w:r>
      <w:r>
        <w:t xml:space="preserve">, </w:t>
      </w:r>
      <w:r>
        <w:rPr>
          <w:rStyle w:val="VerbatimChar"/>
        </w:rPr>
        <w:t xml:space="preserve">appointment_number</w:t>
      </w:r>
      <w:r>
        <w:t xml:space="preserve">, </w:t>
      </w:r>
      <w:r>
        <w:rPr>
          <w:rStyle w:val="VerbatimChar"/>
        </w:rPr>
        <w:t xml:space="preserve">appointment_date</w:t>
      </w:r>
      <w:r>
        <w:t xml:space="preserve">, </w:t>
      </w:r>
      <w:r>
        <w:rPr>
          <w:rStyle w:val="VerbatimChar"/>
        </w:rPr>
        <w:t xml:space="preserve">company_carrier_id</w:t>
      </w:r>
      <w:r>
        <w:t xml:space="preserve">, </w:t>
      </w:r>
      <w:r>
        <w:rPr>
          <w:rStyle w:val="VerbatimChar"/>
        </w:rPr>
        <w:t xml:space="preserve">is_pricing_master</w:t>
      </w:r>
      <w:r>
        <w:t xml:space="preserve">, </w:t>
      </w:r>
      <w:r>
        <w:rPr>
          <w:rStyle w:val="VerbatimChar"/>
        </w:rPr>
        <w:t xml:space="preserve">orderAssignmentProperty</w:t>
      </w:r>
      <w:r>
        <w:t xml:space="preserve">, </w:t>
      </w:r>
      <w:r>
        <w:rPr>
          <w:rStyle w:val="VerbatimChar"/>
        </w:rPr>
        <w:t xml:space="preserve">productName</w:t>
      </w:r>
      <w:r>
        <w:t xml:space="preserve">.</w:t>
      </w:r>
    </w:p>
    <w:p>
      <w:pPr>
        <w:pStyle w:val="BodyText"/>
      </w:pPr>
      <w:r>
        <w:rPr>
          <w:b w:val="true"/>
          <w:bCs w:val="true"/>
        </w:rPr>
        <w:t xml:space="preserve">Customer name shape (2026-06-01 grounding finding):</w:t>
      </w:r>
      <w:r>
        <w:t xml:space="preserve"> all three </w:t>
      </w:r>
      <w:r>
        <w:rPr>
          <w:rStyle w:val="VerbatimChar"/>
        </w:rPr>
        <w:t xml:space="preserve">name</w:t>
      </w:r>
      <w:r>
        <w:t xml:space="preserve"> fields (top-level, billing.name, shipping.name) must be the </w:t>
      </w:r>
      <w:r>
        <w:rPr>
          <w:b w:val="true"/>
          <w:bCs w:val="true"/>
        </w:rPr>
        <w:t xml:space="preserve">paren-stripped EE location_name</w:t>
      </w:r>
      <w:r>
        <w:t xml:space="preserve"> (e.g. </w:t>
      </w:r>
      <w:r>
        <w:rPr>
          <w:rStyle w:val="VerbatimChar"/>
        </w:rPr>
        <w:t xml:space="preserve">"B2C WH - Delhi"</w:t>
      </w:r>
      <w:r>
        <w:t xml:space="preserve"> extracted from </w:t>
      </w:r>
      <w:r>
        <w:rPr>
          <w:rStyle w:val="VerbatimChar"/>
        </w:rPr>
        <w:t xml:space="preserve">"Harmony Consumer Co. (B2C WH - Delhi)"</w:t>
      </w:r>
      <w:r>
        <w:t xml:space="preserve">). EE matches its internal location registry on this string; sending the Frappe Warehouse.warehouse_name or the full parenthesised location_name was rejected.</w:t>
      </w:r>
    </w:p>
    <w:p>
      <w:pPr>
        <w:pStyle w:val="BodyText"/>
      </w:pPr>
      <w:r>
        <w:rPr>
          <w:b w:val="true"/>
          <w:bCs w:val="true"/>
        </w:rPr>
        <w:t xml:space="preserve">`customerId` semantic (2026-06-01 correction):</w:t>
      </w:r>
      <w:r>
        <w:t xml:space="preserve"> for STN, </w:t>
      </w:r>
      <w:r>
        <w:rPr>
          <w:rStyle w:val="VerbatimChar"/>
        </w:rPr>
        <w:t xml:space="preserve">customerId</w:t>
      </w:r>
      <w:r>
        <w:t xml:space="preserve"> is the target warehouse’s EE company_id (from </w:t>
      </w:r>
      <w:r>
        <w:rPr>
          <w:rStyle w:val="VerbatimChar"/>
        </w:rPr>
        <w:t xml:space="preserve">/getAllLocation</w:t>
      </w:r>
      <w:r>
        <w:t xml:space="preserve">) — EE treats it as a destination-location resolution, NOT a wholesale-customer record. The earlier reading that it referenced an Internal Customer pushed via </w:t>
      </w:r>
      <w:r>
        <w:rPr>
          <w:rStyle w:val="VerbatimChar"/>
        </w:rPr>
        <w:t xml:space="preserve">/Wholesale/CreateCustomer</w:t>
      </w:r>
      <w:r>
        <w:t xml:space="preserve"> was wrong; 8 consecutive STN pushes with the wholesale customerId returned </w:t>
      </w:r>
      <w:r>
        <w:rPr>
          <w:rStyle w:val="VerbatimChar"/>
        </w:rPr>
        <w:t xml:space="preserve">{"code":400,"message":"Location does not exist"}</w:t>
      </w:r>
      <w:r>
        <w:t xml:space="preserve">. The Internal Customer in ERPNext remains a routing anchor (its </w:t>
      </w:r>
      <w:r>
        <w:rPr>
          <w:rStyle w:val="VerbatimChar"/>
        </w:rPr>
        <w:t xml:space="preserve">is_internal_customer=1</w:t>
      </w:r>
      <w:r>
        <w:t xml:space="preserve">, </w:t>
      </w:r>
      <w:r>
        <w:rPr>
          <w:rStyle w:val="VerbatimChar"/>
        </w:rPr>
        <w:t xml:space="preserve">represents_company</w:t>
      </w:r>
      <w:r>
        <w:t xml:space="preserve">, </w:t>
      </w:r>
      <w:r>
        <w:rPr>
          <w:rStyle w:val="VerbatimChar"/>
        </w:rPr>
        <w:t xml:space="preserve">companies[]</w:t>
      </w:r>
      <w:r>
        <w:t xml:space="preserve"> enable ERPNext’s internal-transfer DN mechanics), but no EE-side wholesale customer is provisioned for STN onboarding.</w:t>
      </w:r>
    </w:p>
    <w:p>
      <w:pPr>
        <w:pStyle w:val="BodyText"/>
      </w:pPr>
      <w:r>
        <w:rPr>
          <w:b w:val="true"/>
          <w:bCs w:val="true"/>
        </w:rPr>
        <w:t xml:space="preserve">`orderDate` timezone (2026-06-01 finding):</w:t>
      </w:r>
      <w:r>
        <w:t xml:space="preserve"> </w:t>
      </w:r>
      <w:r>
        <w:rPr>
          <w:rStyle w:val="VerbatimChar"/>
        </w:rPr>
        <w:t xml:space="preserve">orderDate</w:t>
      </w:r>
      <w:r>
        <w:t xml:space="preserve"> must be converted from site_tz to UTC explicitly. Concatenating Frappe’s naive IST timestamp into the field caused EE to re-interpret as UTC and display the order at +5:30 ahead of the actual DN submit time. The </w:t>
      </w:r>
      <w:r>
        <w:rPr>
          <w:rStyle w:val="VerbatimChar"/>
        </w:rPr>
        <w:t xml:space="preserve">_fmt_utc</w:t>
      </w:r>
      <w:r>
        <w:t xml:space="preserve"> helper does this conversion.</w:t>
      </w:r>
    </w:p>
    <w:p>
      <w:pPr>
        <w:pStyle w:val="BodyText"/>
      </w:pPr>
      <w:r>
        <w:rPr>
          <w:b w:val="true"/>
          <w:bCs w:val="true"/>
        </w:rPr>
        <w:t xml:space="preserve">Response:</w:t>
      </w:r>
    </w:p>
    <w:p>
      <w:pPr>
        <w:pStyle w:val="SourceCode"/>
      </w:pPr>
      <w:r>
        <w:t xml:space="preserve">{ "code": 200, "data": {</w:t>
      </w:r>
    </w:p>
    <w:p>
      <w:pPr>
        <w:pStyle w:val="SourceCode"/>
      </w:pPr>
      <w:r>
        <w:t xml:space="preserve">    "OrderID": "&lt;int_as_string&gt;",</w:t>
      </w:r>
    </w:p>
    <w:p>
      <w:pPr>
        <w:pStyle w:val="SourceCode"/>
      </w:pPr>
      <w:r>
        <w:t xml:space="preserve">    "SuborderID": "&lt;int_as_string&gt;",</w:t>
      </w:r>
    </w:p>
    <w:p>
      <w:pPr>
        <w:pStyle w:val="SourceCode"/>
      </w:pPr>
      <w:r>
        <w:t xml:space="preserve">    "InvoiceID": "&lt;int_as_string&gt;"</w:t>
      </w:r>
    </w:p>
    <w:p>
      <w:pPr>
        <w:pStyle w:val="SourceCode"/>
      </w:pPr>
      <w:r>
        <w:t xml:space="preserve">}}</w:t>
      </w:r>
    </w:p>
    <w:p>
      <w:pPr>
        <w:pStyle w:val="BodyText"/>
      </w:pPr>
      <w:r>
        <w:t xml:space="preserve">All three IDs stored as Data (strings) on Transfer Map. </w:t>
      </w:r>
      <w:r>
        <w:rPr>
          <w:rStyle w:val="VerbatimChar"/>
        </w:rPr>
        <w:t xml:space="preserve">OrderID</w:t>
      </w:r>
      <w:r>
        <w:t xml:space="preserve"> is the primary status-channel key.</w:t>
      </w:r>
    </w:p>
    <w:p>
      <w:pPr>
        <w:pStyle w:val="Heading2"/>
      </w:pPr>
      <w:r>
        <w:t xml:space="preserve">10.6 B2B branch — payload contract (grounded against live Harmony 2026-06-01)</w:t>
      </w:r>
    </w:p>
    <w:p>
      <w:pPr>
        <w:pStyle w:val="FirstParagraph"/>
      </w:pPr>
      <w:r>
        <w:t xml:space="preserve">Same endpoint as STN (</w:t>
      </w:r>
      <w:r>
        <w:rPr>
          <w:rStyle w:val="VerbatimChar"/>
        </w:rPr>
        <w:t xml:space="preserve">CREATE_ORDER</w:t>
      </w:r>
      <w:r>
        <w:t xml:space="preserve">). Same overall payload shape with one critical difference and one alternate field source:</w:t>
      </w:r>
    </w:p>
    <w:p>
      <w:pPr>
        <w:pStyle w:val="Compact"/>
        <w:ind w:left="360" w:hanging="360"/>
      </w:pPr>
      <w:r>
        <w:t xml:space="preserve">• </w:t>
      </w:r>
      <w:r>
        <w:rPr>
          <w:rStyle w:val="VerbatimChar"/>
        </w:rPr>
        <w:t xml:space="preserve">orderType: "businessorder"</w:t>
      </w:r>
      <w:r>
        <w:t xml:space="preserve"> — exact string. </w:t>
      </w:r>
      <w:r>
        <w:rPr>
          <w:b w:val="true"/>
          <w:bCs w:val="true"/>
        </w:rPr>
        <w:t xml:space="preserve">All other plausible values rejected</w:t>
      </w:r>
      <w:r>
        <w:t xml:space="preserve"> by EE during discovery: </w:t>
      </w:r>
      <w:r>
        <w:rPr>
          <w:rStyle w:val="VerbatimChar"/>
        </w:rPr>
        <w:t xml:space="preserve">b2border</w:t>
      </w:r>
      <w:r>
        <w:t xml:space="preserve">, </w:t>
      </w:r>
      <w:r>
        <w:rPr>
          <w:rStyle w:val="VerbatimChar"/>
        </w:rPr>
        <w:t xml:space="preserve">wholesaleorder</w:t>
      </w:r>
      <w:r>
        <w:t xml:space="preserve">, </w:t>
      </w:r>
      <w:r>
        <w:rPr>
          <w:rStyle w:val="VerbatimChar"/>
        </w:rPr>
        <w:t xml:space="preserve">B2B</w:t>
      </w:r>
      <w:r>
        <w:t xml:space="preserve">, </w:t>
      </w:r>
      <w:r>
        <w:rPr>
          <w:rStyle w:val="VerbatimChar"/>
        </w:rPr>
        <w:t xml:space="preserve">B2BOrder</w:t>
      </w:r>
      <w:r>
        <w:t xml:space="preserve">, </w:t>
      </w:r>
      <w:r>
        <w:rPr>
          <w:rStyle w:val="VerbatimChar"/>
        </w:rPr>
        <w:t xml:space="preserve">B2C</w:t>
      </w:r>
      <w:r>
        <w:t xml:space="preserve"> all returned </w:t>
      </w:r>
      <w:r>
        <w:rPr>
          <w:rStyle w:val="VerbatimChar"/>
        </w:rPr>
        <w:t xml:space="preserve">"Order type is not valid"</w:t>
      </w:r>
      <w:r>
        <w:t xml:space="preserve"> against a fresh orderNumber.</w:t>
      </w:r>
    </w:p>
    <w:p>
      <w:pPr>
        <w:pStyle w:val="Compact"/>
        <w:ind w:left="360" w:hanging="360"/>
      </w:pPr>
      <w:r>
        <w:t xml:space="preserve">• </w:t>
      </w:r>
      <w:r>
        <w:rPr>
          <w:rStyle w:val="VerbatimChar"/>
        </w:rPr>
        <w:t xml:space="preserve">customer[].customerId</w:t>
      </w:r>
      <w:r>
        <w:t xml:space="preserve">: the Internal Customer’s </w:t>
      </w:r>
      <w:r>
        <w:rPr>
          <w:b w:val="true"/>
          <w:bCs w:val="true"/>
        </w:rPr>
        <w:t xml:space="preserve">wholesale c_id from `/Wholesale/CreateCustomer`</w:t>
      </w:r>
      <w:r>
        <w:t xml:space="preserve"> (NOT the location-derived customerId used in STN). Verified </w:t>
      </w:r>
      <w:r>
        <w:rPr>
          <w:rStyle w:val="VerbatimChar"/>
        </w:rPr>
        <w:t xml:space="preserve">c_id=283481</w:t>
      </w:r>
      <w:r>
        <w:t xml:space="preserve"> on live Harmony, DN-26-00040.</w:t>
      </w:r>
    </w:p>
    <w:p>
      <w:pPr>
        <w:pStyle w:val="Compact"/>
        <w:ind w:left="360" w:hanging="360"/>
      </w:pPr>
      <w:r>
        <w:t xml:space="preserve">• </w:t>
      </w:r>
      <w:r>
        <w:t xml:space="preserve">Customer name fields and addresses follow the same paren-stripped destination-warehouse pattern as STN.</w:t>
      </w:r>
    </w:p>
    <w:p>
      <w:pPr>
        <w:pStyle w:val="BodyText"/>
      </w:pPr>
      <w:r>
        <w:rPr>
          <w:b w:val="true"/>
          <w:bCs w:val="true"/>
        </w:rPr>
        <w:t xml:space="preserve">EE validation order surprise (2026-06-01 finding):</w:t>
      </w:r>
      <w:r>
        <w:t xml:space="preserve"> EE validates </w:t>
      </w:r>
      <w:r>
        <w:rPr>
          <w:rStyle w:val="VerbatimChar"/>
        </w:rPr>
        <w:t xml:space="preserve">orderNumber</w:t>
      </w:r>
      <w:r>
        <w:t xml:space="preserve"> uniqueness BEFORE </w:t>
      </w:r>
      <w:r>
        <w:rPr>
          <w:rStyle w:val="VerbatimChar"/>
        </w:rPr>
        <w:t xml:space="preserve">orderType</w:t>
      </w:r>
      <w:r>
        <w:t xml:space="preserve"> validity on </w:t>
      </w:r>
      <w:r>
        <w:rPr>
          <w:rStyle w:val="VerbatimChar"/>
        </w:rPr>
        <w:t xml:space="preserve">/webhook/v2/createOrder</w:t>
      </w:r>
      <w:r>
        <w:t xml:space="preserve">. A response of </w:t>
      </w:r>
      <w:r>
        <w:rPr>
          <w:rStyle w:val="VerbatimChar"/>
        </w:rPr>
        <w:t xml:space="preserve">"Order Number already exists"</w:t>
      </w:r>
      <w:r>
        <w:t xml:space="preserve"> for an invalid </w:t>
      </w:r>
      <w:r>
        <w:rPr>
          <w:rStyle w:val="VerbatimChar"/>
        </w:rPr>
        <w:t xml:space="preserve">orderType</w:t>
      </w:r>
      <w:r>
        <w:t xml:space="preserve"> does NOT validate the type. Discovery probes must use a fresh, never-before-used </w:t>
      </w:r>
      <w:r>
        <w:rPr>
          <w:rStyle w:val="VerbatimChar"/>
        </w:rPr>
        <w:t xml:space="preserve">orderNumber</w:t>
      </w:r>
      <w:r>
        <w:t xml:space="preserve"> (recommended: </w:t>
      </w:r>
      <w:r>
        <w:rPr>
          <w:rStyle w:val="VerbatimChar"/>
        </w:rPr>
        <w:t xml:space="preserve">PROBE-{timestamp_to_microsecond}</w:t>
      </w:r>
      <w:r>
        <w:t xml:space="preserve">) to validate orderType strings.</w:t>
      </w:r>
    </w:p>
    <w:p>
      <w:pPr>
        <w:pStyle w:val="BodyText"/>
      </w:pPr>
      <w:r>
        <w:rPr>
          <w:b w:val="true"/>
          <w:bCs w:val="true"/>
        </w:rPr>
        <w:t xml:space="preserve">Destination GRN flow on B2B branch is purely ERPNext-native by design.</w:t>
      </w:r>
      <w:r>
        <w:t xml:space="preserve"> Stock has left EE’s universe by going to a non-EE target warehouse. No EE inbound primitive fires; no §10 inbound machinery runs for B2B Transfer Maps. ERP user creates a regular Purchase Receipt or Stock Entry on the destination side via standard ERPNext UX.</w:t>
      </w:r>
    </w:p>
    <w:p>
      <w:pPr>
        <w:pStyle w:val="Heading2"/>
      </w:pPr>
      <w:r>
        <w:t xml:space="preserve">10.7 PO branch — source NOT EE-mapped, target EE-mapped</w:t>
      </w:r>
    </w:p>
    <w:p>
      <w:pPr>
        <w:pStyle w:val="FirstParagraph"/>
      </w:pPr>
      <w:r>
        <w:t xml:space="preserve">Source-Company vendor resolution chain:</w:t>
      </w:r>
    </w:p>
    <w:p>
      <w:pPr>
        <w:pStyle w:val="Compact"/>
        <w:ind w:left="360" w:hanging="360"/>
      </w:pPr>
      <w:r>
        <w:t xml:space="preserve">• </w:t>
      </w:r>
      <w:r>
        <w:t xml:space="preserve">Source Company → look up Internal Supplier where </w:t>
      </w:r>
      <w:r>
        <w:rPr>
          <w:rStyle w:val="VerbatimChar"/>
        </w:rPr>
        <w:t xml:space="preserve">is_internal_supplier=1 AND represents_company=&lt;source&gt;</w:t>
      </w:r>
      <w:r>
        <w:t xml:space="preserve">.</w:t>
      </w:r>
    </w:p>
    <w:p>
      <w:pPr>
        <w:pStyle w:val="Compact"/>
        <w:ind w:left="360" w:hanging="360"/>
      </w:pPr>
      <w:r>
        <w:t xml:space="preserve">• </w:t>
      </w:r>
      <w:r>
        <w:t xml:space="preserve">Internal Supplier → look up Supplier Map row with that Supplier.</w:t>
      </w:r>
    </w:p>
    <w:p>
      <w:pPr>
        <w:pStyle w:val="Compact"/>
        <w:ind w:left="360" w:hanging="360"/>
      </w:pPr>
      <w:r>
        <w:t xml:space="preserve">• </w:t>
      </w:r>
      <w:r>
        <w:t xml:space="preserve">Supplier Map → </w:t>
      </w:r>
      <w:r>
        <w:rPr>
          <w:rStyle w:val="VerbatimChar"/>
        </w:rPr>
        <w:t xml:space="preserve">ee_vendor_id</w:t>
      </w:r>
      <w:r>
        <w:t xml:space="preserve">.</w:t>
      </w:r>
    </w:p>
    <w:p>
      <w:pPr>
        <w:pStyle w:val="BodyText"/>
      </w:pPr>
      <w:r>
        <w:t xml:space="preserve">If unresolvable → Transfer Map status </w:t>
      </w:r>
      <w:r>
        <w:rPr>
          <w:rStyle w:val="VerbatimChar"/>
        </w:rPr>
        <w:t xml:space="preserve">Drift</w:t>
      </w:r>
      <w:r>
        <w:t xml:space="preserve"> with </w:t>
      </w:r>
      <w:r>
        <w:rPr>
          <w:rStyle w:val="VerbatimChar"/>
        </w:rPr>
        <w:t xml:space="preserve">flag_reason</w:t>
      </w:r>
      <w:r>
        <w:t xml:space="preserve"> naming the missing vendor. </w:t>
      </w:r>
      <w:r>
        <w:rPr>
          <w:b w:val="true"/>
          <w:bCs w:val="true"/>
        </w:rPr>
        <w:t xml:space="preserve">NO auto-creation of EE Vendors</w:t>
      </w:r>
      <w:r>
        <w:t xml:space="preserve"> — that crosses §8f scope.</w:t>
      </w:r>
    </w:p>
    <w:p>
      <w:pPr>
        <w:pStyle w:val="BodyText"/>
      </w:pPr>
      <w:r>
        <w:t xml:space="preserve">If resolvable → reuse §9’s </w:t>
      </w:r>
      <w:r>
        <w:rPr>
          <w:rStyle w:val="VerbatimChar"/>
        </w:rPr>
        <w:t xml:space="preserve">CreatePurchaseOrder</w:t>
      </w:r>
      <w:r>
        <w:t xml:space="preserve"> wire (</w:t>
      </w:r>
      <w:r>
        <w:rPr>
          <w:rStyle w:val="VerbatimChar"/>
        </w:rPr>
        <w:t xml:space="preserve">po_push.py</w:t>
      </w:r>
      <w:r>
        <w:t xml:space="preserve">). The PO is created on EE-side at the target warehouse, against the source-Company vendor representation.</w:t>
      </w:r>
    </w:p>
    <w:p>
      <w:pPr>
        <w:pStyle w:val="Compact"/>
        <w:ind w:left="360" w:hanging="360"/>
      </w:pPr>
      <w:r>
        <w:t xml:space="preserve">• </w:t>
      </w:r>
      <w:r>
        <w:rPr>
          <w:rStyle w:val="VerbatimChar"/>
        </w:rPr>
        <w:t xml:space="preserve">referenceCode = &lt;dn_name&gt;</w:t>
      </w:r>
      <w:r>
        <w:t xml:space="preserve"> (parity with STN’s </w:t>
      </w:r>
      <w:r>
        <w:rPr>
          <w:rStyle w:val="VerbatimChar"/>
        </w:rPr>
        <w:t xml:space="preserve">orderNumber</w:t>
      </w:r>
      <w:r>
        <w:t xml:space="preserve"> key strategy).</w:t>
      </w:r>
    </w:p>
    <w:p>
      <w:pPr>
        <w:pStyle w:val="Compact"/>
        <w:ind w:left="360" w:hanging="360"/>
      </w:pPr>
      <w:r>
        <w:t xml:space="preserve">• </w:t>
      </w:r>
      <w:r>
        <w:rPr>
          <w:rStyle w:val="VerbatimChar"/>
        </w:rPr>
        <w:t xml:space="preserve">vendorId = &lt;resolved_ee_vendor_id&gt;</w:t>
      </w:r>
      <w:r>
        <w:t xml:space="preserve">.</w:t>
      </w:r>
    </w:p>
    <w:p>
      <w:pPr>
        <w:pStyle w:val="Compact"/>
        <w:ind w:left="360" w:hanging="360"/>
      </w:pPr>
      <w:r>
        <w:t xml:space="preserve">• </w:t>
      </w:r>
      <w:r>
        <w:t xml:space="preserve">Other fields per §9’s CreatePurchaseOrder contract.</w:t>
      </w:r>
    </w:p>
    <w:p>
      <w:pPr>
        <w:pStyle w:val="Compact"/>
        <w:ind w:left="360" w:hanging="360"/>
      </w:pPr>
      <w:r>
        <w:t xml:space="preserve">• </w:t>
      </w:r>
      <w:r>
        <w:t xml:space="preserve">Response: </w:t>
      </w:r>
      <w:r>
        <w:rPr>
          <w:rStyle w:val="VerbatimChar"/>
        </w:rPr>
        <w:t xml:space="preserve">data.poId</w:t>
      </w:r>
      <w:r>
        <w:t xml:space="preserve"> → </w:t>
      </w:r>
      <w:r>
        <w:rPr>
          <w:rStyle w:val="VerbatimChar"/>
        </w:rPr>
        <w:t xml:space="preserve">Transfer Map.ee_po_id</w:t>
      </w:r>
      <w:r>
        <w:t xml:space="preserve"> (Int).</w:t>
      </w:r>
    </w:p>
    <w:p>
      <w:pPr>
        <w:pStyle w:val="Compact"/>
        <w:ind w:left="360" w:hanging="360"/>
      </w:pPr>
      <w:r>
        <w:t xml:space="preserve">• </w:t>
      </w:r>
      <w:r>
        <w:rPr>
          <w:rStyle w:val="VerbatimChar"/>
        </w:rPr>
        <w:t xml:space="preserve">Transfer Map.ee_doctype = "PO"</w:t>
      </w:r>
      <w:r>
        <w:t xml:space="preserve">.</w:t>
      </w:r>
    </w:p>
    <w:p>
      <w:pPr>
        <w:pStyle w:val="BodyText"/>
      </w:pPr>
      <w:r>
        <w:t xml:space="preserve">Destination receipt: EE-side GRN-Complete is detected by §9’s GRN pull, routed to §10 inbound (§10.8) via the </w:t>
      </w:r>
      <w:r>
        <w:rPr>
          <w:rStyle w:val="VerbatimChar"/>
        </w:rPr>
        <w:t xml:space="preserve">Transfer Map.delivery_note</w:t>
      </w:r>
      <w:r>
        <w:t xml:space="preserve"> → </w:t>
      </w:r>
      <w:r>
        <w:rPr>
          <w:rStyle w:val="VerbatimChar"/>
        </w:rPr>
        <w:t xml:space="preserve">po_ref_num</w:t>
      </w:r>
      <w:r>
        <w:t xml:space="preserve"> back-trace.</w:t>
      </w:r>
    </w:p>
    <w:p>
      <w:pPr>
        <w:pStyle w:val="Heading2"/>
      </w:pPr>
      <w:r>
        <w:t xml:space="preserve">10.8 Inbound — GRN-Complete triggers the IPR submit gate</w:t>
      </w:r>
    </w:p>
    <w:p>
      <w:pPr>
        <w:pStyle w:val="FirstParagraph"/>
      </w:pPr>
      <w:r>
        <w:t xml:space="preserve">§9’s GRN pull recognises §10 transfers via two paths:</w:t>
      </w:r>
    </w:p>
    <w:p>
      <w:pPr>
        <w:pStyle w:val="Compact"/>
        <w:ind w:left="360" w:hanging="360"/>
      </w:pPr>
      <w:r>
        <w:t xml:space="preserve">• </w:t>
      </w:r>
      <w:r>
        <w:rPr>
          <w:b w:val="true"/>
          <w:bCs w:val="true"/>
        </w:rPr>
        <w:t xml:space="preserve">Back-trace match:</w:t>
      </w:r>
      <w:r>
        <w:t xml:space="preserve"> </w:t>
      </w:r>
      <w:r>
        <w:rPr>
          <w:rStyle w:val="VerbatimChar"/>
        </w:rPr>
        <w:t xml:space="preserve">po_ref_num</w:t>
      </w:r>
      <w:r>
        <w:t xml:space="preserve"> matches an EasyEcom Transfer Map’s </w:t>
      </w:r>
      <w:r>
        <w:rPr>
          <w:rStyle w:val="VerbatimChar"/>
        </w:rPr>
        <w:t xml:space="preserve">delivery_note</w:t>
      </w:r>
      <w:r>
        <w:t xml:space="preserve"> (or </w:t>
      </w:r>
      <w:r>
        <w:rPr>
          <w:rStyle w:val="VerbatimChar"/>
        </w:rPr>
        <w:t xml:space="preserve">Auto PO &lt;dn_name&gt;(_OR&lt;n&gt;)?</w:t>
      </w:r>
      <w:r>
        <w:t xml:space="preserve"> wrapping — EE’s behaviour is inconsistent on the suffix). §9 skips its normal/drift logic; §10 inbound takes over.</w:t>
      </w:r>
    </w:p>
    <w:p>
      <w:pPr>
        <w:pStyle w:val="Compact"/>
        <w:ind w:left="360" w:hanging="360"/>
      </w:pPr>
      <w:r>
        <w:t xml:space="preserve">• </w:t>
      </w:r>
      <w:r>
        <w:rPr>
          <w:b w:val="true"/>
          <w:bCs w:val="true"/>
        </w:rPr>
        <w:t xml:space="preserve">Self-GRN routing:</w:t>
      </w:r>
      <w:r>
        <w:t xml:space="preserve"> </w:t>
      </w:r>
      <w:r>
        <w:rPr>
          <w:rStyle w:val="VerbatimChar"/>
        </w:rPr>
        <w:t xml:space="preserve">vendor_c_id == inwarded_warehouse_c_id</w:t>
      </w:r>
      <w:r>
        <w:t xml:space="preserve"> → EE-internal inward, no ERPNext-side originating DN → §10’s </w:t>
      </w:r>
      <w:r>
        <w:rPr>
          <w:rStyle w:val="VerbatimChar"/>
        </w:rPr>
        <w:t xml:space="preserve">handle_ee_originated_grn</w:t>
      </w:r>
      <w:r>
        <w:t xml:space="preserve"> standalone path (see §10.10).</w:t>
      </w:r>
    </w:p>
    <w:p>
      <w:pPr>
        <w:pStyle w:val="BodyText"/>
      </w:pPr>
      <w:r>
        <w:rPr>
          <w:b w:val="true"/>
          <w:bCs w:val="true"/>
        </w:rPr>
        <w:t xml:space="preserve">IPR creation</w:t>
      </w:r>
      <w:r>
        <w:t xml:space="preserve"> (always — every routed GRN produces an IPR):</w:t>
      </w:r>
    </w:p>
    <w:p>
      <w:pPr>
        <w:pStyle w:val="Compact"/>
        <w:ind w:left="360" w:hanging="360"/>
      </w:pPr>
      <w:r>
        <w:t xml:space="preserve">• </w:t>
      </w:r>
      <w:r>
        <w:t xml:space="preserve">Internal-Supplier-backed Purchase Receipt (</w:t>
      </w:r>
      <w:r>
        <w:rPr>
          <w:rStyle w:val="VerbatimChar"/>
        </w:rPr>
        <w:t xml:space="preserve">is_internal_supplier=1</w:t>
      </w:r>
      <w:r>
        <w:t xml:space="preserve">).</w:t>
      </w:r>
    </w:p>
    <w:p>
      <w:pPr>
        <w:pStyle w:val="Compact"/>
        <w:ind w:left="360" w:hanging="360"/>
      </w:pPr>
      <w:r>
        <w:t xml:space="preserve">• </w:t>
      </w:r>
      <w:r>
        <w:t xml:space="preserve">Supplier = resolved Internal Supplier from §10.2 runtime lookup.</w:t>
      </w:r>
    </w:p>
    <w:p>
      <w:pPr>
        <w:pStyle w:val="Compact"/>
        <w:ind w:left="360" w:hanging="360"/>
      </w:pPr>
      <w:r>
        <w:t xml:space="preserve">• </w:t>
      </w:r>
      <w:r>
        <w:t xml:space="preserve">Company = target Company. </w:t>
      </w:r>
      <w:r>
        <w:rPr>
          <w:rStyle w:val="VerbatimChar"/>
        </w:rPr>
        <w:t xml:space="preserve">set_warehouse</w:t>
      </w:r>
      <w:r>
        <w:t xml:space="preserve"> (PR’s source for the stock movement) = target Company’s </w:t>
      </w:r>
      <w:r>
        <w:rPr>
          <w:rStyle w:val="VerbatimChar"/>
        </w:rPr>
        <w:t xml:space="preserve">default_in_transit_warehouse</w:t>
      </w:r>
      <w:r>
        <w:t xml:space="preserve"> (GIT).</w:t>
      </w:r>
    </w:p>
    <w:p>
      <w:pPr>
        <w:pStyle w:val="Compact"/>
        <w:ind w:left="360" w:hanging="360"/>
      </w:pPr>
      <w:r>
        <w:t xml:space="preserve">• </w:t>
      </w:r>
      <w:r>
        <w:t xml:space="preserve">Per-line </w:t>
      </w:r>
      <w:r>
        <w:rPr>
          <w:rStyle w:val="VerbatimChar"/>
        </w:rPr>
        <w:t xml:space="preserve">from_warehouse = GIT</w:t>
      </w:r>
      <w:r>
        <w:t xml:space="preserve">, </w:t>
      </w:r>
      <w:r>
        <w:rPr>
          <w:rStyle w:val="VerbatimChar"/>
        </w:rPr>
        <w:t xml:space="preserve">warehouse = target_wh</w:t>
      </w:r>
      <w:r>
        <w:t xml:space="preserve"> (mapped via §8a </w:t>
      </w:r>
      <w:r>
        <w:rPr>
          <w:rStyle w:val="VerbatimChar"/>
        </w:rPr>
        <w:t xml:space="preserve">location_key</w:t>
      </w:r>
      <w:r>
        <w:t xml:space="preserve">), </w:t>
      </w:r>
      <w:r>
        <w:rPr>
          <w:rStyle w:val="VerbatimChar"/>
        </w:rPr>
        <w:t xml:space="preserve">allow_zero_valuation_rate=1</w:t>
      </w:r>
      <w:r>
        <w:t xml:space="preserve"> (transfer-not-purchase).</w:t>
      </w:r>
    </w:p>
    <w:p>
      <w:pPr>
        <w:pStyle w:val="Compact"/>
        <w:ind w:left="360" w:hanging="360"/>
      </w:pPr>
      <w:r>
        <w:t xml:space="preserve">• </w:t>
      </w:r>
      <w:r>
        <w:t xml:space="preserve">Qty model reuses §9’s: </w:t>
      </w:r>
      <w:r>
        <w:rPr>
          <w:rStyle w:val="VerbatimChar"/>
        </w:rPr>
        <w:t xml:space="preserve">received_qty = received_quantity</w:t>
      </w:r>
      <w:r>
        <w:t xml:space="preserve">, </w:t>
      </w:r>
      <w:r>
        <w:rPr>
          <w:rStyle w:val="VerbatimChar"/>
        </w:rPr>
        <w:t xml:space="preserve">rejected_qty = qc_fail</w:t>
      </w:r>
      <w:r>
        <w:t xml:space="preserve">, </w:t>
      </w:r>
      <w:r>
        <w:rPr>
          <w:rStyle w:val="VerbatimChar"/>
        </w:rPr>
        <w:t xml:space="preserve">accepted_qty = received_quantity − qc_fail</w:t>
      </w:r>
      <w:r>
        <w:t xml:space="preserve"> (derived; not lifted from bucket fields).</w:t>
      </w:r>
    </w:p>
    <w:p>
      <w:pPr>
        <w:pStyle w:val="Compact"/>
        <w:ind w:left="360" w:hanging="360"/>
      </w:pPr>
      <w:r>
        <w:t xml:space="preserve">• </w:t>
      </w:r>
      <w:r>
        <w:rPr>
          <w:rStyle w:val="VerbatimChar"/>
        </w:rPr>
        <w:t xml:space="preserve">rate = grn_detail_price / received_quantity</w:t>
      </w:r>
      <w:r>
        <w:t xml:space="preserve"> (line-total rule from §9 Stage 3 corrective).</w:t>
      </w:r>
    </w:p>
    <w:p>
      <w:pPr>
        <w:pStyle w:val="Compact"/>
        <w:ind w:left="360" w:hanging="360"/>
      </w:pPr>
      <w:r>
        <w:t xml:space="preserve">• </w:t>
      </w:r>
      <w:r>
        <w:t xml:space="preserve">Back-ref: </w:t>
      </w:r>
      <w:r>
        <w:rPr>
          <w:rStyle w:val="VerbatimChar"/>
        </w:rPr>
        <w:t xml:space="preserve">ecs_section10_transfer_map = &lt;transfer_map_name&gt;</w:t>
      </w:r>
      <w:r>
        <w:t xml:space="preserve">.</w:t>
      </w:r>
    </w:p>
    <w:p>
      <w:pPr>
        <w:pStyle w:val="Compact"/>
        <w:ind w:left="360" w:hanging="360"/>
      </w:pPr>
      <w:r>
        <w:t xml:space="preserve">• </w:t>
      </w:r>
      <w:r>
        <w:t xml:space="preserve">Per-line </w:t>
      </w:r>
      <w:r>
        <w:rPr>
          <w:rStyle w:val="VerbatimChar"/>
        </w:rPr>
        <w:t xml:space="preserve">delivery_note + delivery_note_item + inter_company_reference = &lt;dn_name&gt;</w:t>
      </w:r>
      <w:r>
        <w:t xml:space="preserve"> (ERPNext’s </w:t>
      </w:r>
      <w:r>
        <w:rPr>
          <w:rStyle w:val="VerbatimChar"/>
        </w:rPr>
        <w:t xml:space="preserve">validate_inter_company_reference</w:t>
      </w:r>
      <w:r>
        <w:t xml:space="preserve"> invariant).</w:t>
      </w:r>
    </w:p>
    <w:p>
      <w:pPr>
        <w:pStyle w:val="Compact"/>
        <w:ind w:left="360" w:hanging="360"/>
      </w:pPr>
      <w:r>
        <w:t xml:space="preserve">• </w:t>
      </w:r>
      <w:r>
        <w:t xml:space="preserve">Append IPR to </w:t>
      </w:r>
      <w:r>
        <w:rPr>
          <w:rStyle w:val="VerbatimChar"/>
        </w:rPr>
        <w:t xml:space="preserve">Transfer Map.internal_purchase_receipts</w:t>
      </w:r>
      <w:r>
        <w:t xml:space="preserve"> child table.</w:t>
      </w:r>
    </w:p>
    <w:p>
      <w:pPr>
        <w:pStyle w:val="Heading2"/>
      </w:pPr>
      <w:r>
        <w:t xml:space="preserve">10.9 IPR submit gate (the §10 invariant)</w:t>
      </w:r>
    </w:p>
    <w:p>
      <w:pPr>
        <w:pStyle w:val="FirstParagraph"/>
      </w:pPr>
      <w:r>
        <w:t xml:space="preserve">IPR auto-creation is unconditional. IPR </w:t>
      </w:r>
      <w:r>
        <w:rPr>
          <w:b w:val="true"/>
          <w:bCs w:val="true"/>
        </w:rPr>
        <w:t xml:space="preserve">auto-submit</w:t>
      </w:r>
      <w:r>
        <w:t xml:space="preserve"> is conditional:</w:t>
      </w:r>
    </w:p>
    <w:p>
      <w:pPr>
        <w:pStyle w:val="Compact"/>
        <w:ind w:left="360" w:hanging="360"/>
      </w:pPr>
      <w:r>
        <w:t xml:space="preserve">• </w:t>
      </w:r>
      <w:r>
        <w:rPr>
          <w:b w:val="true"/>
          <w:bCs w:val="true"/>
        </w:rPr>
        <w:t xml:space="preserve">Same GSTIN</w:t>
      </w:r>
      <w:r>
        <w:t xml:space="preserve"> → auto-submit. Stock moves GIT → destination.</w:t>
      </w:r>
    </w:p>
    <w:p>
      <w:pPr>
        <w:pStyle w:val="Compact"/>
        <w:ind w:left="360" w:hanging="360"/>
      </w:pPr>
      <w:r>
        <w:t xml:space="preserve">• </w:t>
      </w:r>
      <w:r>
        <w:rPr>
          <w:b w:val="true"/>
          <w:bCs w:val="true"/>
        </w:rPr>
        <w:t xml:space="preserve">Different GSTIN AND source-side SI is SUBMITTED</w:t>
      </w:r>
      <w:r>
        <w:t xml:space="preserve"> → auto-submit.</w:t>
      </w:r>
    </w:p>
    <w:p>
      <w:pPr>
        <w:pStyle w:val="Compact"/>
        <w:ind w:left="360" w:hanging="360"/>
      </w:pPr>
      <w:r>
        <w:t xml:space="preserve">• </w:t>
      </w:r>
      <w:r>
        <w:rPr>
          <w:b w:val="true"/>
          <w:bCs w:val="true"/>
        </w:rPr>
        <w:t xml:space="preserve">Different GSTIN AND source-side SI is NOT submitted</w:t>
      </w:r>
      <w:r>
        <w:t xml:space="preserve"> (Draft or missing) → IPR stays Draft. ToDo + Comment on the IPR. </w:t>
      </w:r>
      <w:r>
        <w:rPr>
          <w:b w:val="true"/>
          <w:bCs w:val="true"/>
        </w:rPr>
        <w:t xml:space="preserve">NO Integration Discrepancy raised</w:t>
      </w:r>
      <w:r>
        <w:t xml:space="preserve"> — ERP-user pending, not FDE config issue. The §17 FDE Worklist does NOT pick it up.</w:t>
      </w:r>
    </w:p>
    <w:p>
      <w:pPr>
        <w:pStyle w:val="Compact"/>
        <w:ind w:left="360" w:hanging="360"/>
      </w:pPr>
      <w:r>
        <w:t xml:space="preserve">• </w:t>
      </w:r>
      <w:r>
        <w:rPr>
          <w:b w:val="true"/>
          <w:bCs w:val="true"/>
        </w:rPr>
        <w:t xml:space="preserve">Submitted Debit Note exists on Transfer Map AND new GRN arrives</w:t>
      </w:r>
      <w:r>
        <w:t xml:space="preserve"> → IPR stays Draft regardless of SI state. </w:t>
      </w:r>
      <w:r>
        <w:rPr>
          <w:b w:val="true"/>
          <w:bCs w:val="true"/>
        </w:rPr>
        <w:t xml:space="preserve">Integration Discrepancy raised</w:t>
      </w:r>
      <w:r>
        <w:t xml:space="preserve">, kind=</w:t>
      </w:r>
      <w:r>
        <w:rPr>
          <w:rStyle w:val="VerbatimChar"/>
        </w:rPr>
        <w:t xml:space="preserve">"Late GRN after submitted DN"</w:t>
      </w:r>
      <w:r>
        <w:t xml:space="preserve"> — FDE concern.</w:t>
      </w:r>
    </w:p>
    <w:p>
      <w:pPr>
        <w:pStyle w:val="BodyText"/>
      </w:pPr>
      <w:r>
        <w:rPr>
          <w:b w:val="true"/>
          <w:bCs w:val="true"/>
        </w:rPr>
        <w:t xml:space="preserve">Why the SI-submit gate exists (GSTR-2B coherence):</w:t>
      </w:r>
      <w:r>
        <w:t xml:space="preserve"> for different-GSTIN transfers, the SI must legally crystallise the source-side supply before the destination Company can receipt stock. Auto-submitting the IPR with an unsubmitted SI would create destination-side stock without source-side legal output — a tax-reporting incoherence.</w:t>
      </w:r>
    </w:p>
    <w:p>
      <w:pPr>
        <w:pStyle w:val="BodyText"/>
      </w:pPr>
      <w:r>
        <w:rPr>
          <w:b w:val="true"/>
          <w:bCs w:val="true"/>
        </w:rPr>
        <w:t xml:space="preserve">Auto-retry on SI submit:</w:t>
      </w:r>
      <w:r>
        <w:t xml:space="preserve"> </w:t>
      </w:r>
      <w:r>
        <w:rPr>
          <w:rStyle w:val="VerbatimChar"/>
        </w:rPr>
        <w:t xml:space="preserve">Sales Invoice.on_submit</w:t>
      </w:r>
      <w:r>
        <w:t xml:space="preserve"> doc_event hook auto-retries drafted IPRs on the linked Transfer Map. If the gate now clears, IPRs auto-submit and the chain continues (IPI auto-draft, DN auto-draft if gap). Hands-off cascade.</w:t>
      </w:r>
    </w:p>
    <w:p>
      <w:pPr>
        <w:pStyle w:val="BodyText"/>
      </w:pPr>
      <w:r>
        <w:rPr>
          <w:b w:val="true"/>
          <w:bCs w:val="true"/>
        </w:rPr>
        <w:t xml:space="preserve">This is the second instance of the "refuse to auto-submit when financial preconditions unmet" principle in §10.</w:t>
      </w:r>
      <w:r>
        <w:t xml:space="preserve"> The first being SI-not-submitted; the second being DN-already-submitted on late GRN. Both follow the same invariant.</w:t>
      </w:r>
    </w:p>
    <w:p>
      <w:pPr>
        <w:pStyle w:val="BodyText"/>
      </w:pPr>
      <w:r>
        <w:rPr>
          <w:b w:val="true"/>
          <w:bCs w:val="true"/>
        </w:rPr>
        <w:t xml:space="preserve">IPI auto-draft (different-GSTIN, post-IPR-submit):</w:t>
      </w:r>
    </w:p>
    <w:p>
      <w:pPr>
        <w:pStyle w:val="Compact"/>
        <w:ind w:left="360" w:hanging="360"/>
      </w:pPr>
      <w:r>
        <w:t xml:space="preserve">• </w:t>
      </w:r>
      <w:r>
        <w:t xml:space="preserve">Purchase Invoice in Draft, </w:t>
      </w:r>
      <w:r>
        <w:rPr>
          <w:rStyle w:val="VerbatimChar"/>
        </w:rPr>
        <w:t xml:space="preserve">is_internal_supplier=1</w:t>
      </w:r>
      <w:r>
        <w:t xml:space="preserve">, supplier = same Internal Supplier as IPR.</w:t>
      </w:r>
    </w:p>
    <w:p>
      <w:pPr>
        <w:pStyle w:val="Compact"/>
        <w:ind w:left="360" w:hanging="360"/>
      </w:pPr>
      <w:r>
        <w:t xml:space="preserve">• </w:t>
      </w:r>
      <w:r>
        <w:t xml:space="preserve">Company = target Company. </w:t>
      </w:r>
      <w:r>
        <w:rPr>
          <w:rStyle w:val="VerbatimChar"/>
        </w:rPr>
        <w:t xml:space="preserve">update_stock=0</w:t>
      </w:r>
      <w:r>
        <w:t xml:space="preserve">.</w:t>
      </w:r>
    </w:p>
    <w:p>
      <w:pPr>
        <w:pStyle w:val="Compact"/>
        <w:ind w:left="360" w:hanging="360"/>
      </w:pPr>
      <w:r>
        <w:t xml:space="preserve">• </w:t>
      </w:r>
      <w:r>
        <w:t xml:space="preserve">Line items mirror the source-side </w:t>
      </w:r>
      <w:r>
        <w:rPr>
          <w:b w:val="true"/>
          <w:bCs w:val="true"/>
        </w:rPr>
        <w:t xml:space="preserve">SI’s</w:t>
      </w:r>
      <w:r>
        <w:t xml:space="preserve"> dispatched qty (NOT IPR’s received qty — full ITC claim).</w:t>
      </w:r>
    </w:p>
    <w:p>
      <w:pPr>
        <w:pStyle w:val="Compact"/>
        <w:ind w:left="360" w:hanging="360"/>
      </w:pPr>
      <w:r>
        <w:t xml:space="preserve">• </w:t>
      </w:r>
      <w:r>
        <w:t xml:space="preserve">Mandatory fields (per India Compliance + ERPNext inter-Company validation, discovered during smoke):</w:t>
      </w:r>
    </w:p>
    <w:p>
      <w:pPr>
        <w:pStyle w:val="BodyText"/>
      </w:pPr>
      <w:r>
        <w:t xml:space="preserve">- </w:t>
      </w:r>
      <w:r>
        <w:rPr>
          <w:rStyle w:val="VerbatimChar"/>
        </w:rPr>
        <w:t xml:space="preserve">bill_no</w:t>
      </w:r>
      <w:r>
        <w:t xml:space="preserve"> from GRN Map’s </w:t>
      </w:r>
      <w:r>
        <w:rPr>
          <w:rStyle w:val="VerbatimChar"/>
        </w:rPr>
        <w:t xml:space="preserve">grn_invoice_number</w:t>
      </w:r>
      <w:r>
        <w:t xml:space="preserve">, </w:t>
      </w:r>
      <w:r>
        <w:rPr>
          <w:rStyle w:val="VerbatimChar"/>
        </w:rPr>
        <w:t xml:space="preserve">bill_date</w:t>
      </w:r>
      <w:r>
        <w:t xml:space="preserve"> from </w:t>
      </w:r>
      <w:r>
        <w:rPr>
          <w:rStyle w:val="VerbatimChar"/>
        </w:rPr>
        <w:t xml:space="preserve">grn_invoice_date</w:t>
      </w:r>
      <w:r>
        <w:t xml:space="preserve">.   - </w:t>
      </w:r>
      <w:r>
        <w:rPr>
          <w:rStyle w:val="VerbatimChar"/>
        </w:rPr>
        <w:t xml:space="preserve">company_address</w:t>
      </w:r>
      <w:r>
        <w:t xml:space="preserve"> = destination warehouse Address; </w:t>
      </w:r>
      <w:r>
        <w:rPr>
          <w:rStyle w:val="VerbatimChar"/>
        </w:rPr>
        <w:t xml:space="preserve">supplier_address</w:t>
      </w:r>
      <w:r>
        <w:t xml:space="preserve"> = source warehouse Address.   - </w:t>
      </w:r>
      <w:r>
        <w:rPr>
          <w:rStyle w:val="VerbatimChar"/>
        </w:rPr>
        <w:t xml:space="preserve">supplier_gstin</w:t>
      </w:r>
      <w:r>
        <w:t xml:space="preserve"> = source WH Address’s GSTIN; </w:t>
      </w:r>
      <w:r>
        <w:rPr>
          <w:rStyle w:val="VerbatimChar"/>
        </w:rPr>
        <w:t xml:space="preserve">company_gstin</w:t>
      </w:r>
      <w:r>
        <w:t xml:space="preserve"> = destination WH Address’s GSTIN.   - </w:t>
      </w:r>
      <w:r>
        <w:rPr>
          <w:rStyle w:val="VerbatimChar"/>
        </w:rPr>
        <w:t xml:space="preserve">inter_company_invoice_reference</w:t>
      </w:r>
      <w:r>
        <w:t xml:space="preserve"> = source SI name.   - </w:t>
      </w:r>
      <w:r>
        <w:rPr>
          <w:rStyle w:val="VerbatimChar"/>
        </w:rPr>
        <w:t xml:space="preserve">items[].sales_invoice_item</w:t>
      </w:r>
      <w:r>
        <w:t xml:space="preserve"> = SI line name.   - </w:t>
      </w:r>
      <w:r>
        <w:rPr>
          <w:rStyle w:val="VerbatimChar"/>
        </w:rPr>
        <w:t xml:space="preserve">items[].purchase_receipt + pr_detail</w:t>
      </w:r>
      <w:r>
        <w:t xml:space="preserve"> = IPR line.   - </w:t>
      </w:r>
      <w:r>
        <w:rPr>
          <w:rStyle w:val="VerbatimChar"/>
        </w:rPr>
        <w:t xml:space="preserve">cost_center</w:t>
      </w:r>
      <w:r>
        <w:t xml:space="preserve"> on header + lines + taxes from Company.cost_center.   - </w:t>
      </w:r>
      <w:r>
        <w:rPr>
          <w:rStyle w:val="VerbatimChar"/>
        </w:rPr>
        <w:t xml:space="preserve">taxes</w:t>
      </w:r>
      <w:r>
        <w:t xml:space="preserve"> copied from SI with mapping. </w:t>
      </w:r>
      <w:r>
        <w:rPr>
          <w:rStyle w:val="VerbatimChar"/>
        </w:rPr>
        <w:t xml:space="preserve">taxes_and_charges</w:t>
      </w:r>
      <w:r>
        <w:t xml:space="preserve"> template name remapped "Output GST → Input GST" (ERPNext refuses a Sales template on PI).</w:t>
      </w:r>
    </w:p>
    <w:p>
      <w:pPr>
        <w:pStyle w:val="Compact"/>
        <w:ind w:left="360" w:hanging="360"/>
      </w:pPr>
      <w:r>
        <w:t xml:space="preserve">• </w:t>
      </w:r>
      <w:r>
        <w:t xml:space="preserve">Cross-refs: </w:t>
      </w:r>
      <w:r>
        <w:rPr>
          <w:rStyle w:val="VerbatimChar"/>
        </w:rPr>
        <w:t xml:space="preserve">ecs_section10_transfer_map</w:t>
      </w:r>
      <w:r>
        <w:t xml:space="preserve">, </w:t>
      </w:r>
      <w:r>
        <w:rPr>
          <w:rStyle w:val="VerbatimChar"/>
        </w:rPr>
        <w:t xml:space="preserve">purchase_receipt</w:t>
      </w:r>
      <w:r>
        <w:t xml:space="preserve"> (links to IPR).</w:t>
      </w:r>
    </w:p>
    <w:p>
      <w:pPr>
        <w:pStyle w:val="Compact"/>
        <w:ind w:left="360" w:hanging="360"/>
      </w:pPr>
      <w:r>
        <w:t xml:space="preserve">• </w:t>
      </w:r>
      <w:r>
        <w:rPr>
          <w:rStyle w:val="VerbatimChar"/>
        </w:rPr>
        <w:t xml:space="preserve">Transfer Map.internal_purchase_invoice</w:t>
      </w:r>
      <w:r>
        <w:t xml:space="preserve"> set to this PI.</w:t>
      </w:r>
    </w:p>
    <w:p>
      <w:pPr>
        <w:pStyle w:val="BodyText"/>
      </w:pPr>
      <w:r>
        <w:rPr>
          <w:b w:val="true"/>
          <w:bCs w:val="true"/>
        </w:rPr>
        <w:t xml:space="preserve">Auto-Debit-Note (different-GSTIN, gap &gt; 0):</w:t>
      </w:r>
    </w:p>
    <w:p>
      <w:pPr>
        <w:pStyle w:val="Compact"/>
        <w:ind w:left="360" w:hanging="360"/>
      </w:pPr>
      <w:r>
        <w:t xml:space="preserve">• </w:t>
      </w:r>
      <w:r>
        <w:t xml:space="preserve">Purchase Invoice with </w:t>
      </w:r>
      <w:r>
        <w:rPr>
          <w:rStyle w:val="VerbatimChar"/>
        </w:rPr>
        <w:t xml:space="preserve">is_return=1</w:t>
      </w:r>
      <w:r>
        <w:t xml:space="preserve"> in Draft (ERPNext’s Debit Note pattern).</w:t>
      </w:r>
    </w:p>
    <w:p>
      <w:pPr>
        <w:pStyle w:val="Compact"/>
        <w:ind w:left="360" w:hanging="360"/>
      </w:pPr>
      <w:r>
        <w:t xml:space="preserve">• </w:t>
      </w:r>
      <w:r>
        <w:t xml:space="preserve">Supplier = Internal Supplier; Company = target; </w:t>
      </w:r>
      <w:r>
        <w:rPr>
          <w:rStyle w:val="VerbatimChar"/>
        </w:rPr>
        <w:t xml:space="preserve">return_against = &lt;IPI_name&gt;</w:t>
      </w:r>
      <w:r>
        <w:t xml:space="preserve">.</w:t>
      </w:r>
    </w:p>
    <w:p>
      <w:pPr>
        <w:pStyle w:val="Compact"/>
        <w:ind w:left="360" w:hanging="360"/>
      </w:pPr>
      <w:r>
        <w:t xml:space="preserve">• </w:t>
      </w:r>
      <w:r>
        <w:t xml:space="preserve">Line items: per-Item gap qty = (dispatched_qty − cumulative_received_qty), at IPI’s rate, with IPI’s tax breakdown. Skip lines where gap is 0.</w:t>
      </w:r>
    </w:p>
    <w:p>
      <w:pPr>
        <w:pStyle w:val="Compact"/>
        <w:ind w:left="360" w:hanging="360"/>
      </w:pPr>
      <w:r>
        <w:t xml:space="preserve">• </w:t>
      </w:r>
      <w:r>
        <w:rPr>
          <w:rStyle w:val="VerbatimChar"/>
        </w:rPr>
        <w:t xml:space="preserve">Transfer Map.draft_debit_note</w:t>
      </w:r>
      <w:r>
        <w:t xml:space="preserve"> set to this PI.</w:t>
      </w:r>
    </w:p>
    <w:p>
      <w:pPr>
        <w:pStyle w:val="Compact"/>
        <w:ind w:left="360" w:hanging="360"/>
      </w:pPr>
      <w:r>
        <w:t xml:space="preserve">• </w:t>
      </w:r>
      <w:r>
        <w:rPr>
          <w:b w:val="true"/>
          <w:bCs w:val="true"/>
        </w:rPr>
        <w:t xml:space="preserve">Genuinely novel — no §9 analogue.</w:t>
      </w:r>
      <w:r>
        <w:t xml:space="preserve"> Reverses ITC proportionally on the gap.</w:t>
      </w:r>
    </w:p>
    <w:p>
      <w:pPr>
        <w:pStyle w:val="BodyText"/>
      </w:pPr>
      <w:r>
        <w:rPr>
          <w:b w:val="true"/>
          <w:bCs w:val="true"/>
        </w:rPr>
        <w:t xml:space="preserve">Same-GSTIN flow → no IPI, no DN regardless of gap.</w:t>
      </w:r>
      <w:r>
        <w:t xml:space="preserve"> Variance shows up as GIT balance only (§10.11).</w:t>
      </w:r>
    </w:p>
    <w:p>
      <w:pPr>
        <w:pStyle w:val="BodyText"/>
      </w:pPr>
      <w:r>
        <w:rPr>
          <w:b w:val="true"/>
          <w:bCs w:val="true"/>
        </w:rPr>
        <w:t xml:space="preserve">Chain timing fixes (2026-06-01):</w:t>
      </w:r>
    </w:p>
    <w:p>
      <w:pPr>
        <w:pStyle w:val="Compact"/>
        <w:ind w:left="360" w:hanging="360"/>
      </w:pPr>
      <w:r>
        <w:t xml:space="preserve">• </w:t>
      </w:r>
      <w:r>
        <w:t xml:space="preserve">*Premature IPI:* if SI was submitted BEFORE the GRN arrived, eager IPI creation on SI submit produced an IPI with empty per-line </w:t>
      </w:r>
      <w:r>
        <w:rPr>
          <w:rStyle w:val="VerbatimChar"/>
        </w:rPr>
        <w:t xml:space="preserve">purchase_receipt</w:t>
      </w:r>
      <w:r>
        <w:t xml:space="preserve"> link → ERPNext booked to Stock Received But Not Billed (SRB-NB) instead of COGS. Fixed: </w:t>
      </w:r>
      <w:r>
        <w:rPr>
          <w:rStyle w:val="VerbatimChar"/>
        </w:rPr>
        <w:t xml:space="preserve">on_sales_invoice_submit</w:t>
      </w:r>
      <w:r>
        <w:t xml:space="preserve"> defers IPI creation when no IPR exists; IPI is created by grn_pull’s chain after the first IPR lands.</w:t>
      </w:r>
    </w:p>
    <w:p>
      <w:pPr>
        <w:pStyle w:val="Compact"/>
        <w:ind w:left="360" w:hanging="360"/>
      </w:pPr>
      <w:r>
        <w:t xml:space="preserve">• </w:t>
      </w:r>
      <w:r>
        <w:t xml:space="preserve">*Orphan IPI:* if user manually submitted the IPR while SI was draft, then later submitted SI → original hook only iterated drafted IPRs → found none → returned without chaining → IPI never created. Fixed: </w:t>
      </w:r>
      <w:r>
        <w:rPr>
          <w:rStyle w:val="VerbatimChar"/>
        </w:rPr>
        <w:t xml:space="preserve">on_sales_invoice_submit</w:t>
      </w:r>
      <w:r>
        <w:t xml:space="preserve"> also chains when only submitted IPRs exist.</w:t>
      </w:r>
    </w:p>
    <w:p>
      <w:pPr>
        <w:pStyle w:val="Heading2"/>
      </w:pPr>
      <w:r>
        <w:t xml:space="preserve">10.10 Multi-GRN cumulative arithmetic (the auto-DN revision)</w:t>
      </w:r>
    </w:p>
    <w:p>
      <w:pPr>
        <w:pStyle w:val="FirstParagraph"/>
      </w:pPr>
      <w:r>
        <w:t xml:space="preserve">Each follow-up GRN against the same Transfer Map creates a new IPR row on the Transfer Map’s </w:t>
      </w:r>
      <w:r>
        <w:rPr>
          <w:rStyle w:val="VerbatimChar"/>
        </w:rPr>
        <w:t xml:space="preserve">internal_purchase_receipts</w:t>
      </w:r>
      <w:r>
        <w:t xml:space="preserve"> child. Cumulative received per Item = Σ across all submitted IPRs.</w:t>
      </w:r>
    </w:p>
    <w:p>
      <w:pPr>
        <w:pStyle w:val="Compact"/>
        <w:ind w:left="360" w:hanging="360"/>
      </w:pPr>
      <w:r>
        <w:t xml:space="preserve">• </w:t>
      </w:r>
      <w:r>
        <w:rPr>
          <w:b w:val="true"/>
          <w:bCs w:val="true"/>
        </w:rPr>
        <w:t xml:space="preserve">Draft DN auto-revises</w:t>
      </w:r>
      <w:r>
        <w:t xml:space="preserve"> as cumulative received grows: line qtys shrink to match the new gap. Audit Comment on the </w:t>
      </w:r>
      <w:r>
        <w:rPr>
          <w:b w:val="true"/>
          <w:bCs w:val="true"/>
        </w:rPr>
        <w:t xml:space="preserve">Transfer Map</w:t>
      </w:r>
      <w:r>
        <w:t xml:space="preserve"> records the revision.</w:t>
      </w:r>
    </w:p>
    <w:p>
      <w:pPr>
        <w:pStyle w:val="Compact"/>
        <w:ind w:left="360" w:hanging="360"/>
      </w:pPr>
      <w:r>
        <w:t xml:space="preserve">• </w:t>
      </w:r>
      <w:r>
        <w:rPr>
          <w:b w:val="true"/>
          <w:bCs w:val="true"/>
        </w:rPr>
        <w:t xml:space="preserve">Draft DN auto-cancels</w:t>
      </w:r>
      <w:r>
        <w:t xml:space="preserve"> (deleted; drafts can’t be cancelled in ERPNext) if cumulative received closes the gap (received == dispatched). </w:t>
      </w:r>
      <w:r>
        <w:rPr>
          <w:b w:val="true"/>
          <w:bCs w:val="true"/>
        </w:rPr>
        <w:t xml:space="preserve">The audit Comment writes to the Transfer Map BEFORE the draft DN deletion</w:t>
      </w:r>
      <w:r>
        <w:t xml:space="preserve"> so the audit trail survives. Load-bearing for auditability.</w:t>
      </w:r>
    </w:p>
    <w:p>
      <w:pPr>
        <w:pStyle w:val="Compact"/>
        <w:ind w:left="360" w:hanging="360"/>
      </w:pPr>
      <w:r>
        <w:t xml:space="preserve">• </w:t>
      </w:r>
      <w:r>
        <w:t xml:space="preserve">IPI does NOT revise on multi-GRN — stays sized to the SI’s dispatched qty for full ITC claim. Only the DN reflects the gap.</w:t>
      </w:r>
    </w:p>
    <w:p>
      <w:pPr>
        <w:pStyle w:val="BodyText"/>
      </w:pPr>
      <w:r>
        <w:rPr>
          <w:b w:val="true"/>
          <w:bCs w:val="true"/>
        </w:rPr>
        <w:t xml:space="preserve">Status transitions on inbound:</w:t>
      </w:r>
    </w:p>
    <w:p>
      <w:pPr>
        <w:pStyle w:val="Compact"/>
        <w:ind w:left="360" w:hanging="360"/>
      </w:pPr>
      <w:r>
        <w:t xml:space="preserve">• </w:t>
      </w:r>
      <w:r>
        <w:t xml:space="preserve">After first partial IPR submit: </w:t>
      </w:r>
      <w:r>
        <w:rPr>
          <w:rStyle w:val="VerbatimChar"/>
        </w:rPr>
        <w:t xml:space="preserve">Partial-Received</w:t>
      </w:r>
      <w:r>
        <w:t xml:space="preserve">.</w:t>
      </w:r>
    </w:p>
    <w:p>
      <w:pPr>
        <w:pStyle w:val="Compact"/>
        <w:ind w:left="360" w:hanging="360"/>
      </w:pPr>
      <w:r>
        <w:t xml:space="preserve">• </w:t>
      </w:r>
      <w:r>
        <w:t xml:space="preserve">After cumulative receipt closes (cumulative == dispatched, no draft DN remaining): </w:t>
      </w:r>
      <w:r>
        <w:rPr>
          <w:rStyle w:val="VerbatimChar"/>
        </w:rPr>
        <w:t xml:space="preserve">Fully-Received</w:t>
      </w:r>
      <w:r>
        <w:t xml:space="preserve">. </w:t>
      </w:r>
      <w:r>
        <w:rPr>
          <w:b w:val="true"/>
          <w:bCs w:val="true"/>
        </w:rPr>
        <w:t xml:space="preserve">(Important correction 2026-06-01: `Fully-Received` requires cumulative == dispatched AND no draft DN. A draft-DN-present transfer with cumulative == dispatched stays `Partial-Received` because the gap is recognised but not acknowledged. The status moves to `Fully-Received` only when the draft DN is auto-cancelled by gap closure, OR moves to `DN-Submitted-Locked` when ERP user submits the DN.)</w:t>
      </w:r>
    </w:p>
    <w:p>
      <w:pPr>
        <w:pStyle w:val="Compact"/>
        <w:ind w:left="360" w:hanging="360"/>
      </w:pPr>
      <w:r>
        <w:t xml:space="preserve">• </w:t>
      </w:r>
      <w:r>
        <w:t xml:space="preserve">After ERP user submits the draft DN: </w:t>
      </w:r>
      <w:r>
        <w:rPr>
          <w:rStyle w:val="VerbatimChar"/>
        </w:rPr>
        <w:t xml:space="preserve">DN-Submitted-Locked</w:t>
      </w:r>
      <w:r>
        <w:t xml:space="preserve"> via </w:t>
      </w:r>
      <w:r>
        <w:rPr>
          <w:rStyle w:val="VerbatimChar"/>
        </w:rPr>
        <w:t xml:space="preserve">Purchase Invoice.on_submit</w:t>
      </w:r>
      <w:r>
        <w:t xml:space="preserve"> doc_event detecting </w:t>
      </w:r>
      <w:r>
        <w:rPr>
          <w:rStyle w:val="VerbatimChar"/>
        </w:rPr>
        <w:t xml:space="preserve">is_return=1</w:t>
      </w:r>
      <w:r>
        <w:t xml:space="preserve"> matching </w:t>
      </w:r>
      <w:r>
        <w:rPr>
          <w:rStyle w:val="VerbatimChar"/>
        </w:rPr>
        <w:t xml:space="preserve">Transfer Map.draft_debit_note</w:t>
      </w:r>
      <w:r>
        <w:t xml:space="preserve">.</w:t>
      </w:r>
    </w:p>
    <w:p>
      <w:pPr>
        <w:pStyle w:val="BodyText"/>
      </w:pPr>
      <w:r>
        <w:rPr>
          <w:b w:val="true"/>
          <w:bCs w:val="true"/>
        </w:rPr>
        <w:t xml:space="preserve">Submitted-DN-Late-GRN block:</w:t>
      </w:r>
      <w:r>
        <w:t xml:space="preserve"> subsequent GRNs against a </w:t>
      </w:r>
      <w:r>
        <w:rPr>
          <w:rStyle w:val="VerbatimChar"/>
        </w:rPr>
        <w:t xml:space="preserve">DN-Submitted-Locked</w:t>
      </w:r>
      <w:r>
        <w:t xml:space="preserve"> Transfer Map trigger the IPR Draft + Discrepancy path described in §10.9.</w:t>
      </w:r>
    </w:p>
    <w:p>
      <w:pPr>
        <w:pStyle w:val="Heading2"/>
      </w:pPr>
      <w:r>
        <w:t xml:space="preserve">10.11 EE-originated standalone IPR (the §9 self-GRN entry point)</w:t>
      </w:r>
    </w:p>
    <w:p>
      <w:pPr>
        <w:pStyle w:val="FirstParagraph"/>
      </w:pPr>
      <w:r>
        <w:rPr>
          <w:rStyle w:val="VerbatimChar"/>
        </w:rPr>
        <w:t xml:space="preserve">vendor_c_id == inwarded_warehouse_c_id</w:t>
      </w:r>
      <w:r>
        <w:t xml:space="preserve"> on a GRN → EE-internal inward (batch loads, opening-stock entries, EE-side transfers we didn’t originate). §9’s pull-handler routes these via </w:t>
      </w:r>
      <w:r>
        <w:rPr>
          <w:rStyle w:val="VerbatimChar"/>
        </w:rPr>
        <w:t xml:space="preserve">handle_ee_originated_grn</w:t>
      </w:r>
      <w:r>
        <w:t xml:space="preserve">.</w:t>
      </w:r>
    </w:p>
    <w:p>
      <w:pPr>
        <w:pStyle w:val="BodyText"/>
      </w:pPr>
      <w:r>
        <w:t xml:space="preserve">§10’s response: </w:t>
      </w:r>
      <w:r>
        <w:rPr>
          <w:b w:val="true"/>
          <w:bCs w:val="true"/>
        </w:rPr>
        <w:t xml:space="preserve">no auto-IPR.</w:t>
      </w:r>
      <w:r>
        <w:t xml:space="preserve"> Frappe refuses blank-supplier saves; no Transfer Map to look up an Internal Supplier from. Integration Discrepancy raised, kind=</w:t>
      </w:r>
      <w:r>
        <w:rPr>
          <w:rStyle w:val="VerbatimChar"/>
        </w:rPr>
        <w:t xml:space="preserve">"EE-originated transfer (self-GRN)"</w:t>
      </w:r>
      <w:r>
        <w:t xml:space="preserve">. FDE resolves via §9’s existing </w:t>
      </w:r>
      <w:r>
        <w:rPr>
          <w:rStyle w:val="VerbatimChar"/>
        </w:rPr>
        <w:t xml:space="preserve">Create-PR-from-GRN</w:t>
      </w:r>
      <w:r>
        <w:t xml:space="preserve"> action with a manually-picked Internal Supplier.</w:t>
      </w:r>
    </w:p>
    <w:p>
      <w:pPr>
        <w:pStyle w:val="BodyText"/>
      </w:pPr>
      <w:r>
        <w:rPr>
          <w:b w:val="true"/>
          <w:bCs w:val="true"/>
        </w:rPr>
        <w:t xml:space="preserve">Carry-forward:</w:t>
      </w:r>
      <w:r>
        <w:t xml:space="preserve"> the self-GRN routing check (</w:t>
      </w:r>
      <w:r>
        <w:rPr>
          <w:rStyle w:val="VerbatimChar"/>
        </w:rPr>
        <w:t xml:space="preserve">vendor_c_id == warehouse company_id</w:t>
      </w:r>
      <w:r>
        <w:t xml:space="preserve">) is code-correct, mock-tested, but NOT live-verified on Harmony. No real self-GRN sample has been triggered on the sandbox. Live-verification by triggering a real self-GRN is needed to confirm the assumption holds on real data.</w:t>
      </w:r>
    </w:p>
    <w:p>
      <w:pPr>
        <w:pStyle w:val="Heading2"/>
      </w:pPr>
      <w:r>
        <w:t xml:space="preserve">10.12 Variance, aged GIT, and the cancel/amend stub-blocker</w:t>
      </w:r>
    </w:p>
    <w:p>
      <w:pPr>
        <w:pStyle w:val="FirstParagraph"/>
      </w:pPr>
      <w:r>
        <w:rPr>
          <w:b w:val="true"/>
          <w:bCs w:val="true"/>
        </w:rPr>
        <w:t xml:space="preserve">GIT-always invariant:</w:t>
      </w:r>
      <w:r>
        <w:t xml:space="preserve"> every §10 transfer parks stock in the destination Company’s GIT warehouse (</w:t>
      </w:r>
      <w:r>
        <w:rPr>
          <w:rStyle w:val="VerbatimChar"/>
        </w:rPr>
        <w:t xml:space="preserve">Company.default_in_transit_warehouse</w:t>
      </w:r>
      <w:r>
        <w:t xml:space="preserve">) at DN submit. Stock moves GIT → destination only when the IPR submits, only for received qty. The balance stays in GIT and is the variance signal. The </w:t>
      </w:r>
      <w:r>
        <w:rPr>
          <w:rStyle w:val="VerbatimChar"/>
        </w:rPr>
        <w:t xml:space="preserve">Transfer Map.git_balance</w:t>
      </w:r>
      <w:r>
        <w:t xml:space="preserve"> field reports the current open GIT balance at any moment.</w:t>
      </w:r>
    </w:p>
    <w:p>
      <w:pPr>
        <w:pStyle w:val="BodyText"/>
      </w:pPr>
      <w:r>
        <w:rPr>
          <w:b w:val="true"/>
          <w:bCs w:val="true"/>
        </w:rPr>
        <w:t xml:space="preserve">Aged GIT detection:</w:t>
      </w:r>
      <w:r>
        <w:t xml:space="preserve"> GIT balance &gt; 0 after </w:t>
      </w:r>
      <w:r>
        <w:rPr>
          <w:rStyle w:val="VerbatimChar"/>
        </w:rPr>
        <w:t xml:space="preserve">lost_in_transit_threshold_days</w:t>
      </w:r>
      <w:r>
        <w:t xml:space="preserve"> (existing setting from §3.3.6, default 30) → daily cron in </w:t>
      </w:r>
      <w:r>
        <w:rPr>
          <w:rStyle w:val="VerbatimChar"/>
        </w:rPr>
        <w:t xml:space="preserve">easyecom/flows/transfer_aged_git.py</w:t>
      </w:r>
      <w:r>
        <w:t xml:space="preserve"> creates a ToDo on the originating DN’s owner + Comment on the DN. Idempotent via description-substring matching (no ToDo schema change). Pause-respects: paused accounts skip the scan.</w:t>
      </w:r>
    </w:p>
    <w:p>
      <w:pPr>
        <w:pStyle w:val="BodyText"/>
      </w:pPr>
      <w:r>
        <w:rPr>
          <w:b w:val="true"/>
          <w:bCs w:val="true"/>
        </w:rPr>
        <w:t xml:space="preserve">Cancel/amend stub-blocker:</w:t>
      </w:r>
      <w:r>
        <w:t xml:space="preserve"> DN cancel or DN amend on an EE-pushed Transfer Map is refused at the ERPNext level with a clear error directing to the integration team. The EE cancelOrder endpoint payload is not yet grounded; the stub-blocker prevents silent desyncs. DNs in pre-push states (Mapped, Drift, SI-Pending without </w:t>
      </w:r>
      <w:r>
        <w:rPr>
          <w:rStyle w:val="VerbatimChar"/>
        </w:rPr>
        <w:t xml:space="preserve">ee_order_id</w:t>
      </w:r>
      <w:r>
        <w:t xml:space="preserve">) cancel cleanly.</w:t>
      </w:r>
    </w:p>
    <w:p>
      <w:pPr>
        <w:pStyle w:val="Heading2"/>
      </w:pPr>
      <w:r>
        <w:t xml:space="preserve">10.13 Multi-state GSTIN model</w:t>
      </w:r>
    </w:p>
    <w:p>
      <w:pPr>
        <w:pStyle w:val="FirstParagraph"/>
      </w:pPr>
      <w:r>
        <w:t xml:space="preserve">India practice: one Company can register multiple GSTINs (one per state branch) tagged to specific warehouse Addresses. §10’s GSTIN resolution </w:t>
      </w:r>
      <w:r>
        <w:rPr>
          <w:rStyle w:val="VerbatimChar"/>
        </w:rPr>
        <w:t xml:space="preserve">_warehouse_gstin(warehouse)</w:t>
      </w:r>
      <w:r>
        <w:t xml:space="preserve"> checks Warehouse → Address → gstin FIRST; falls back to Company.gstin. Both </w:t>
      </w:r>
      <w:r>
        <w:rPr>
          <w:rStyle w:val="VerbatimChar"/>
        </w:rPr>
        <w:t xml:space="preserve">transfer_push.py</w:t>
      </w:r>
      <w:r>
        <w:t xml:space="preserve"> (</w:t>
      </w:r>
      <w:r>
        <w:rPr>
          <w:rStyle w:val="VerbatimChar"/>
        </w:rPr>
        <w:t xml:space="preserve">gstin_different</w:t>
      </w:r>
      <w:r>
        <w:t xml:space="preserve"> computation, STN payload) and </w:t>
      </w:r>
      <w:r>
        <w:rPr>
          <w:rStyle w:val="VerbatimChar"/>
        </w:rPr>
        <w:t xml:space="preserve">EasyEcomTransferMap._populate_company_gstins</w:t>
      </w:r>
      <w:r>
        <w:t xml:space="preserve"> use this resolution.</w:t>
      </w:r>
    </w:p>
    <w:p>
      <w:pPr>
        <w:pStyle w:val="BodyText"/>
      </w:pPr>
      <w:r>
        <w:t xml:space="preserve">A multi-state Same-Company transfer (e.g. STC Delhi 07 → STC Mumbai 27 within one Frappe Company) is </w:t>
      </w:r>
      <w:r>
        <w:rPr>
          <w:rStyle w:val="VerbatimChar"/>
        </w:rPr>
        <w:t xml:space="preserve">gstin_different=1</w:t>
      </w:r>
      <w:r>
        <w:t xml:space="preserve">. ERPNext’s </w:t>
      </w:r>
      <w:r>
        <w:rPr>
          <w:rStyle w:val="VerbatimChar"/>
        </w:rPr>
        <w:t xml:space="preserve">is_internal_transfer()</w:t>
      </w:r>
      <w:r>
        <w:t xml:space="preserve"> returns True (because </w:t>
      </w:r>
      <w:r>
        <w:rPr>
          <w:rStyle w:val="VerbatimChar"/>
        </w:rPr>
        <w:t xml:space="preserve">customer.represents_company == DN.company</w:t>
      </w:r>
      <w:r>
        <w:t xml:space="preserve"> after substrate override); </w:t>
      </w:r>
      <w:r>
        <w:rPr>
          <w:rStyle w:val="VerbatimChar"/>
        </w:rPr>
        <w:t xml:space="preserve">make_gl_entries</w:t>
      </w:r>
      <w:r>
        <w:t xml:space="preserve"> is SKIPPED for SI/IPI on submit — by ERPNext design. India Compliance still reads tax rows from the docs for GSTR-1 / GSTR-2/3B reporting. </w:t>
      </w:r>
      <w:r>
        <w:rPr>
          <w:b w:val="true"/>
          <w:bCs w:val="true"/>
        </w:rPr>
        <w:t xml:space="preserve">Net book impact: zero (stock moves, no GL). Net GST impact: also zero across the Company</w:t>
      </w:r>
      <w:r>
        <w:t xml:space="preserve"> (output IGST on SI in one state’s return offsets input IGST on IPI in the other state’s return).</w:t>
      </w:r>
    </w:p>
    <w:p>
      <w:pPr>
        <w:pStyle w:val="BodyText"/>
      </w:pPr>
      <w:r>
        <w:t xml:space="preserve">Inter-Company (cross-Frappe-Company): </w:t>
      </w:r>
      <w:r>
        <w:rPr>
          <w:rStyle w:val="VerbatimChar"/>
        </w:rPr>
        <w:t xml:space="preserve">is_internal_transfer()</w:t>
      </w:r>
      <w:r>
        <w:t xml:space="preserve"> returns False; </w:t>
      </w:r>
      <w:r>
        <w:rPr>
          <w:rStyle w:val="VerbatimChar"/>
        </w:rPr>
        <w:t xml:space="preserve">make_gl_entries</w:t>
      </w:r>
      <w:r>
        <w:t xml:space="preserve"> runs normally on SI (DR Debtors, CR Revenue, CR IGST output) and IPI (DR Expense, DR IGST input, CR Creditors). Unrealized P/L bridges the two Companies’ books for elimination at consolidation.</w:t>
      </w:r>
    </w:p>
    <w:p>
      <w:pPr>
        <w:pStyle w:val="BodyText"/>
      </w:pPr>
      <w:r>
        <w:t xml:space="preserve">FDE awareness: same-Company-multi-state is "books-zero, GST-only." Don’t expect Debtors / Revenue ledger entries on these.</w:t>
      </w:r>
    </w:p>
    <w:p>
      <w:pPr>
        <w:pStyle w:val="Heading2"/>
      </w:pPr>
      <w:r>
        <w:t xml:space="preserve">10.14 Routing model — Customer-anchored DN header fields</w:t>
      </w:r>
    </w:p>
    <w:p>
      <w:pPr>
        <w:pStyle w:val="FirstParagraph"/>
      </w:pPr>
      <w:r>
        <w:t xml:space="preserve">ERPNext’s selling controller (</w:t>
      </w:r>
      <w:r>
        <w:rPr>
          <w:rStyle w:val="VerbatimChar"/>
        </w:rPr>
        <w:t xml:space="preserve">validate_internal_transfer_warehouse</w:t>
      </w:r>
      <w:r>
        <w:t xml:space="preserve">) clears </w:t>
      </w:r>
      <w:r>
        <w:rPr>
          <w:rStyle w:val="VerbatimChar"/>
        </w:rPr>
        <w:t xml:space="preserve">items[].target_warehouse</w:t>
      </w:r>
      <w:r>
        <w:t xml:space="preserve"> for inter-Company DNs (</w:t>
      </w:r>
      <w:r>
        <w:rPr>
          <w:rStyle w:val="VerbatimChar"/>
        </w:rPr>
        <w:t xml:space="preserve">represents_company != company</w:t>
      </w:r>
      <w:r>
        <w:t xml:space="preserve">), breaking the original "items-warehouse-anchored" routing inference. Same-Company case keeps it. The behaviour difference forced a redesign.</w:t>
      </w:r>
    </w:p>
    <w:p>
      <w:pPr>
        <w:pStyle w:val="BodyText"/>
      </w:pPr>
      <w:r>
        <w:t xml:space="preserve">Adopted model: Customer-anchored DN header fields drive routing:</w:t>
      </w:r>
    </w:p>
    <w:p>
      <w:pPr>
        <w:pStyle w:val="Compact"/>
        <w:ind w:left="360" w:hanging="360"/>
      </w:pPr>
      <w:r>
        <w:t xml:space="preserve">• </w:t>
      </w:r>
      <w:r>
        <w:rPr>
          <w:rStyle w:val="VerbatimChar"/>
        </w:rPr>
        <w:t xml:space="preserve">ecs_is_section10_transfer</w:t>
      </w:r>
      <w:r>
        <w:t xml:space="preserve"> (Check, auto-fetches </w:t>
      </w:r>
      <w:r>
        <w:rPr>
          <w:rStyle w:val="VerbatimChar"/>
        </w:rPr>
        <w:t xml:space="preserve">customer.is_internal_customer</w:t>
      </w:r>
      <w:r>
        <w:t xml:space="preserve">)</w:t>
      </w:r>
    </w:p>
    <w:p>
      <w:pPr>
        <w:pStyle w:val="Compact"/>
        <w:ind w:left="360" w:hanging="360"/>
      </w:pPr>
      <w:r>
        <w:t xml:space="preserve">• </w:t>
      </w:r>
      <w:r>
        <w:rPr>
          <w:rStyle w:val="VerbatimChar"/>
        </w:rPr>
        <w:t xml:space="preserve">ecs_section10_transfer_from_warehouse</w:t>
      </w:r>
      <w:r>
        <w:t xml:space="preserve"> (Link Warehouse)</w:t>
      </w:r>
    </w:p>
    <w:p>
      <w:pPr>
        <w:pStyle w:val="Compact"/>
        <w:ind w:left="360" w:hanging="360"/>
      </w:pPr>
      <w:r>
        <w:t xml:space="preserve">• </w:t>
      </w:r>
      <w:r>
        <w:rPr>
          <w:rStyle w:val="VerbatimChar"/>
        </w:rPr>
        <w:t xml:space="preserve">ecs_section10_transfer_to_warehouse</w:t>
      </w:r>
      <w:r>
        <w:t xml:space="preserve"> (Link Warehouse)</w:t>
      </w:r>
    </w:p>
    <w:p>
      <w:pPr>
        <w:pStyle w:val="BodyText"/>
      </w:pPr>
      <w:r>
        <w:t xml:space="preserve">These are visible + mandatory only when the checkbox is ticked. </w:t>
      </w:r>
      <w:r>
        <w:rPr>
          <w:rStyle w:val="VerbatimChar"/>
        </w:rPr>
        <w:t xml:space="preserve">before_validate</w:t>
      </w:r>
      <w:r>
        <w:t xml:space="preserve"> derives everything else from them:</w:t>
      </w:r>
    </w:p>
    <w:p>
      <w:pPr>
        <w:pStyle w:val="Compact"/>
        <w:ind w:left="360" w:hanging="360"/>
      </w:pPr>
      <w:r>
        <w:t xml:space="preserve">• </w:t>
      </w:r>
      <w:r>
        <w:rPr>
          <w:rStyle w:val="VerbatimChar"/>
        </w:rPr>
        <w:t xml:space="preserve">set_warehouse</w:t>
      </w:r>
      <w:r>
        <w:t xml:space="preserve">, </w:t>
      </w:r>
      <w:r>
        <w:rPr>
          <w:rStyle w:val="VerbatimChar"/>
        </w:rPr>
        <w:t xml:space="preserve">items[].warehouse</w:t>
      </w:r>
      <w:r>
        <w:t xml:space="preserve"> ← Transfer From</w:t>
      </w:r>
    </w:p>
    <w:p>
      <w:pPr>
        <w:pStyle w:val="Compact"/>
        <w:ind w:left="360" w:hanging="360"/>
      </w:pPr>
      <w:r>
        <w:t xml:space="preserve">• </w:t>
      </w:r>
      <w:r>
        <w:rPr>
          <w:rStyle w:val="VerbatimChar"/>
        </w:rPr>
        <w:t xml:space="preserve">set_target_warehouse</w:t>
      </w:r>
      <w:r>
        <w:t xml:space="preserve">, </w:t>
      </w:r>
      <w:r>
        <w:rPr>
          <w:rStyle w:val="VerbatimChar"/>
        </w:rPr>
        <w:t xml:space="preserve">items[].target_warehouse</w:t>
      </w:r>
      <w:r>
        <w:t xml:space="preserve"> ← destination Company’s GIT</w:t>
      </w:r>
    </w:p>
    <w:p>
      <w:pPr>
        <w:pStyle w:val="Compact"/>
        <w:ind w:left="360" w:hanging="360"/>
      </w:pPr>
      <w:r>
        <w:t xml:space="preserve">• </w:t>
      </w:r>
      <w:r>
        <w:rPr>
          <w:rStyle w:val="VerbatimChar"/>
        </w:rPr>
        <w:t xml:space="preserve">company_address</w:t>
      </w:r>
      <w:r>
        <w:t xml:space="preserve">, </w:t>
      </w:r>
      <w:r>
        <w:rPr>
          <w:rStyle w:val="VerbatimChar"/>
        </w:rPr>
        <w:t xml:space="preserve">dispatch_address_name</w:t>
      </w:r>
      <w:r>
        <w:t xml:space="preserve"> ← Address linked to Transfer From Warehouse</w:t>
      </w:r>
    </w:p>
    <w:p>
      <w:pPr>
        <w:pStyle w:val="Compact"/>
        <w:ind w:left="360" w:hanging="360"/>
      </w:pPr>
      <w:r>
        <w:t xml:space="preserve">• </w:t>
      </w:r>
      <w:r>
        <w:rPr>
          <w:rStyle w:val="VerbatimChar"/>
        </w:rPr>
        <w:t xml:space="preserve">customer_address</w:t>
      </w:r>
      <w:r>
        <w:t xml:space="preserve">, </w:t>
      </w:r>
      <w:r>
        <w:rPr>
          <w:rStyle w:val="VerbatimChar"/>
        </w:rPr>
        <w:t xml:space="preserve">shipping_address_name</w:t>
      </w:r>
      <w:r>
        <w:t xml:space="preserve"> ← Address linked to BOTH Transfer To Warehouse AND Customer</w:t>
      </w:r>
    </w:p>
    <w:p>
      <w:pPr>
        <w:pStyle w:val="Compact"/>
        <w:ind w:left="360" w:hanging="360"/>
      </w:pPr>
      <w:r>
        <w:t xml:space="preserve">• </w:t>
      </w:r>
      <w:r>
        <w:rPr>
          <w:rStyle w:val="VerbatimChar"/>
        </w:rPr>
        <w:t xml:space="preserve">doc.represents_company</w:t>
      </w:r>
      <w:r>
        <w:t xml:space="preserve"> ← destination Company (overridden per-DN so a single "Internal Customer" can serve any destination)</w:t>
      </w:r>
    </w:p>
    <w:p>
      <w:pPr>
        <w:pStyle w:val="Compact"/>
        <w:ind w:left="360" w:hanging="360"/>
      </w:pPr>
      <w:r>
        <w:t xml:space="preserve">• </w:t>
      </w:r>
      <w:r>
        <w:t xml:space="preserve">Tax template attached when </w:t>
      </w:r>
      <w:r>
        <w:rPr>
          <w:rStyle w:val="VerbatimChar"/>
        </w:rPr>
        <w:t xml:space="preserve">gstin_different = 1</w:t>
      </w:r>
    </w:p>
    <w:p>
      <w:pPr>
        <w:pStyle w:val="Compact"/>
        <w:ind w:left="360" w:hanging="360"/>
      </w:pPr>
      <w:r>
        <w:t xml:space="preserve">• </w:t>
      </w:r>
      <w:r>
        <w:t xml:space="preserve">Stale </w:t>
      </w:r>
      <w:r>
        <w:rPr>
          <w:rStyle w:val="VerbatimChar"/>
        </w:rPr>
        <w:t xml:space="preserve">billing_address_gstin</w:t>
      </w:r>
      <w:r>
        <w:t xml:space="preserve"> / </w:t>
      </w:r>
      <w:r>
        <w:rPr>
          <w:rStyle w:val="VerbatimChar"/>
        </w:rPr>
        <w:t xml:space="preserve">place_of_supply</w:t>
      </w:r>
      <w:r>
        <w:t xml:space="preserve"> / </w:t>
      </w:r>
      <w:r>
        <w:rPr>
          <w:rStyle w:val="VerbatimChar"/>
        </w:rPr>
        <w:t xml:space="preserve">company_gstin</w:t>
      </w:r>
      <w:r>
        <w:t xml:space="preserve"> cleared so India Compliance’s </w:t>
      </w:r>
      <w:r>
        <w:rPr>
          <w:rStyle w:val="VerbatimChar"/>
        </w:rPr>
        <w:t xml:space="preserve">update_gst_details</w:t>
      </w:r>
      <w:r>
        <w:t xml:space="preserve"> re-derives them</w:t>
      </w:r>
    </w:p>
    <w:p>
      <w:pPr>
        <w:pStyle w:val="BodyText"/>
      </w:pPr>
      <w:r>
        <w:t xml:space="preserve">This pattern also enables a </w:t>
      </w:r>
      <w:r>
        <w:rPr>
          <w:b w:val="true"/>
          <w:bCs w:val="true"/>
        </w:rPr>
        <w:t xml:space="preserve">single "Internal Customer" per deployment</w:t>
      </w:r>
      <w:r>
        <w:t xml:space="preserve"> (not per-destination-Company) with multi-Company </w:t>
      </w:r>
      <w:r>
        <w:rPr>
          <w:rStyle w:val="VerbatimChar"/>
        </w:rPr>
        <w:t xml:space="preserve">companies</w:t>
      </w:r>
      <w:r>
        <w:t xml:space="preserve"> child table + multiple Addresses linked to it (one per destination WH). </w:t>
      </w:r>
      <w:r>
        <w:rPr>
          <w:rStyle w:val="VerbatimChar"/>
        </w:rPr>
        <w:t xml:space="preserve">_find_internal_customer</w:t>
      </w:r>
      <w:r>
        <w:t xml:space="preserve"> has a strict-then-loose lookup (strict = legacy per-destination model; loose = single-customer model).</w:t>
      </w:r>
    </w:p>
    <w:p>
      <w:pPr>
        <w:pStyle w:val="Heading2"/>
      </w:pPr>
      <w:r>
        <w:t xml:space="preserve">10.15 SI back-link contract (load-bearing invariant — 2026-06-01)</w:t>
      </w:r>
    </w:p>
    <w:p>
      <w:pPr>
        <w:pStyle w:val="FirstParagraph"/>
      </w:pPr>
      <w:r>
        <w:t xml:space="preserve">The Stage 2 </w:t>
      </w:r>
      <w:r>
        <w:rPr>
          <w:rStyle w:val="VerbatimChar"/>
        </w:rPr>
        <w:t xml:space="preserve">_draft_internal_sales_invoice</w:t>
      </w:r>
      <w:r>
        <w:t xml:space="preserve"> had a subtle bug shipped between 2026-05-29 and 2026-06-01: SI was created with </w:t>
      </w:r>
      <w:r>
        <w:rPr>
          <w:rStyle w:val="VerbatimChar"/>
        </w:rPr>
        <w:t xml:space="preserve">ecs_section10_transfer_map=None</w:t>
      </w:r>
      <w:r>
        <w:t xml:space="preserve"> and an intended back-fill that was never executed. Every §10 SI drafted in that window had a NULL back-link. Consequence: </w:t>
      </w:r>
      <w:r>
        <w:rPr>
          <w:rStyle w:val="VerbatimChar"/>
        </w:rPr>
        <w:t xml:space="preserve">on_sales_invoice_submit</w:t>
      </w:r>
      <w:r>
        <w:t xml:space="preserve"> short-circuited at the empty back-link check, silently neutralising the entire SI-submit cascade (auto-retry of drafted IPRs, IPI auto-draft, DN auto-draft — none of it fired in practice).</w:t>
      </w:r>
    </w:p>
    <w:p>
      <w:pPr>
        <w:pStyle w:val="BodyText"/>
      </w:pPr>
      <w:r>
        <w:rPr>
          <w:b w:val="true"/>
          <w:bCs w:val="true"/>
        </w:rPr>
        <w:t xml:space="preserve">Invariant locked:</w:t>
      </w:r>
    </w:p>
    <w:p>
      <w:pPr>
        <w:pStyle w:val="Compact"/>
        <w:ind w:left="360" w:hanging="360"/>
      </w:pPr>
      <w:r>
        <w:t xml:space="preserve">• </w:t>
      </w:r>
      <w:r>
        <w:rPr>
          <w:b w:val="true"/>
          <w:bCs w:val="true"/>
        </w:rPr>
        <w:t xml:space="preserve">Every §10-created SI MUST have `ecs_section10_transfer_map` populated to its Transfer Map’s name BEFORE the SI document is saved.</w:t>
      </w:r>
      <w:r>
        <w:t xml:space="preserve"> The back-link is load-bearing for the entire SI-submit doc_event cascade.</w:t>
      </w:r>
    </w:p>
    <w:p>
      <w:pPr>
        <w:pStyle w:val="Compact"/>
        <w:ind w:left="360" w:hanging="360"/>
      </w:pPr>
      <w:r>
        <w:t xml:space="preserve">• </w:t>
      </w:r>
      <w:r>
        <w:t xml:space="preserve">Substrate: </w:t>
      </w:r>
      <w:r>
        <w:rPr>
          <w:rStyle w:val="VerbatimChar"/>
        </w:rPr>
        <w:t xml:space="preserve">push_one_transfer</w:t>
      </w:r>
      <w:r>
        <w:t xml:space="preserve"> writes </w:t>
      </w:r>
      <w:r>
        <w:rPr>
          <w:rStyle w:val="VerbatimChar"/>
        </w:rPr>
        <w:t xml:space="preserve">SI.ecs_section10_transfer_map = map_name</w:t>
      </w:r>
      <w:r>
        <w:t xml:space="preserve"> immediately after </w:t>
      </w:r>
      <w:r>
        <w:rPr>
          <w:rStyle w:val="VerbatimChar"/>
        </w:rPr>
        <w:t xml:space="preserve">_upsert_transfer_map</w:t>
      </w:r>
      <w:r>
        <w:t xml:space="preserve"> returns (commit </w:t>
      </w:r>
      <w:r>
        <w:rPr>
          <w:rStyle w:val="VerbatimChar"/>
        </w:rPr>
        <w:t xml:space="preserve">cd27d0f</w:t>
      </w:r>
      <w:r>
        <w:t xml:space="preserve">, </w:t>
      </w:r>
      <w:r>
        <w:rPr>
          <w:rStyle w:val="VerbatimChar"/>
        </w:rPr>
        <w:t xml:space="preserve">transfer_push.py:221-229</w:t>
      </w:r>
      <w:r>
        <w:t xml:space="preserve">).</w:t>
      </w:r>
    </w:p>
    <w:p>
      <w:pPr>
        <w:pStyle w:val="Compact"/>
        <w:ind w:left="360" w:hanging="360"/>
      </w:pPr>
      <w:r>
        <w:t xml:space="preserve">• </w:t>
      </w:r>
      <w:r>
        <w:t xml:space="preserve">Test discipline: end-to-end tests must assert SI back-link is set BEFORE SI submit, not only assert the cascade fires GIVEN a set back-link. The original Stage 3 test suite mocked the back-link being set, which is why the bug was invisible to unit tests.</w:t>
      </w:r>
    </w:p>
    <w:p>
      <w:pPr>
        <w:pStyle w:val="BodyText"/>
      </w:pPr>
      <w:r>
        <w:rPr>
          <w:b w:val="true"/>
          <w:bCs w:val="true"/>
        </w:rPr>
        <w:t xml:space="preserve">Symmetric status transition fix:</w:t>
      </w:r>
      <w:r>
        <w:t xml:space="preserve"> </w:t>
      </w:r>
      <w:r>
        <w:rPr>
          <w:rStyle w:val="VerbatimChar"/>
        </w:rPr>
        <w:t xml:space="preserve">on_sales_invoice_submit</w:t>
      </w:r>
      <w:r>
        <w:t xml:space="preserve"> previously ran status transitions inside the IPR-handling branch, which early-returned when no IPRs existed (typical pre-GRN state). Transfer Map.status stuck at </w:t>
      </w:r>
      <w:r>
        <w:rPr>
          <w:rStyle w:val="VerbatimChar"/>
        </w:rPr>
        <w:t xml:space="preserve">SI-Pending</w:t>
      </w:r>
      <w:r>
        <w:t xml:space="preserve"> indefinitely even after EE push succeeded. Fix landed same commit (</w:t>
      </w:r>
      <w:r>
        <w:rPr>
          <w:rStyle w:val="VerbatimChar"/>
        </w:rPr>
        <w:t xml:space="preserve">transfer_inbound.py:1340-1355</w:t>
      </w:r>
      <w:r>
        <w:t xml:space="preserve">): status transitions run at the top of the hook, independent of IPR state. </w:t>
      </w:r>
      <w:r>
        <w:rPr>
          <w:rStyle w:val="VerbatimChar"/>
        </w:rPr>
        <w:t xml:space="preserve">SI-Pending → EE-Pushed</w:t>
      </w:r>
      <w:r>
        <w:t xml:space="preserve"> when </w:t>
      </w:r>
      <w:r>
        <w:rPr>
          <w:rStyle w:val="VerbatimChar"/>
        </w:rPr>
        <w:t xml:space="preserve">ee_order_id</w:t>
      </w:r>
      <w:r>
        <w:t xml:space="preserve"> (or </w:t>
      </w:r>
      <w:r>
        <w:rPr>
          <w:rStyle w:val="VerbatimChar"/>
        </w:rPr>
        <w:t xml:space="preserve">ee_po_id</w:t>
      </w:r>
      <w:r>
        <w:t xml:space="preserve">) is captured; </w:t>
      </w:r>
      <w:r>
        <w:rPr>
          <w:rStyle w:val="VerbatimChar"/>
        </w:rPr>
        <w:t xml:space="preserve">SI-Pending → SI-Submitted</w:t>
      </w:r>
      <w:r>
        <w:t xml:space="preserve"> when push is still pending (paused-substrate case).</w:t>
      </w:r>
    </w:p>
    <w:p>
      <w:pPr>
        <w:pStyle w:val="BodyText"/>
      </w:pPr>
      <w:r>
        <w:rPr>
          <w:b w:val="true"/>
          <w:bCs w:val="true"/>
        </w:rPr>
        <w:t xml:space="preserve">Lesson generalises:</w:t>
      </w:r>
      <w:r>
        <w:t xml:space="preserve"> when tests mock the inputs to the system under test, they can’t catch real callers’ bugs that fail to provide those inputs. Apply in §11+ test scripts: include explicit end-to-end checks of state propagation between document submissions, not only per-document checks.</w:t>
      </w:r>
    </w:p>
    <w:p>
      <w:pPr>
        <w:pStyle w:val="Heading2"/>
      </w:pPr>
      <w:r>
        <w:t xml:space="preserve">10.16 Role separation</w:t>
      </w:r>
    </w:p>
    <w:p>
      <w:pPr>
        <w:pStyle w:val="FirstParagraph"/>
      </w:pPr>
      <w:r>
        <w:t xml:space="preserve">Three roles touch §10. Knowing which is responsible for what saves operational confusion.</w:t>
      </w:r>
    </w:p>
    <w:p>
      <w:pPr>
        <w:pStyle w:val="Compact"/>
        <w:ind w:left="360" w:hanging="360"/>
      </w:pPr>
      <w:r>
        <w:t xml:space="preserve">• </w:t>
      </w:r>
      <w:r>
        <w:rPr>
          <w:b w:val="true"/>
          <w:bCs w:val="true"/>
        </w:rPr>
        <w:t xml:space="preserve">FDE / EasyEcom System Manager</w:t>
      </w:r>
      <w:r>
        <w:t xml:space="preserve"> — integration health: Drift Transfer Maps, EE-originated Discrepancies, late-GRN Discrepancies, aged GIT cron health. Surfaced via §17 FDE Worklist (3 cards: Drift count, EE-originated Discrepancy count, Submitted-DN-Late-GRN Discrepancy count).</w:t>
      </w:r>
    </w:p>
    <w:p>
      <w:pPr>
        <w:pStyle w:val="Compact"/>
        <w:ind w:left="360" w:hanging="360"/>
      </w:pPr>
      <w:r>
        <w:t xml:space="preserve">• </w:t>
      </w:r>
      <w:r>
        <w:rPr>
          <w:b w:val="true"/>
          <w:bCs w:val="true"/>
        </w:rPr>
        <w:t xml:space="preserve">ERP user</w:t>
      </w:r>
      <w:r>
        <w:t xml:space="preserve"> — business flow: DN creation, SI submission (different-GSTIN gate), IPI submission, DN (Debit Note) submission, aged GIT decisions, late-GRN reconciliation. Surfaced via ERPNext-native UX (ToDos, Comments on documents, list views, the Pull GRNs Now manual-trigger button on EasyEcom Account form).</w:t>
      </w:r>
    </w:p>
    <w:p>
      <w:pPr>
        <w:pStyle w:val="Compact"/>
        <w:ind w:left="360" w:hanging="360"/>
      </w:pPr>
      <w:r>
        <w:t xml:space="preserve">• </w:t>
      </w:r>
      <w:r>
        <w:rPr>
          <w:b w:val="true"/>
          <w:bCs w:val="true"/>
        </w:rPr>
        <w:t xml:space="preserve">EasyEcom Operator</w:t>
      </w:r>
      <w:r>
        <w:t xml:space="preserve"> — read-only on §10 surfaces.</w:t>
      </w:r>
    </w:p>
    <w:p>
      <w:pPr>
        <w:pStyle w:val="BodyText"/>
      </w:pPr>
      <w:r>
        <w:t xml:space="preserve">The §17 FDE Worklist surfaces </w:t>
      </w:r>
      <w:r>
        <w:rPr>
          <w:b w:val="true"/>
          <w:bCs w:val="true"/>
        </w:rPr>
        <w:t xml:space="preserve">integration-health items only.</w:t>
      </w:r>
      <w:r>
        <w:t xml:space="preserve"> ERP user concerns are surfaced via ToDos + Comments on the actual documents — native ERPNext UX, no integration-specific dashboard. The Operations Dashboard for ERP users is explicitly deferred as future polish.</w:t>
      </w:r>
    </w:p>
    <w:p>
      <w:pPr>
        <w:pStyle w:val="Heading2"/>
      </w:pPr>
      <w:r>
        <w:t xml:space="preserve">10.17 UX layer (warehouse EE-mapping visibility, 2026-06-01)</w:t>
      </w:r>
    </w:p>
    <w:p>
      <w:pPr>
        <w:pStyle w:val="FirstParagraph"/>
      </w:pPr>
      <w:r>
        <w:t xml:space="preserve">FDEs creating §10 DNs had no visual cue indicating which §10 branch a chosen (source, target) warehouse pair would route to. Built in commit </w:t>
      </w:r>
      <w:r>
        <w:rPr>
          <w:rStyle w:val="VerbatimChar"/>
        </w:rPr>
        <w:t xml:space="preserve">cc73de6</w:t>
      </w:r>
      <w:r>
        <w:t xml:space="preserve">:</w:t>
      </w:r>
    </w:p>
    <w:p>
      <w:pPr>
        <w:pStyle w:val="Compact"/>
        <w:ind w:left="360" w:hanging="360"/>
      </w:pPr>
      <w:r>
        <w:t xml:space="preserve">• </w:t>
      </w:r>
      <w:r>
        <w:rPr>
          <w:rStyle w:val="VerbatimChar"/>
        </w:rPr>
        <w:t xml:space="preserve">Warehouse.ecs_ee_location_label</w:t>
      </w:r>
      <w:r>
        <w:t xml:space="preserve"> (Data, read-only, in_list_view=1, in_standard_filter=1). Format </w:t>
      </w:r>
      <w:r>
        <w:rPr>
          <w:rStyle w:val="VerbatimChar"/>
        </w:rPr>
        <w:t xml:space="preserve">"EE: &lt;location_name&gt; (#&lt;location_key&gt;)"</w:t>
      </w:r>
      <w:r>
        <w:t xml:space="preserve"> for Live + enabled EasyEcom Locations; empty otherwise.</w:t>
      </w:r>
    </w:p>
    <w:p>
      <w:pPr>
        <w:pStyle w:val="Compact"/>
        <w:ind w:left="360" w:hanging="360"/>
      </w:pPr>
      <w:r>
        <w:t xml:space="preserve">• </w:t>
      </w:r>
      <w:r>
        <w:t xml:space="preserve">Bidirectional sync: EasyEcom Location </w:t>
      </w:r>
      <w:r>
        <w:rPr>
          <w:rStyle w:val="VerbatimChar"/>
        </w:rPr>
        <w:t xml:space="preserve">after_save</w:t>
      </w:r>
      <w:r>
        <w:t xml:space="preserve"> recomputes the label on current AND prior </w:t>
      </w:r>
      <w:r>
        <w:rPr>
          <w:rStyle w:val="VerbatimChar"/>
        </w:rPr>
        <w:t xml:space="preserve">mapped_warehouse</w:t>
      </w:r>
      <w:r>
        <w:t xml:space="preserve"> (catches re-points). </w:t>
      </w:r>
      <w:r>
        <w:rPr>
          <w:rStyle w:val="VerbatimChar"/>
        </w:rPr>
        <w:t xml:space="preserve">on_trash</w:t>
      </w:r>
      <w:r>
        <w:t xml:space="preserve"> recomputes on the orphaned warehouse. Gate matches </w:t>
      </w:r>
      <w:r>
        <w:rPr>
          <w:rStyle w:val="VerbatimChar"/>
        </w:rPr>
        <w:t xml:space="preserve">transfer_push._is_ee_mapped_warehouse</w:t>
      </w:r>
      <w:r>
        <w:t xml:space="preserve"> exactly — label cannot drift from routing decision.</w:t>
      </w:r>
    </w:p>
    <w:p>
      <w:pPr>
        <w:pStyle w:val="Compact"/>
        <w:ind w:left="360" w:hanging="360"/>
      </w:pPr>
      <w:r>
        <w:t xml:space="preserve">• </w:t>
      </w:r>
      <w:r>
        <w:t xml:space="preserve">DN-form: 5 header warehouse fields use a custom autocomplete that sorts EE-mapped warehouses first with label as description column.</w:t>
      </w:r>
    </w:p>
    <w:p>
      <w:pPr>
        <w:pStyle w:val="Compact"/>
        <w:ind w:left="360" w:hanging="360"/>
      </w:pPr>
      <w:r>
        <w:t xml:space="preserve">• </w:t>
      </w:r>
      <w:r>
        <w:t xml:space="preserve">Branch-prediction chip via </w:t>
      </w:r>
      <w:r>
        <w:rPr>
          <w:rStyle w:val="VerbatimChar"/>
        </w:rPr>
        <w:t xml:space="preserve">frm.dashboard.add_indicator(...)</w:t>
      </w:r>
      <w:r>
        <w:t xml:space="preserve"> once both §10 fields are filled. Explanation block under </w:t>
      </w:r>
      <w:r>
        <w:rPr>
          <w:rStyle w:val="VerbatimChar"/>
        </w:rPr>
        <w:t xml:space="preserve">is_internal_customer</w:t>
      </w:r>
      <w:r>
        <w:t xml:space="preserve">. </w:t>
      </w:r>
      <w:r>
        <w:rPr>
          <w:b w:val="true"/>
          <w:bCs w:val="true"/>
        </w:rPr>
        <w:t xml:space="preserve">DN-only by design</w:t>
      </w:r>
      <w:r>
        <w:t xml:space="preserve"> — chip predicts §10 branches; other doctypes aren’t §10 triggers.</w:t>
      </w:r>
    </w:p>
    <w:p>
      <w:pPr>
        <w:pStyle w:val="BodyText"/>
      </w:pPr>
      <w:r>
        <w:t xml:space="preserve">Backfill patch ran across all existing warehouses at deployment time.</w:t>
      </w:r>
    </w:p>
    <w:p>
      <w:pPr>
        <w:pStyle w:val="Heading2"/>
      </w:pPr>
      <w:r>
        <w:t xml:space="preserve">10.18 Onboarding fabric checklist</w:t>
      </w:r>
    </w:p>
    <w:p>
      <w:pPr>
        <w:pStyle w:val="FirstParagraph"/>
      </w:pPr>
      <w:r>
        <w:t xml:space="preserve">A complete Internal Customer + Internal Supplier fabric for §10 needs:</w:t>
      </w:r>
    </w:p>
    <w:p>
      <w:pPr>
        <w:pStyle w:val="BodyText"/>
      </w:pPr>
      <w:r>
        <w:rPr>
          <w:b w:val="true"/>
          <w:bCs w:val="true"/>
        </w:rPr>
        <w:t xml:space="preserve">ONE Customer</w:t>
      </w:r>
      <w:r>
        <w:t xml:space="preserve"> (any deployment-friendly name, e.g. "Internal Customer"):</w:t>
      </w:r>
    </w:p>
    <w:p>
      <w:pPr>
        <w:pStyle w:val="Compact"/>
        <w:ind w:left="360" w:hanging="360"/>
      </w:pPr>
      <w:r>
        <w:t xml:space="preserve">• </w:t>
      </w:r>
      <w:r>
        <w:rPr>
          <w:rStyle w:val="VerbatimChar"/>
        </w:rPr>
        <w:t xml:space="preserve">is_internal_customer = 1</w:t>
      </w:r>
    </w:p>
    <w:p>
      <w:pPr>
        <w:pStyle w:val="Compact"/>
        <w:ind w:left="360" w:hanging="360"/>
      </w:pPr>
      <w:r>
        <w:t xml:space="preserve">• </w:t>
      </w:r>
      <w:r>
        <w:rPr>
          <w:rStyle w:val="VerbatimChar"/>
        </w:rPr>
        <w:t xml:space="preserve">gst_category = Registered Regular</w:t>
      </w:r>
    </w:p>
    <w:p>
      <w:pPr>
        <w:pStyle w:val="Compact"/>
        <w:ind w:left="360" w:hanging="360"/>
      </w:pPr>
      <w:r>
        <w:t xml:space="preserve">• </w:t>
      </w:r>
      <w:r>
        <w:rPr>
          <w:rStyle w:val="VerbatimChar"/>
        </w:rPr>
        <w:t xml:space="preserve">represents_company = &lt;any one Company&gt;</w:t>
      </w:r>
      <w:r>
        <w:t xml:space="preserve"> (default; substrate overrides per-DN)</w:t>
      </w:r>
    </w:p>
    <w:p>
      <w:pPr>
        <w:pStyle w:val="Compact"/>
        <w:ind w:left="360" w:hanging="360"/>
      </w:pPr>
      <w:r>
        <w:t xml:space="preserve">• </w:t>
      </w:r>
      <w:r>
        <w:rPr>
          <w:rStyle w:val="VerbatimChar"/>
        </w:rPr>
        <w:t xml:space="preserve">companies</w:t>
      </w:r>
      <w:r>
        <w:t xml:space="preserve"> child = ALL Frappe Companies that can sell internally</w:t>
      </w:r>
    </w:p>
    <w:p>
      <w:pPr>
        <w:pStyle w:val="Compact"/>
        <w:ind w:left="360" w:hanging="360"/>
      </w:pPr>
      <w:r>
        <w:t xml:space="preserve">• </w:t>
      </w:r>
      <w:r>
        <w:rPr>
          <w:rStyle w:val="VerbatimChar"/>
        </w:rPr>
        <w:t xml:space="preserve">email_id</w:t>
      </w:r>
      <w:r>
        <w:t xml:space="preserve">, </w:t>
      </w:r>
      <w:r>
        <w:rPr>
          <w:rStyle w:val="VerbatimChar"/>
        </w:rPr>
        <w:t xml:space="preserve">mobile_no</w:t>
      </w:r>
      <w:r>
        <w:t xml:space="preserve"> populated (legacy </w:t>
      </w:r>
      <w:r>
        <w:rPr>
          <w:rStyle w:val="VerbatimChar"/>
        </w:rPr>
        <w:t xml:space="preserve">/Wholesale/CreateCustomer</w:t>
      </w:r>
      <w:r>
        <w:t xml:space="preserve"> requirement — kept for non-§10 paths)</w:t>
      </w:r>
    </w:p>
    <w:p>
      <w:pPr>
        <w:pStyle w:val="Compact"/>
        <w:ind w:left="360" w:hanging="360"/>
      </w:pPr>
      <w:r>
        <w:t xml:space="preserve">• </w:t>
      </w:r>
      <w:r>
        <w:t xml:space="preserve">Multiple Addresses linked: one per destination warehouse it can ship to (each Address also linked to the Warehouse + Company)</w:t>
      </w:r>
    </w:p>
    <w:p>
      <w:pPr>
        <w:pStyle w:val="BodyText"/>
      </w:pPr>
      <w:r>
        <w:rPr>
          <w:b w:val="true"/>
          <w:bCs w:val="true"/>
        </w:rPr>
        <w:t xml:space="preserve">ONE Internal Supplier per source Company:</w:t>
      </w:r>
    </w:p>
    <w:p>
      <w:pPr>
        <w:pStyle w:val="Compact"/>
        <w:ind w:left="360" w:hanging="360"/>
      </w:pPr>
      <w:r>
        <w:t xml:space="preserve">• </w:t>
      </w:r>
      <w:r>
        <w:rPr>
          <w:rStyle w:val="VerbatimChar"/>
        </w:rPr>
        <w:t xml:space="preserve">is_internal_supplier = 1</w:t>
      </w:r>
    </w:p>
    <w:p>
      <w:pPr>
        <w:pStyle w:val="Compact"/>
        <w:ind w:left="360" w:hanging="360"/>
      </w:pPr>
      <w:r>
        <w:t xml:space="preserve">• </w:t>
      </w:r>
      <w:r>
        <w:rPr>
          <w:rStyle w:val="VerbatimChar"/>
        </w:rPr>
        <w:t xml:space="preserve">gst_category = Registered Regular</w:t>
      </w:r>
    </w:p>
    <w:p>
      <w:pPr>
        <w:pStyle w:val="Compact"/>
        <w:ind w:left="360" w:hanging="360"/>
      </w:pPr>
      <w:r>
        <w:t xml:space="preserve">• </w:t>
      </w:r>
      <w:r>
        <w:rPr>
          <w:rStyle w:val="VerbatimChar"/>
        </w:rPr>
        <w:t xml:space="preserve">represents_company = &lt;source Company&gt;</w:t>
      </w:r>
    </w:p>
    <w:p>
      <w:pPr>
        <w:pStyle w:val="Compact"/>
        <w:ind w:left="360" w:hanging="360"/>
      </w:pPr>
      <w:r>
        <w:t xml:space="preserve">• </w:t>
      </w:r>
      <w:r>
        <w:rPr>
          <w:rStyle w:val="VerbatimChar"/>
        </w:rPr>
        <w:t xml:space="preserve">companies</w:t>
      </w:r>
      <w:r>
        <w:t xml:space="preserve"> child = all destination Companies (so any can buy from it)</w:t>
      </w:r>
    </w:p>
    <w:p>
      <w:pPr>
        <w:pStyle w:val="Compact"/>
        <w:ind w:left="360" w:hanging="360"/>
      </w:pPr>
      <w:r>
        <w:t xml:space="preserve">• </w:t>
      </w:r>
      <w:r>
        <w:t xml:space="preserve">All warehouse Addresses also linked to it (India Compliance needs registered address coverage)</w:t>
      </w:r>
    </w:p>
    <w:p>
      <w:pPr>
        <w:pStyle w:val="BodyText"/>
      </w:pPr>
      <w:r>
        <w:rPr>
          <w:b w:val="true"/>
          <w:bCs w:val="true"/>
        </w:rPr>
        <w:t xml:space="preserve">For each Warehouse:</w:t>
      </w:r>
    </w:p>
    <w:p>
      <w:pPr>
        <w:pStyle w:val="Compact"/>
        <w:ind w:left="360" w:hanging="360"/>
      </w:pPr>
      <w:r>
        <w:t xml:space="preserve">• </w:t>
      </w:r>
      <w:r>
        <w:t xml:space="preserve">Linked Address with state-appropriate GSTIN + </w:t>
      </w:r>
      <w:r>
        <w:rPr>
          <w:rStyle w:val="VerbatimChar"/>
        </w:rPr>
        <w:t xml:space="preserve">gst_category = Registered Regular</w:t>
      </w:r>
    </w:p>
    <w:p>
      <w:pPr>
        <w:pStyle w:val="Compact"/>
        <w:ind w:left="360" w:hanging="360"/>
      </w:pPr>
      <w:r>
        <w:t xml:space="preserve">• </w:t>
      </w:r>
      <w:r>
        <w:t xml:space="preserve">Address also linked to: the Warehouse, the Company, and (for destination WHs) the Internal Customer, and (for source WHs) the Internal Supplier</w:t>
      </w:r>
    </w:p>
    <w:p>
      <w:pPr>
        <w:pStyle w:val="BodyText"/>
      </w:pPr>
      <w:r>
        <w:rPr>
          <w:b w:val="true"/>
          <w:bCs w:val="true"/>
        </w:rPr>
        <w:t xml:space="preserve">For each Company:</w:t>
      </w:r>
    </w:p>
    <w:p>
      <w:pPr>
        <w:pStyle w:val="Compact"/>
        <w:ind w:left="360" w:hanging="360"/>
      </w:pPr>
      <w:r>
        <w:t xml:space="preserve">• </w:t>
      </w:r>
      <w:r>
        <w:rPr>
          <w:rStyle w:val="VerbatimChar"/>
        </w:rPr>
        <w:t xml:space="preserve">gst_category = Registered Regular</w:t>
      </w:r>
      <w:r>
        <w:t xml:space="preserve"> (not the default Unregistered)</w:t>
      </w:r>
    </w:p>
    <w:p>
      <w:pPr>
        <w:pStyle w:val="Compact"/>
        <w:ind w:left="360" w:hanging="360"/>
      </w:pPr>
      <w:r>
        <w:t xml:space="preserve">• </w:t>
      </w:r>
      <w:r>
        <w:t xml:space="preserve">Primary HQ Address with the Company’s headline GSTIN</w:t>
      </w:r>
    </w:p>
    <w:p>
      <w:pPr>
        <w:pStyle w:val="Compact"/>
        <w:ind w:left="360" w:hanging="360"/>
      </w:pPr>
      <w:r>
        <w:t xml:space="preserve">• </w:t>
      </w:r>
      <w:r>
        <w:rPr>
          <w:rStyle w:val="VerbatimChar"/>
        </w:rPr>
        <w:t xml:space="preserve">default_in_transit_warehouse</w:t>
      </w:r>
      <w:r>
        <w:t xml:space="preserve"> set (or a warehouse named "Goods In Transit" exists under the Company — substrate fallback)</w:t>
      </w:r>
    </w:p>
    <w:p>
      <w:pPr>
        <w:pStyle w:val="Compact"/>
        <w:ind w:left="360" w:hanging="360"/>
      </w:pPr>
      <w:r>
        <w:t xml:space="preserve">• </w:t>
      </w:r>
      <w:r>
        <w:rPr>
          <w:rStyle w:val="VerbatimChar"/>
        </w:rPr>
        <w:t xml:space="preserve">unrealized_profit_loss_account</w:t>
      </w:r>
      <w:r>
        <w:t xml:space="preserve"> set</w:t>
      </w:r>
    </w:p>
    <w:p>
      <w:pPr>
        <w:pStyle w:val="Compact"/>
        <w:ind w:left="360" w:hanging="360"/>
      </w:pPr>
      <w:r>
        <w:t xml:space="preserve">• </w:t>
      </w:r>
      <w:r>
        <w:rPr>
          <w:rStyle w:val="VerbatimChar"/>
        </w:rPr>
        <w:t xml:space="preserve">cost_center</w:t>
      </w:r>
      <w:r>
        <w:t xml:space="preserve"> set (default)</w:t>
      </w:r>
    </w:p>
    <w:p>
      <w:pPr>
        <w:pStyle w:val="BodyText"/>
      </w:pPr>
      <w:r>
        <w:t xml:space="preserve">Run </w:t>
      </w:r>
      <w:r>
        <w:rPr>
          <w:rStyle w:val="VerbatimChar"/>
        </w:rPr>
        <w:t xml:space="preserve">ensure_internal_party_pairs_for_account(account_name)</w:t>
      </w:r>
      <w:r>
        <w:t xml:space="preserve"> to auto-create the Internal Customer / Internal Supplier pairs. Run </w:t>
      </w:r>
      <w:r>
        <w:rPr>
          <w:rStyle w:val="VerbatimChar"/>
        </w:rPr>
        <w:t xml:space="preserve">precheck_section10_go_live(account_name)</w:t>
      </w:r>
      <w:r>
        <w:t xml:space="preserve"> to verify the fabric is complete before enabling auto-push.</w:t>
      </w:r>
    </w:p>
    <w:p>
      <w:pPr>
        <w:pStyle w:val="Heading2"/>
      </w:pPr>
      <w:r>
        <w:t xml:space="preserve">10.19 Audit trail</w:t>
      </w:r>
    </w:p>
    <w:p>
      <w:pPr>
        <w:pStyle w:val="Compact"/>
        <w:ind w:left="360" w:hanging="360"/>
      </w:pPr>
      <w:r>
        <w:t xml:space="preserve">• </w:t>
      </w:r>
      <w:r>
        <w:rPr>
          <w:b w:val="true"/>
          <w:bCs w:val="true"/>
        </w:rPr>
        <w:t xml:space="preserve">EasyEcom Transfer Map</w:t>
      </w:r>
      <w:r>
        <w:t xml:space="preserve"> doctype is the primary audit anchor. Every transfer has exactly one Map row, keyed on the originating DN. The Map carries: source/target warehouses, GSTINs (derived), </w:t>
      </w:r>
      <w:r>
        <w:rPr>
          <w:rStyle w:val="VerbatimChar"/>
        </w:rPr>
        <w:t xml:space="preserve">ee_doctype</w:t>
      </w:r>
      <w:r>
        <w:t xml:space="preserve"> (STN/PO/B2B), all EE IDs (strings or PO Int), linked SI/IPI/DN, the IPR child table, status (9-state enum), git_balance, flag_reason, pending push flag.</w:t>
      </w:r>
    </w:p>
    <w:p>
      <w:pPr>
        <w:pStyle w:val="Compact"/>
        <w:ind w:left="360" w:hanging="360"/>
      </w:pPr>
      <w:r>
        <w:t xml:space="preserve">• </w:t>
      </w:r>
      <w:r>
        <w:rPr>
          <w:b w:val="true"/>
          <w:bCs w:val="true"/>
        </w:rPr>
        <w:t xml:space="preserve">ERPNext Comments on the Transfer Map</w:t>
      </w:r>
      <w:r>
        <w:t xml:space="preserve"> record every auto-Debit-Note revision/cancellation event (load-bearing — must survive draft DN deletion).</w:t>
      </w:r>
    </w:p>
    <w:p>
      <w:pPr>
        <w:pStyle w:val="Compact"/>
        <w:ind w:left="360" w:hanging="360"/>
      </w:pPr>
      <w:r>
        <w:t xml:space="preserve">• </w:t>
      </w:r>
      <w:r>
        <w:rPr>
          <w:b w:val="true"/>
          <w:bCs w:val="true"/>
        </w:rPr>
        <w:t xml:space="preserve">Sync Records</w:t>
      </w:r>
      <w:r>
        <w:t xml:space="preserve"> with </w:t>
      </w:r>
      <w:r>
        <w:rPr>
          <w:rStyle w:val="VerbatimChar"/>
        </w:rPr>
        <w:t xml:space="preserve">entity_type="Delivery Note"</w:t>
      </w:r>
      <w:r>
        <w:t xml:space="preserve"> carry per-GRN line-level OK/Failed/Discrepancy detail.</w:t>
      </w:r>
    </w:p>
    <w:p>
      <w:pPr>
        <w:pStyle w:val="Compact"/>
        <w:ind w:left="360" w:hanging="360"/>
      </w:pPr>
      <w:r>
        <w:t xml:space="preserve">• </w:t>
      </w:r>
      <w:r>
        <w:rPr>
          <w:b w:val="true"/>
          <w:bCs w:val="true"/>
        </w:rPr>
        <w:t xml:space="preserve">Integration Discrepancies</w:t>
      </w:r>
      <w:r>
        <w:t xml:space="preserve"> carry the abnormal-state flags: EE-originated standalone, late-GRN-after-submitted-DN.</w:t>
      </w:r>
    </w:p>
    <w:p>
      <w:pPr>
        <w:pStyle w:val="Compact"/>
        <w:ind w:left="360" w:hanging="360"/>
      </w:pPr>
      <w:r>
        <w:t xml:space="preserve">• </w:t>
      </w:r>
      <w:r>
        <w:rPr>
          <w:b w:val="true"/>
          <w:bCs w:val="true"/>
        </w:rPr>
        <w:t xml:space="preserve">§17 FDE Worklist</w:t>
      </w:r>
      <w:r>
        <w:t xml:space="preserve"> has number-cards for integration-health items only.</w:t>
      </w:r>
    </w:p>
    <w:p>
      <w:pPr>
        <w:pStyle w:val="BodyText"/>
      </w:pPr>
      <w:r>
        <w:t xml:space="preserve">The model: read the Transfer Map for the structural story, read its Comments for the runtime story, read Sync Records for the per-line story, read Discrepancies for the FDE-action story.</w:t>
      </w:r>
    </w:p>
    <w:p>
      <w:pPr>
        <w:pStyle w:val="Heading2"/>
      </w:pPr>
      <w:r>
        <w:t xml:space="preserve">10.20 Carry-forwards past §10 closeout</w:t>
      </w:r>
    </w:p>
    <w:p>
      <w:pPr>
        <w:pStyle w:val="Compact"/>
        <w:ind w:left="360" w:hanging="360"/>
      </w:pPr>
      <w:r>
        <w:t xml:space="preserve">• </w:t>
      </w:r>
      <w:r>
        <w:rPr>
          <w:b w:val="true"/>
          <w:bCs w:val="true"/>
        </w:rPr>
        <w:t xml:space="preserve">STN self-GRN routing live-verification on Harmony</w:t>
      </w:r>
      <w:r>
        <w:t xml:space="preserve"> — pattern code-correct, mock-tested, NOT live-verified. Trigger a real self-GRN to confirm </w:t>
      </w:r>
      <w:r>
        <w:rPr>
          <w:rStyle w:val="VerbatimChar"/>
        </w:rPr>
        <w:t xml:space="preserve">vendor_c_id == warehouse company_id</w:t>
      </w:r>
      <w:r>
        <w:t xml:space="preserve">. Was a §9 carry-forward; overdue.</w:t>
      </w:r>
    </w:p>
    <w:p>
      <w:pPr>
        <w:pStyle w:val="Compact"/>
        <w:ind w:left="360" w:hanging="360"/>
      </w:pPr>
      <w:r>
        <w:t xml:space="preserve">• </w:t>
      </w:r>
      <w:r>
        <w:rPr>
          <w:b w:val="true"/>
          <w:bCs w:val="true"/>
        </w:rPr>
        <w:t xml:space="preserve">STN cancel/amend endpoint payload grounding</w:t>
      </w:r>
      <w:r>
        <w:t xml:space="preserve"> — required to lift Stage 2 stub-blockers. First ERP-user cancellation of EE-pushed STN is the operational trigger.</w:t>
      </w:r>
    </w:p>
    <w:p>
      <w:pPr>
        <w:pStyle w:val="Compact"/>
        <w:ind w:left="360" w:hanging="360"/>
      </w:pPr>
      <w:r>
        <w:t xml:space="preserve">• </w:t>
      </w:r>
      <w:r>
        <w:rPr>
          <w:b w:val="true"/>
          <w:bCs w:val="true"/>
        </w:rPr>
        <w:t xml:space="preserve">Multi-GRN partial cumulative live-smoke for §10</w:t>
      </w:r>
      <w:r>
        <w:t xml:space="preserve"> — unit-mock-verified across all branches; multi-receipt partial-then-completion on real EE is the first live exercise.</w:t>
      </w:r>
    </w:p>
    <w:p>
      <w:pPr>
        <w:pStyle w:val="Compact"/>
        <w:ind w:left="360" w:hanging="360"/>
      </w:pPr>
      <w:r>
        <w:t xml:space="preserve">• </w:t>
      </w:r>
      <w:r>
        <w:rPr>
          <w:b w:val="true"/>
          <w:bCs w:val="true"/>
        </w:rPr>
        <w:t xml:space="preserve">PO-branch wire dispatch live-smoke</w:t>
      </w:r>
      <w:r>
        <w:t xml:space="preserve"> — Stage 4 wired against mocks; real non-EE-source-with-EE-target deployment is the first real exercise.</w:t>
      </w:r>
    </w:p>
    <w:p>
      <w:pPr>
        <w:pStyle w:val="Compact"/>
        <w:ind w:left="360" w:hanging="360"/>
      </w:pPr>
      <w:r>
        <w:t xml:space="preserve">• </w:t>
      </w:r>
      <w:r>
        <w:rPr>
          <w:b w:val="true"/>
          <w:bCs w:val="true"/>
        </w:rPr>
        <w:t xml:space="preserve">B2B-branch destination GRN flow</w:t>
      </w:r>
      <w:r>
        <w:t xml:space="preserve"> — purely ERPNext-native by design (stock has left EE’s universe). No §10 inbound machinery fires. Documented so FDEs don’t expect auto-magic.</w:t>
      </w:r>
    </w:p>
    <w:p>
      <w:pPr>
        <w:pStyle w:val="Compact"/>
        <w:ind w:left="360" w:hanging="360"/>
      </w:pPr>
      <w:r>
        <w:t xml:space="preserve">• </w:t>
      </w:r>
      <w:r>
        <w:rPr>
          <w:b w:val="true"/>
          <w:bCs w:val="true"/>
        </w:rPr>
        <w:t xml:space="preserve">`_resolve_for_receipt` (§9) vs inline Item resolution (§10) divergence</w:t>
      </w:r>
      <w:r>
        <w:t xml:space="preserve"> — Stage 3 couldn’t reuse §9’s resolver. Two code paths for Item resolution. Watch for drift on future §9 fixes.</w:t>
      </w:r>
    </w:p>
    <w:p>
      <w:pPr>
        <w:pStyle w:val="Compact"/>
        <w:ind w:left="360" w:hanging="360"/>
      </w:pPr>
      <w:r>
        <w:t xml:space="preserve">• </w:t>
      </w:r>
      <w:r>
        <w:rPr>
          <w:b w:val="true"/>
          <w:bCs w:val="true"/>
        </w:rPr>
        <w:t xml:space="preserve">`Sales Invoice.on_submit` hook scope guard</w:t>
      </w:r>
      <w:r>
        <w:t xml:space="preserve"> — §10’s hook auto-retries IPRs scoped via </w:t>
      </w:r>
      <w:r>
        <w:rPr>
          <w:rStyle w:val="VerbatimChar"/>
        </w:rPr>
        <w:t xml:space="preserve">ecs_section10_transfer_map</w:t>
      </w:r>
      <w:r>
        <w:t xml:space="preserve"> back-ref. §11+ adding their own SI hooks must scope-guard symmetrically.</w:t>
      </w:r>
    </w:p>
    <w:p>
      <w:pPr>
        <w:pStyle w:val="Compact"/>
        <w:ind w:left="360" w:hanging="360"/>
      </w:pPr>
      <w:r>
        <w:t xml:space="preserve">• </w:t>
      </w:r>
      <w:r>
        <w:rPr>
          <w:b w:val="true"/>
          <w:bCs w:val="true"/>
        </w:rPr>
        <w:t xml:space="preserve">Discovery-phase probe convention</w:t>
      </w:r>
      <w:r>
        <w:t xml:space="preserve"> — orderNumbers for orderType validation must be fresh (</w:t>
      </w:r>
      <w:r>
        <w:rPr>
          <w:rStyle w:val="VerbatimChar"/>
        </w:rPr>
        <w:t xml:space="preserve">PROBE-{timestamp_to_microsecond}</w:t>
      </w:r>
      <w:r>
        <w:t xml:space="preserve">); EE validates orderNumber uniqueness BEFORE orderType validity.</w:t>
      </w:r>
    </w:p>
    <w:p>
      <w:pPr>
        <w:pStyle w:val="Compact"/>
        <w:ind w:left="360" w:hanging="360"/>
      </w:pPr>
      <w:r>
        <w:t xml:space="preserve">• </w:t>
      </w:r>
      <w:r>
        <w:rPr>
          <w:b w:val="true"/>
          <w:bCs w:val="true"/>
        </w:rPr>
        <w:t xml:space="preserve">Decision-matrix completeness gate</w:t>
      </w:r>
      <w:r>
        <w:t xml:space="preserve"> — future spec decision-matrices must enumerate all quadrants explicitly and gate "design complete" on each having a grounded EE primitive or deliberate inert outcome.</w:t>
      </w:r>
    </w:p>
    <w:p>
      <w:pPr>
        <w:pStyle w:val="Compact"/>
        <w:ind w:left="360" w:hanging="360"/>
      </w:pPr>
      <w:r>
        <w:t xml:space="preserve">• </w:t>
      </w:r>
      <w:r>
        <w:rPr>
          <w:b w:val="true"/>
          <w:bCs w:val="true"/>
        </w:rPr>
        <w:t xml:space="preserve">End-to-end test discipline</w:t>
      </w:r>
      <w:r>
        <w:t xml:space="preserve"> — tests must assert state propagation BETWEEN document submissions, not only per-document behaviour. The 2026-06-01 latent bugs were invisible to unit tests because tests mocked the inputs the bugs were failing to provide.</w:t>
      </w:r>
    </w:p>
    <w:p>
      <w:pPr>
        <w:pStyle w:val="Compact"/>
        <w:ind w:left="360" w:hanging="360"/>
      </w:pPr>
      <w:r>
        <w:t xml:space="preserve">• </w:t>
      </w:r>
      <w:r>
        <w:rPr>
          <w:b w:val="true"/>
          <w:bCs w:val="true"/>
        </w:rPr>
        <w:t xml:space="preserve">§10 Operations Dashboard for ERP users</w:t>
      </w:r>
      <w:r>
        <w:t xml:space="preserve"> — deferred per packet; ERPNext-native UX covers it for now.</w:t>
      </w:r>
    </w:p>
    <w:bookmarkEnd w:id="210"/>
    <w:bookmarkEnd w:id="211"/>
    <w:bookmarkStart w:id="228"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12"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12"/>
    <w:bookmarkStart w:id="213"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3"/>
    <w:bookmarkStart w:id="216" w:name="so-push-payload-and-modes"/>
    <w:p>
      <w:pPr>
        <w:pStyle w:val="Heading2"/>
      </w:pPr>
      <w:r>
        <w:t xml:space="preserve">11.3 SO push: payload and modes</w:t>
      </w:r>
    </w:p>
    <w:bookmarkStart w:id="214" w:name="async-mode-default"/>
    <w:p>
      <w:pPr>
        <w:pStyle w:val="Heading3"/>
      </w:pPr>
      <w:r>
        <w:t xml:space="preserve">11.3.1 Async mode (default)</w:t>
      </w:r>
    </w:p>
    <w:p>
      <w:pPr>
        <w:pStyle w:val="Compact"/>
        <w:numPr>
          <w:ilvl w:val="0"/>
          <w:numId w:val="1123"/>
        </w:numPr>
      </w:pPr>
      <w:r>
        <w:t xml:space="preserve">Sales Order on_submit fires the push as an EasyEcom Queue Job</w:t>
      </w:r>
    </w:p>
    <w:p>
      <w:pPr>
        <w:pStyle w:val="Compact"/>
        <w:numPr>
          <w:ilvl w:val="0"/>
          <w:numId w:val="1123"/>
        </w:numPr>
      </w:pPr>
      <w:r>
        <w:t xml:space="preserve">ERPNext SO submission completes immediately regardless of EE availability</w:t>
      </w:r>
    </w:p>
    <w:p>
      <w:pPr>
        <w:pStyle w:val="Compact"/>
        <w:numPr>
          <w:ilvl w:val="0"/>
          <w:numId w:val="1123"/>
        </w:numPr>
      </w:pPr>
      <w:r>
        <w:t xml:space="preserve">EE acknowledgement updates ecs_easyecom_so_id custom field on the SO</w:t>
      </w:r>
    </w:p>
    <w:p>
      <w:pPr>
        <w:pStyle w:val="Compact"/>
        <w:numPr>
          <w:ilvl w:val="0"/>
          <w:numId w:val="1123"/>
        </w:numPr>
      </w:pPr>
      <w:r>
        <w:t xml:space="preserve">Failed pushes retry with back-off; persistent failures alert FDE; SO remains valid in ERPNext</w:t>
      </w:r>
    </w:p>
    <w:p>
      <w:pPr>
        <w:pStyle w:val="Compact"/>
        <w:numPr>
          <w:ilvl w:val="0"/>
          <w:numId w:val="1123"/>
        </w:numPr>
      </w:pPr>
      <w:r>
        <w:t xml:space="preserve">Trade-off accepted: ERPNext may have a confirmed SO that EE has rejected (e.g., for stock unavailability) for a short window — handled by FDE-monitored failure dashboard</w:t>
      </w:r>
    </w:p>
    <w:bookmarkEnd w:id="214"/>
    <w:bookmarkStart w:id="215" w:name="X306e83d6665637dc8dfc473a5b53d41b63dffe6"/>
    <w:p>
      <w:pPr>
        <w:pStyle w:val="Heading3"/>
      </w:pPr>
      <w:r>
        <w:t xml:space="preserve">11.3.2 Sync mode (configurable per Marketplace Account)</w:t>
      </w:r>
    </w:p>
    <w:p>
      <w:pPr>
        <w:pStyle w:val="Compact"/>
        <w:numPr>
          <w:ilvl w:val="0"/>
          <w:numId w:val="1124"/>
        </w:numPr>
      </w:pPr>
      <w:r>
        <w:t xml:space="preserve">on_submit blocks until EE confirms acceptance</w:t>
      </w:r>
    </w:p>
    <w:p>
      <w:pPr>
        <w:pStyle w:val="Compact"/>
        <w:numPr>
          <w:ilvl w:val="0"/>
          <w:numId w:val="1124"/>
        </w:numPr>
      </w:pPr>
      <w:r>
        <w:t xml:space="preserve">If EE rejects (e.g., stock unavailable, customer credit limit, item not found), the ERPNext on_submit fails and the SO is not submitted</w:t>
      </w:r>
    </w:p>
    <w:p>
      <w:pPr>
        <w:pStyle w:val="Compact"/>
        <w:numPr>
          <w:ilvl w:val="0"/>
          <w:numId w:val="1124"/>
        </w:numPr>
      </w:pPr>
      <w:r>
        <w:t xml:space="preserve">Latency: typically 200ms-2s; user sees a brief save delay</w:t>
      </w:r>
    </w:p>
    <w:p>
      <w:pPr>
        <w:pStyle w:val="Compact"/>
        <w:numPr>
          <w:ilvl w:val="0"/>
          <w:numId w:val="1124"/>
        </w:numPr>
      </w:pPr>
      <w:r>
        <w:t xml:space="preserve">Trade-off accepted: ERPNext UI hangs during the call; if EE is down, SO submissions are blocked entirely</w:t>
      </w:r>
    </w:p>
    <w:p>
      <w:pPr>
        <w:pStyle w:val="Compact"/>
        <w:numPr>
          <w:ilvl w:val="0"/>
          <w:numId w:val="1124"/>
        </w:numPr>
      </w:pPr>
      <w:r>
        <w:t xml:space="preserve">Configuration: per Marketplace Account, push_so_mode = Sync, push_so_block_on_error = True</w:t>
      </w:r>
    </w:p>
    <w:p>
      <w:pPr>
        <w:pStyle w:val="Compact"/>
        <w:numPr>
          <w:ilvl w:val="0"/>
          <w:numId w:val="1124"/>
        </w:numPr>
      </w:pPr>
      <w:r>
        <w:t xml:space="preserve">Recommended for high-value B2B clients where stock-promise consistency matters; not recommended for high-volume D2C</w:t>
      </w:r>
    </w:p>
    <w:bookmarkEnd w:id="215"/>
    <w:bookmarkEnd w:id="216"/>
    <w:bookmarkStart w:id="220"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7" w:name="the-flow-2"/>
    <w:p>
      <w:pPr>
        <w:pStyle w:val="Heading3"/>
      </w:pPr>
      <w:r>
        <w:t xml:space="preserve">11.4.1 The flow</w:t>
      </w:r>
    </w:p>
    <w:p>
      <w:pPr>
        <w:pStyle w:val="Compact"/>
        <w:numPr>
          <w:ilvl w:val="0"/>
          <w:numId w:val="1125"/>
        </w:numPr>
      </w:pPr>
      <w:r>
        <w:t xml:space="preserve">EE reserves stock for the order — fires a webhook event of type inventory.reserved with EE order ID, location_key, line items, qty</w:t>
      </w:r>
    </w:p>
    <w:p>
      <w:pPr>
        <w:pStyle w:val="Compact"/>
        <w:numPr>
          <w:ilvl w:val="0"/>
          <w:numId w:val="1125"/>
        </w:numPr>
      </w:pPr>
      <w:r>
        <w:t xml:space="preserve">Polling cron picks it up if webhook missed</w:t>
      </w:r>
    </w:p>
    <w:p>
      <w:pPr>
        <w:pStyle w:val="Compact"/>
        <w:numPr>
          <w:ilvl w:val="0"/>
          <w:numId w:val="1125"/>
        </w:numPr>
      </w:pPr>
      <w:r>
        <w:t xml:space="preserve">Resolve the EE order ID to the ERPNext Sales Order via ecs_easyecom_so_id</w:t>
      </w:r>
    </w:p>
    <w:p>
      <w:pPr>
        <w:pStyle w:val="Compact"/>
        <w:numPr>
          <w:ilvl w:val="0"/>
          <w:numId w:val="1125"/>
        </w:numPr>
      </w:pPr>
      <w:r>
        <w:t xml:space="preserve">Create Stock Reservation Entry against the SO for each line item, with reservation_based_on_voucher = Sales Order, against_warehouse = the SO’s target_warehouse</w:t>
      </w:r>
    </w:p>
    <w:p>
      <w:pPr>
        <w:pStyle w:val="Compact"/>
        <w:numPr>
          <w:ilvl w:val="0"/>
          <w:numId w:val="1125"/>
        </w:numPr>
      </w:pPr>
      <w:r>
        <w:t xml:space="preserve">Stock Ledger Entry shows the reserved qty as committed; available qty for other orders drops accordingly</w:t>
      </w:r>
    </w:p>
    <w:p>
      <w:pPr>
        <w:pStyle w:val="Compact"/>
        <w:numPr>
          <w:ilvl w:val="0"/>
          <w:numId w:val="1125"/>
        </w:numPr>
      </w:pPr>
      <w:r>
        <w:t xml:space="preserve">On EE dispatch, the SRE is automatically released as the Delivery Note (or Sales Invoice with stock movement) consumes the reservation</w:t>
      </w:r>
    </w:p>
    <w:bookmarkEnd w:id="217"/>
    <w:bookmarkStart w:id="218" w:name="configuration-gate"/>
    <w:p>
      <w:pPr>
        <w:pStyle w:val="Heading3"/>
      </w:pPr>
      <w:r>
        <w:t xml:space="preserve">11.4.2 Configuration gate</w:t>
      </w:r>
    </w:p>
    <w:p>
      <w:pPr>
        <w:pStyle w:val="Compact"/>
        <w:numPr>
          <w:ilvl w:val="0"/>
          <w:numId w:val="1126"/>
        </w:numPr>
      </w:pPr>
      <w:r>
        <w:t xml:space="preserve">Stock Reservation must be enabled in ERPNext Stock Settings (on by default in v16 fresh installs)</w:t>
      </w:r>
    </w:p>
    <w:p>
      <w:pPr>
        <w:pStyle w:val="Compact"/>
        <w:numPr>
          <w:ilvl w:val="0"/>
          <w:numId w:val="1126"/>
        </w:numPr>
      </w:pPr>
      <w:r>
        <w:t xml:space="preserve">Per Source-of-Truth Map row: mirror_stock_reservations = True (default)</w:t>
      </w:r>
    </w:p>
    <w:p>
      <w:pPr>
        <w:pStyle w:val="Compact"/>
        <w:numPr>
          <w:ilvl w:val="0"/>
          <w:numId w:val="1126"/>
        </w:numPr>
      </w:pPr>
      <w:r>
        <w:t xml:space="preserve">If unchecked, the inventory-reserved event is logged but no SRE is created — used for clients who don’t care about real-time reservation visibility</w:t>
      </w:r>
    </w:p>
    <w:bookmarkEnd w:id="218"/>
    <w:bookmarkStart w:id="219" w:name="edge-cases-1"/>
    <w:p>
      <w:pPr>
        <w:pStyle w:val="Heading3"/>
      </w:pPr>
      <w:r>
        <w:t xml:space="preserve">11.4.3 Edge cases</w:t>
      </w:r>
    </w:p>
    <w:p>
      <w:pPr>
        <w:pStyle w:val="Compact"/>
        <w:numPr>
          <w:ilvl w:val="0"/>
          <w:numId w:val="112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7"/>
        </w:numPr>
      </w:pPr>
      <w:r>
        <w:t xml:space="preserve">EE un-reserves (cancellation, change): inventory.unreserved event releases the SRE</w:t>
      </w:r>
    </w:p>
    <w:p>
      <w:pPr>
        <w:pStyle w:val="Compact"/>
        <w:numPr>
          <w:ilvl w:val="0"/>
          <w:numId w:val="1127"/>
        </w:numPr>
      </w:pPr>
      <w:r>
        <w:t xml:space="preserve">Partial reservation (EE reserves only some lines): partial SREs created accordingly</w:t>
      </w:r>
    </w:p>
    <w:p>
      <w:pPr>
        <w:pStyle w:val="Compact"/>
        <w:numPr>
          <w:ilvl w:val="0"/>
          <w:numId w:val="1127"/>
        </w:numPr>
      </w:pPr>
      <w:r>
        <w:t xml:space="preserve">Reservation expires in EE without dispatch: timeout handling — typically EE auto-cancels the reservation; we follow with SRE release</w:t>
      </w:r>
    </w:p>
    <w:bookmarkEnd w:id="219"/>
    <w:bookmarkEnd w:id="220"/>
    <w:bookmarkStart w:id="224" w:name="invoice-and-e-waybill-flow"/>
    <w:p>
      <w:pPr>
        <w:pStyle w:val="Heading2"/>
      </w:pPr>
      <w:r>
        <w:t xml:space="preserve">11.5 Invoice and e-waybill flow</w:t>
      </w:r>
    </w:p>
    <w:bookmarkStart w:id="221"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8"/>
        </w:numPr>
      </w:pPr>
      <w:r>
        <w:t xml:space="preserve">Resolve to ERPNext SO</w:t>
      </w:r>
    </w:p>
    <w:p>
      <w:pPr>
        <w:pStyle w:val="Compact"/>
        <w:numPr>
          <w:ilvl w:val="0"/>
          <w:numId w:val="1128"/>
        </w:numPr>
      </w:pPr>
      <w:r>
        <w:t xml:space="preserve">Create Sales Invoice from SO using standard ERPNext mechanism (sales_invoice from sales_order)</w:t>
      </w:r>
    </w:p>
    <w:p>
      <w:pPr>
        <w:pStyle w:val="Compact"/>
        <w:numPr>
          <w:ilvl w:val="0"/>
          <w:numId w:val="1128"/>
        </w:numPr>
      </w:pPr>
      <w:r>
        <w:t xml:space="preserve">Post tax lines via India Compliance app</w:t>
      </w:r>
    </w:p>
    <w:p>
      <w:pPr>
        <w:pStyle w:val="Compact"/>
        <w:numPr>
          <w:ilvl w:val="0"/>
          <w:numId w:val="1128"/>
        </w:numPr>
      </w:pPr>
      <w:r>
        <w:t xml:space="preserve">Submit the SI</w:t>
      </w:r>
    </w:p>
    <w:p>
      <w:pPr>
        <w:pStyle w:val="Compact"/>
        <w:numPr>
          <w:ilvl w:val="0"/>
          <w:numId w:val="1128"/>
        </w:numPr>
      </w:pPr>
      <w:r>
        <w:t xml:space="preserve">Generate e-invoice IRN via India Compliance</w:t>
      </w:r>
    </w:p>
    <w:p>
      <w:pPr>
        <w:pStyle w:val="Compact"/>
        <w:numPr>
          <w:ilvl w:val="0"/>
          <w:numId w:val="1128"/>
        </w:numPr>
      </w:pPr>
      <w:r>
        <w:t xml:space="preserve">Generate e-waybill via India Compliance with vehicle_no and transporter_id from EE payload</w:t>
      </w:r>
    </w:p>
    <w:p>
      <w:pPr>
        <w:pStyle w:val="Compact"/>
        <w:numPr>
          <w:ilvl w:val="0"/>
          <w:numId w:val="1128"/>
        </w:numPr>
      </w:pPr>
      <w:r>
        <w:t xml:space="preserve">Push back to EE: POST /b2b/uploadInvoice with PDF, IRN, e-waybill number</w:t>
      </w:r>
    </w:p>
    <w:p>
      <w:pPr>
        <w:pStyle w:val="Compact"/>
        <w:numPr>
          <w:ilvl w:val="0"/>
          <w:numId w:val="1128"/>
        </w:numPr>
      </w:pPr>
      <w:r>
        <w:t xml:space="preserve">EE acknowledges, prints, dispatches</w:t>
      </w:r>
    </w:p>
    <w:bookmarkEnd w:id="221"/>
    <w:bookmarkStart w:id="222" w:name="branch-b-ee-generates-its-own-invoice"/>
    <w:p>
      <w:pPr>
        <w:pStyle w:val="Heading3"/>
      </w:pPr>
      <w:r>
        <w:t xml:space="preserve">11.5.2 Branch B: EE generates its own invoice</w:t>
      </w:r>
    </w:p>
    <w:p>
      <w:pPr>
        <w:pStyle w:val="Compact"/>
        <w:numPr>
          <w:ilvl w:val="0"/>
          <w:numId w:val="1129"/>
        </w:numPr>
      </w:pPr>
      <w:r>
        <w:t xml:space="preserve">Operator’s choice if they prefer EE-generated invoices for B2B (rare but exists)</w:t>
      </w:r>
    </w:p>
    <w:p>
      <w:pPr>
        <w:pStyle w:val="Compact"/>
        <w:numPr>
          <w:ilvl w:val="0"/>
          <w:numId w:val="1129"/>
        </w:numPr>
      </w:pPr>
      <w:r>
        <w:t xml:space="preserve">EE generates and dispatches</w:t>
      </w:r>
    </w:p>
    <w:p>
      <w:pPr>
        <w:pStyle w:val="Compact"/>
        <w:numPr>
          <w:ilvl w:val="0"/>
          <w:numId w:val="1129"/>
        </w:numPr>
      </w:pPr>
      <w:r>
        <w:t xml:space="preserve">Dispatch webhook fires with invoice payload</w:t>
      </w:r>
    </w:p>
    <w:p>
      <w:pPr>
        <w:pStyle w:val="Compact"/>
        <w:numPr>
          <w:ilvl w:val="0"/>
          <w:numId w:val="1129"/>
        </w:numPr>
      </w:pPr>
      <w:r>
        <w:t xml:space="preserve">Integration creates Sales Invoice in ERPNext mirroring EE invoice values exactly (rate, taxes, totals)</w:t>
      </w:r>
    </w:p>
    <w:p>
      <w:pPr>
        <w:pStyle w:val="Compact"/>
        <w:numPr>
          <w:ilvl w:val="0"/>
          <w:numId w:val="1129"/>
        </w:numPr>
      </w:pPr>
      <w:r>
        <w:t xml:space="preserve">Variance check: if mirrored SI total differs from SO total by more than 1%, Integration Discrepancy raised</w:t>
      </w:r>
    </w:p>
    <w:bookmarkEnd w:id="222"/>
    <w:bookmarkStart w:id="223"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30"/>
        </w:numPr>
      </w:pPr>
      <w:r>
        <w:t xml:space="preserve">ERPNext-generated invoice has full tax-template control, complete back-references, and fits cleanly into the GL</w:t>
      </w:r>
    </w:p>
    <w:p>
      <w:pPr>
        <w:pStyle w:val="Compact"/>
        <w:numPr>
          <w:ilvl w:val="0"/>
          <w:numId w:val="1130"/>
        </w:numPr>
      </w:pPr>
      <w:r>
        <w:t xml:space="preserve">e-invoice and e-waybill compliance via India Compliance is more reliable than relying on EE’s GST handling</w:t>
      </w:r>
    </w:p>
    <w:p>
      <w:pPr>
        <w:pStyle w:val="Compact"/>
        <w:numPr>
          <w:ilvl w:val="0"/>
          <w:numId w:val="1130"/>
        </w:numPr>
      </w:pPr>
      <w:r>
        <w:t>ERPNext Sales Invoice is the auditor-readable artefact; mirroring an EE invoice introduces lossy translation Branch B exists for edge cases: clients with EE-managed B2B catalogues where EE controls all invoice generation.</w:t>
      </w:r>
    </w:p>
    <w:bookmarkEnd w:id="223"/>
    <w:bookmarkEnd w:id="224"/>
    <w:bookmarkStart w:id="225" w:name="si-to-delivery-completion"/>
    <w:p>
      <w:pPr>
        <w:pStyle w:val="Heading2"/>
      </w:pPr>
      <w:r>
        <w:t xml:space="preserve">11.6 SI to delivery completion</w:t>
      </w:r>
    </w:p>
    <w:p>
      <w:pPr>
        <w:pStyle w:val="Compact"/>
        <w:numPr>
          <w:ilvl w:val="0"/>
          <w:numId w:val="1131"/>
        </w:numPr>
      </w:pPr>
      <w:r>
        <w:t xml:space="preserve">EE dispatch event (post-invoice for Branch A, with-invoice for Branch B) fires confirmation webhook</w:t>
      </w:r>
    </w:p>
    <w:p>
      <w:pPr>
        <w:pStyle w:val="Compact"/>
        <w:numPr>
          <w:ilvl w:val="0"/>
          <w:numId w:val="1131"/>
        </w:numPr>
      </w:pPr>
      <w:r>
        <w:t xml:space="preserve">ERPNext SI moves to Delivered status (custom workflow status; standard SI doesn’t have Delivered)</w:t>
      </w:r>
    </w:p>
    <w:p>
      <w:pPr>
        <w:pStyle w:val="Compact"/>
        <w:numPr>
          <w:ilvl w:val="0"/>
          <w:numId w:val="1131"/>
        </w:numPr>
      </w:pPr>
      <w:r>
        <w:t xml:space="preserve">Stock movement: standard SI mechanism with update_stock = True moves stock from warehouse to outgoing</w:t>
      </w:r>
    </w:p>
    <w:p>
      <w:pPr>
        <w:pStyle w:val="Compact"/>
        <w:numPr>
          <w:ilvl w:val="0"/>
          <w:numId w:val="1131"/>
        </w:numPr>
      </w:pPr>
      <w:r>
        <w:t xml:space="preserve">Stock Reservation Entry is consumed automatically</w:t>
      </w:r>
    </w:p>
    <w:p>
      <w:pPr>
        <w:pStyle w:val="Compact"/>
        <w:numPr>
          <w:ilvl w:val="0"/>
          <w:numId w:val="1131"/>
        </w:numPr>
      </w:pPr>
      <w:r>
        <w:t xml:space="preserve">Outstanding amount on the SI sits in Customer’s debtors account until payment</w:t>
      </w:r>
    </w:p>
    <w:bookmarkEnd w:id="225"/>
    <w:bookmarkStart w:id="226"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32"/>
        </w:numPr>
      </w:pPr>
      <w:r>
        <w:t xml:space="preserve">Pushed as separate EE orders, one per location_key (similar to PO multi-warehouse handling)</w:t>
      </w:r>
    </w:p>
    <w:p>
      <w:pPr>
        <w:pStyle w:val="Compact"/>
        <w:numPr>
          <w:ilvl w:val="0"/>
          <w:numId w:val="1132"/>
        </w:numPr>
      </w:pPr>
      <w:r>
        <w:t xml:space="preserve">Stock reservations and dispatches happen per EE order</w:t>
      </w:r>
    </w:p>
    <w:p>
      <w:pPr>
        <w:pStyle w:val="Compact"/>
        <w:numPr>
          <w:ilvl w:val="0"/>
          <w:numId w:val="1132"/>
        </w:numPr>
      </w:pPr>
      <w:r>
        <w:t xml:space="preserve">Single ERPNext SO; multiple ecs_easyecom_so_mappings tracking each EE order</w:t>
      </w:r>
    </w:p>
    <w:p>
      <w:pPr>
        <w:pStyle w:val="Compact"/>
        <w:numPr>
          <w:ilvl w:val="0"/>
          <w:numId w:val="1132"/>
        </w:numPr>
      </w:pPr>
      <w:r>
        <w:t xml:space="preserve">Single ERPNext SI consolidates the deliveries (or multiple SIs if delivery dates differ)</w:t>
      </w:r>
    </w:p>
    <w:bookmarkEnd w:id="226"/>
    <w:bookmarkStart w:id="227"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7"/>
    <w:bookmarkEnd w:id="228"/>
    <w:bookmarkStart w:id="243"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30"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3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3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3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9"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9"/>
    <w:bookmarkEnd w:id="230"/>
    <w:bookmarkStart w:id="231"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3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3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3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31"/>
    <w:bookmarkStart w:id="234" w:name="manifest-creation-as-the-trigger-event"/>
    <w:p>
      <w:pPr>
        <w:pStyle w:val="Heading2"/>
      </w:pPr>
      <w:r>
        <w:t xml:space="preserve">12.3 Manifest-creation as the trigger event</w:t>
      </w:r>
    </w:p>
    <w:bookmarkStart w:id="232"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32"/>
    <w:bookmarkStart w:id="233" w:name="detection-1"/>
    <w:p>
      <w:pPr>
        <w:pStyle w:val="Heading3"/>
      </w:pPr>
      <w:r>
        <w:t xml:space="preserve">12.3.2 Detection</w:t>
      </w:r>
    </w:p>
    <w:p>
      <w:pPr>
        <w:pStyle w:val="Compact"/>
        <w:numPr>
          <w:ilvl w:val="0"/>
          <w:numId w:val="1135"/>
        </w:numPr>
      </w:pPr>
      <w:r>
        <w:t xml:space="preserve">Polling cron every 5 minutes per operational location (company derived from the location) on /orders/V2/getAllOrders with status filter Manifested or higher</w:t>
      </w:r>
    </w:p>
    <w:p>
      <w:pPr>
        <w:pStyle w:val="Compact"/>
        <w:numPr>
          <w:ilvl w:val="0"/>
          <w:numId w:val="1135"/>
        </w:numPr>
      </w:pPr>
      <w:r>
        <w:t xml:space="preserve">Cursor field last_pull_orders advances on each successful poll</w:t>
      </w:r>
    </w:p>
    <w:p>
      <w:pPr>
        <w:pStyle w:val="Compact"/>
        <w:numPr>
          <w:ilvl w:val="0"/>
          <w:numId w:val="1135"/>
        </w:numPr>
      </w:pPr>
      <w:r>
        <w:t xml:space="preserve">Webhook of type ready_to_dispatch knocks the polling cycle into immediate execution</w:t>
      </w:r>
    </w:p>
    <w:p>
      <w:pPr>
        <w:pStyle w:val="Compact"/>
        <w:numPr>
          <w:ilvl w:val="0"/>
          <w:numId w:val="1135"/>
        </w:numPr>
      </w:pPr>
      <w:r>
        <w:t xml:space="preserve">Webhook of type manifested is the canonical trigger</w:t>
      </w:r>
    </w:p>
    <w:p>
      <w:pPr>
        <w:pStyle w:val="Compact"/>
        <w:numPr>
          <w:ilvl w:val="0"/>
          <w:numId w:val="113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3"/>
    <w:bookmarkEnd w:id="234"/>
    <w:bookmarkStart w:id="235"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5"/>
    <w:bookmarkStart w:id="236"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36"/>
        </w:numPr>
      </w:pPr>
      <w:r>
        <w:t xml:space="preserve">SI rate field comes from EE order line.unit_price</w:t>
      </w:r>
    </w:p>
    <w:p>
      <w:pPr>
        <w:pStyle w:val="Compact"/>
        <w:numPr>
          <w:ilvl w:val="0"/>
          <w:numId w:val="1136"/>
        </w:numPr>
      </w:pPr>
      <w:r>
        <w:t xml:space="preserve">ERPNext catalogue price (Item Price for the relevant Price List) is NOT used for SI generation</w:t>
      </w:r>
    </w:p>
    <w:p>
      <w:pPr>
        <w:pStyle w:val="Compact"/>
        <w:numPr>
          <w:ilvl w:val="0"/>
          <w:numId w:val="1136"/>
        </w:numPr>
      </w:pPr>
      <w:r>
        <w:t xml:space="preserve">Variance between catalogue and actual is captured for the recon engine’s pricing diagnostics (Section 4.6 of the PRD: marketplace algorithmic repricing detection)</w:t>
      </w:r>
    </w:p>
    <w:p>
      <w:pPr>
        <w:pStyle w:val="Compact"/>
        <w:numPr>
          <w:ilvl w:val="0"/>
          <w:numId w:val="1136"/>
        </w:numPr>
      </w:pPr>
      <w:r>
        <w:t xml:space="preserve">Tax computation uses ERPNext Item Tax Template — never EE-supplied tax — to ensure tax correctness</w:t>
      </w:r>
    </w:p>
    <w:bookmarkEnd w:id="236"/>
    <w:bookmarkStart w:id="237" w:name="e-invoice-handling"/>
    <w:p>
      <w:pPr>
        <w:pStyle w:val="Heading2"/>
      </w:pPr>
      <w:r>
        <w:t xml:space="preserve">12.6 e-invoice handling</w:t>
      </w:r>
    </w:p>
    <w:p>
      <w:pPr>
        <w:pStyle w:val="Compact"/>
        <w:numPr>
          <w:ilvl w:val="0"/>
          <w:numId w:val="1137"/>
        </w:numPr>
      </w:pPr>
      <w:r>
        <w:t xml:space="preserve">B2C invoices ≥ ₹50,000 require e-invoice IRN per Indian GST rules</w:t>
      </w:r>
    </w:p>
    <w:p>
      <w:pPr>
        <w:pStyle w:val="Compact"/>
        <w:numPr>
          <w:ilvl w:val="0"/>
          <w:numId w:val="1137"/>
        </w:numPr>
      </w:pPr>
      <w:r>
        <w:t xml:space="preserve">India Compliance app handles IRN generation</w:t>
      </w:r>
    </w:p>
    <w:p>
      <w:pPr>
        <w:pStyle w:val="Compact"/>
        <w:numPr>
          <w:ilvl w:val="0"/>
          <w:numId w:val="1137"/>
        </w:numPr>
      </w:pPr>
      <w:r>
        <w:t xml:space="preserve">Integration triggers IRN generation immediately after SI submit, before EE acknowledgement</w:t>
      </w:r>
    </w:p>
    <w:p>
      <w:pPr>
        <w:pStyle w:val="Compact"/>
        <w:numPr>
          <w:ilvl w:val="0"/>
          <w:numId w:val="1137"/>
        </w:numPr>
      </w:pPr>
      <w:r>
        <w:t xml:space="preserve">If IRN generation fails: SI is in Submitted status with no IRN; FDE alerted; standard India Compliance retry mechanism applies</w:t>
      </w:r>
    </w:p>
    <w:p>
      <w:pPr>
        <w:pStyle w:val="Compact"/>
        <w:numPr>
          <w:ilvl w:val="0"/>
          <w:numId w:val="1137"/>
        </w:numPr>
      </w:pPr>
      <w:r>
        <w:t xml:space="preserve">Below threshold: no IRN required; SI submitted normally</w:t>
      </w:r>
    </w:p>
    <w:bookmarkEnd w:id="237"/>
    <w:bookmarkStart w:id="238" w:name="inventory-accounting"/>
    <w:p>
      <w:pPr>
        <w:pStyle w:val="Heading2"/>
      </w:pPr>
      <w:r>
        <w:t xml:space="preserve">12.7 Inventory accounting</w:t>
      </w:r>
    </w:p>
    <w:p>
      <w:pPr>
        <w:pStyle w:val="Compact"/>
        <w:numPr>
          <w:ilvl w:val="0"/>
          <w:numId w:val="1138"/>
        </w:numPr>
      </w:pPr>
      <w:r>
        <w:t xml:space="preserve">SI created with update_stock = True (so SI movement does the inventory reduction)</w:t>
      </w:r>
    </w:p>
    <w:p>
      <w:pPr>
        <w:pStyle w:val="Compact"/>
        <w:numPr>
          <w:ilvl w:val="0"/>
          <w:numId w:val="1138"/>
        </w:numPr>
      </w:pPr>
      <w:r>
        <w:t xml:space="preserve">Source warehouse: per Source-of-Truth Map for the EE location_key</w:t>
      </w:r>
    </w:p>
    <w:p>
      <w:pPr>
        <w:pStyle w:val="Compact"/>
        <w:numPr>
          <w:ilvl w:val="0"/>
          <w:numId w:val="1138"/>
        </w:numPr>
      </w:pPr>
      <w:r>
        <w:t xml:space="preserve">Stock Ledger Entry deducts inventory at SI valuation</w:t>
      </w:r>
    </w:p>
    <w:p>
      <w:pPr>
        <w:pStyle w:val="Compact"/>
        <w:numPr>
          <w:ilvl w:val="0"/>
          <w:numId w:val="1138"/>
        </w:numPr>
      </w:pPr>
      <w:r>
        <w:t xml:space="preserve">If the SO had an SRE (rare for B2C — usually no SO at all), the SRE is auto-released</w:t>
      </w:r>
    </w:p>
    <w:p>
      <w:pPr>
        <w:pStyle w:val="Compact"/>
        <w:numPr>
          <w:ilvl w:val="0"/>
          <w:numId w:val="1138"/>
        </w:numPr>
      </w:pPr>
      <w:r>
        <w:t xml:space="preserve">For multi-warehouse orders (rare in B2C but possible): one SI with multiple lines each from its own warehouse</w:t>
      </w:r>
    </w:p>
    <w:bookmarkEnd w:id="238"/>
    <w:bookmarkStart w:id="239"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9"/>
        </w:numPr>
      </w:pPr>
      <w:r>
        <w:t xml:space="preserve">Created at SI creation time</w:t>
      </w:r>
    </w:p>
    <w:p>
      <w:pPr>
        <w:pStyle w:val="Compact"/>
        <w:numPr>
          <w:ilvl w:val="0"/>
          <w:numId w:val="1139"/>
        </w:numPr>
      </w:pPr>
      <w:r>
        <w:t xml:space="preserve">Fields: marketplace, marketplace_order_id, channel, marketplace_account, sales_invoice (Link), settlement_status (Forecast / Partial / Settled / Disputed)</w:t>
      </w:r>
    </w:p>
    <w:p>
      <w:pPr>
        <w:pStyle w:val="Compact"/>
        <w:numPr>
          <w:ilvl w:val="0"/>
          <w:numId w:val="1139"/>
        </w:numPr>
      </w:pPr>
      <w:r>
        <w:t xml:space="preserve">Settlement Forecast (per Section 4 of the PRD) is created in parallel against this Map record</w:t>
      </w:r>
    </w:p>
    <w:p>
      <w:pPr>
        <w:pStyle w:val="Compact"/>
        <w:numPr>
          <w:ilvl w:val="0"/>
          <w:numId w:val="1139"/>
        </w:numPr>
      </w:pPr>
      <w:r>
        <w:t xml:space="preserve">When Settlement Lines arrive, recon engine joins on (marketplace, marketplace_order_id) → Marketplace Order Map → Sales Invoice → Settlement Forecast</w:t>
      </w:r>
    </w:p>
    <w:bookmarkEnd w:id="239"/>
    <w:bookmarkStart w:id="240" w:name="variance-and-discrepancy-handling"/>
    <w:p>
      <w:pPr>
        <w:pStyle w:val="Heading2"/>
      </w:pPr>
      <w:r>
        <w:t xml:space="preserve">12.9 Variance and discrepancy handling</w:t>
      </w:r>
    </w:p>
    <w:p>
      <w:pPr>
        <w:pStyle w:val="Compact"/>
        <w:numPr>
          <w:ilvl w:val="0"/>
          <w:numId w:val="1140"/>
        </w:numPr>
      </w:pPr>
      <w:r>
        <w:t xml:space="preserve">EE order amount vs SI total: must match within 1 paisa; mismatch raises Integration Discrepancy</w:t>
      </w:r>
    </w:p>
    <w:p>
      <w:pPr>
        <w:pStyle w:val="Compact"/>
        <w:numPr>
          <w:ilvl w:val="0"/>
          <w:numId w:val="1140"/>
        </w:numPr>
      </w:pPr>
      <w:r>
        <w:t xml:space="preserve">EE-quoted tax vs ERPNext-computed tax: variance &gt; 1% raises Integration Discrepancy of severity Warning (informational; ERPNext tax stands)</w:t>
      </w:r>
    </w:p>
    <w:p>
      <w:pPr>
        <w:pStyle w:val="Compact"/>
        <w:numPr>
          <w:ilvl w:val="0"/>
          <w:numId w:val="114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40"/>
        </w:numPr>
      </w:pPr>
      <w:r>
        <w:t xml:space="preserve">EE order whose channel (marketplace_id) is not yet in the flat Marketplace list or is unclassified: same per-record treatment — Failed Sync Record for that order; FDE classifies the channel and retries</w:t>
      </w:r>
    </w:p>
    <w:bookmarkEnd w:id="240"/>
    <w:bookmarkStart w:id="241" w:name="multi-channel-handling"/>
    <w:p>
      <w:pPr>
        <w:pStyle w:val="Heading2"/>
      </w:pPr>
      <w:r>
        <w:t xml:space="preserve">12.10 Multi-channel handling</w:t>
      </w:r>
    </w:p>
    <w:p>
      <w:pPr>
        <w:pStyle w:val="Compact"/>
        <w:numPr>
          <w:ilvl w:val="0"/>
          <w:numId w:val="1141"/>
        </w:numPr>
      </w:pPr>
      <w:r>
        <w:t xml:space="preserve">Same Item, multiple marketplace listings: handled via marketplace_skus child table on Item</w:t>
      </w:r>
    </w:p>
    <w:p>
      <w:pPr>
        <w:pStyle w:val="Compact"/>
        <w:numPr>
          <w:ilvl w:val="0"/>
          <w:numId w:val="1141"/>
        </w:numPr>
      </w:pPr>
      <w:r>
        <w:t xml:space="preserve">EE returns the marketplace SKU; integration resolves to ERPNext item_code</w:t>
      </w:r>
    </w:p>
    <w:p>
      <w:pPr>
        <w:pStyle w:val="Compact"/>
        <w:numPr>
          <w:ilvl w:val="0"/>
          <w:numId w:val="1141"/>
        </w:numPr>
      </w:pPr>
      <w:r>
        <w:t xml:space="preserve">Channel-specific pricing: not modelled in v1.0 — the EE-supplied actual rate is used (which already reflects channel-specific pricing applied at order time)</w:t>
      </w:r>
    </w:p>
    <w:p>
      <w:pPr>
        <w:pStyle w:val="Compact"/>
        <w:numPr>
          <w:ilvl w:val="0"/>
          <w:numId w:val="114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41"/>
    <w:bookmarkStart w:id="242" w:name="what-this-enables-for-reconciliation-1"/>
    <w:p>
      <w:pPr>
        <w:pStyle w:val="Heading2"/>
      </w:pPr>
      <w:r>
        <w:t xml:space="preserve">12.11 What this enables for reconciliation</w:t>
      </w:r>
    </w:p>
    <w:p>
      <w:pPr>
        <w:pStyle w:val="Compact"/>
        <w:numPr>
          <w:ilvl w:val="0"/>
          <w:numId w:val="1142"/>
        </w:numPr>
      </w:pPr>
      <w:r>
        <w:t xml:space="preserve">Order-to-Settlement reconciliation (PRD Section 9.2.1) needs the SI to exist with ecs_marketplace_order_id populated. The B2C flow’s SI creation at manifest is what produces this.</w:t>
      </w:r>
    </w:p>
    <w:p>
      <w:pPr>
        <w:pStyle w:val="Compact"/>
        <w:numPr>
          <w:ilvl w:val="0"/>
          <w:numId w:val="1142"/>
        </w:numPr>
      </w:pPr>
      <w:r>
        <w:t xml:space="preserve">Settlement Forecast (PRD Section 10.3) is created at SI creation, against the Marketplace Order Map</w:t>
      </w:r>
    </w:p>
    <w:p>
      <w:pPr>
        <w:pStyle w:val="Compact"/>
        <w:numPr>
          <w:ilvl w:val="0"/>
          <w:numId w:val="1142"/>
        </w:numPr>
      </w:pPr>
      <w:r>
        <w:t xml:space="preserve">Net Receivables view (PRD Section 10.3.1) lists open Marketplace Order Map records grouped by marketplace and forecast settlement date</w:t>
      </w:r>
    </w:p>
    <w:p>
      <w:pPr>
        <w:pStyle w:val="Compact"/>
        <w:numPr>
          <w:ilvl w:val="0"/>
          <w:numId w:val="1142"/>
        </w:numPr>
      </w:pPr>
      <w:r>
        <w:t xml:space="preserve">Per-SKU margin breakdown (PRD Section 10.5) joins Settlement Lines to SI line items via the Map</w:t>
      </w:r>
    </w:p>
    <w:bookmarkEnd w:id="242"/>
    <w:bookmarkEnd w:id="243"/>
    <w:bookmarkStart w:id="255"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4"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4"/>
    <w:bookmarkStart w:id="245" w:name="b2b-cancellation-pre-dispatch"/>
    <w:p>
      <w:pPr>
        <w:pStyle w:val="Heading2"/>
      </w:pPr>
      <w:r>
        <w:t xml:space="preserve">13.2 B2B cancellation pre-dispatch</w:t>
      </w:r>
    </w:p>
    <w:p>
      <w:pPr>
        <w:pStyle w:val="Compact"/>
        <w:numPr>
          <w:ilvl w:val="0"/>
          <w:numId w:val="1143"/>
        </w:numPr>
      </w:pPr>
      <w:r>
        <w:t xml:space="preserve">Triggered by: cancellation in EE before any dispatch event</w:t>
      </w:r>
    </w:p>
    <w:p>
      <w:pPr>
        <w:pStyle w:val="Compact"/>
        <w:numPr>
          <w:ilvl w:val="0"/>
          <w:numId w:val="1143"/>
        </w:numPr>
      </w:pPr>
      <w:r>
        <w:t xml:space="preserve">EE webhook order.cancelled or polling detects status change</w:t>
      </w:r>
    </w:p>
    <w:p>
      <w:pPr>
        <w:pStyle w:val="Compact"/>
        <w:numPr>
          <w:ilvl w:val="0"/>
          <w:numId w:val="1143"/>
        </w:numPr>
      </w:pPr>
      <w:r>
        <w:t xml:space="preserve">Resolve EE order ID to ERPNext SO via ecs_easyecom_so_id</w:t>
      </w:r>
    </w:p>
    <w:p>
      <w:pPr>
        <w:pStyle w:val="Compact"/>
        <w:numPr>
          <w:ilvl w:val="0"/>
          <w:numId w:val="1143"/>
        </w:numPr>
      </w:pPr>
      <w:r>
        <w:t xml:space="preserve">If SI not yet generated: cancel the ERPNext SO (move to Cancelled status)</w:t>
      </w:r>
    </w:p>
    <w:p>
      <w:pPr>
        <w:pStyle w:val="Compact"/>
        <w:numPr>
          <w:ilvl w:val="0"/>
          <w:numId w:val="1143"/>
        </w:numPr>
      </w:pPr>
      <w:r>
        <w:t xml:space="preserve">Release the Stock Reservation Entry</w:t>
      </w:r>
    </w:p>
    <w:p>
      <w:pPr>
        <w:pStyle w:val="Compact"/>
        <w:numPr>
          <w:ilvl w:val="0"/>
          <w:numId w:val="1143"/>
        </w:numPr>
      </w:pPr>
      <w:r>
        <w:t xml:space="preserve">If a Sales Invoice was created (Branch A pre-dispatch invoice case): cancel the SI; create reversing journal if SI was already submitted</w:t>
      </w:r>
    </w:p>
    <w:p>
      <w:pPr>
        <w:pStyle w:val="Compact"/>
        <w:numPr>
          <w:ilvl w:val="0"/>
          <w:numId w:val="1143"/>
        </w:numPr>
      </w:pPr>
      <w:r>
        <w:t xml:space="preserve">Notify FDE if cancellation came in unexpectedly late (post-invoice)</w:t>
      </w:r>
    </w:p>
    <w:bookmarkEnd w:id="245"/>
    <w:bookmarkStart w:id="246"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44"/>
        </w:numPr>
      </w:pPr>
      <w:r>
        <w:t xml:space="preserve">EE marks order cancelled and goods en route or at courier</w:t>
      </w:r>
    </w:p>
    <w:p>
      <w:pPr>
        <w:pStyle w:val="Compact"/>
        <w:numPr>
          <w:ilvl w:val="0"/>
          <w:numId w:val="1144"/>
        </w:numPr>
      </w:pPr>
      <w:r>
        <w:t xml:space="preserve">Goods physically return to warehouse, processed via EE return-receipt</w:t>
      </w:r>
    </w:p>
    <w:p>
      <w:pPr>
        <w:pStyle w:val="Compact"/>
        <w:numPr>
          <w:ilvl w:val="0"/>
          <w:numId w:val="1144"/>
        </w:numPr>
      </w:pPr>
      <w:r>
        <w:t xml:space="preserve">Integration creates a Credit Note against the original Sales Invoice in ERPNext</w:t>
      </w:r>
    </w:p>
    <w:p>
      <w:pPr>
        <w:pStyle w:val="Compact"/>
        <w:numPr>
          <w:ilvl w:val="0"/>
          <w:numId w:val="1144"/>
        </w:numPr>
      </w:pPr>
      <w:r>
        <w:t xml:space="preserve">Credit Note carries reverse_stock = True so inventory is added back at the original valuation</w:t>
      </w:r>
    </w:p>
    <w:p>
      <w:pPr>
        <w:pStyle w:val="Compact"/>
        <w:numPr>
          <w:ilvl w:val="0"/>
          <w:numId w:val="1144"/>
        </w:numPr>
      </w:pPr>
      <w:r>
        <w:t xml:space="preserve">Marketplace Order Map status moves to Returned</w:t>
      </w:r>
    </w:p>
    <w:p>
      <w:pPr>
        <w:pStyle w:val="Compact"/>
        <w:numPr>
          <w:ilvl w:val="0"/>
          <w:numId w:val="1144"/>
        </w:numPr>
      </w:pPr>
      <w:r>
        <w:t xml:space="preserve">Recon engine treats this exactly like a marketplace return event</w:t>
      </w:r>
    </w:p>
    <w:bookmarkEnd w:id="246"/>
    <w:bookmarkStart w:id="247" w:name="Xd8d0dcf1ebbc6723e2a02da59d5f04bd881f251"/>
    <w:p>
      <w:pPr>
        <w:pStyle w:val="Heading2"/>
      </w:pPr>
      <w:r>
        <w:t xml:space="preserve">13.4 B2B return (post-delivery, customer-returned goods)</w:t>
      </w:r>
    </w:p>
    <w:p>
      <w:pPr>
        <w:pStyle w:val="Compact"/>
        <w:numPr>
          <w:ilvl w:val="0"/>
          <w:numId w:val="1145"/>
        </w:numPr>
      </w:pPr>
      <w:r>
        <w:t xml:space="preserve">Customer initiates return via the seller’s process or via EE</w:t>
      </w:r>
    </w:p>
    <w:p>
      <w:pPr>
        <w:pStyle w:val="Compact"/>
        <w:numPr>
          <w:ilvl w:val="0"/>
          <w:numId w:val="1145"/>
        </w:numPr>
      </w:pPr>
      <w:r>
        <w:t xml:space="preserve">Return shipment dispatched back to warehouse</w:t>
      </w:r>
    </w:p>
    <w:p>
      <w:pPr>
        <w:pStyle w:val="Compact"/>
        <w:numPr>
          <w:ilvl w:val="0"/>
          <w:numId w:val="1145"/>
        </w:numPr>
      </w:pPr>
      <w:r>
        <w:t xml:space="preserve">EE return-receipt event fires (with quality inspection results)</w:t>
      </w:r>
    </w:p>
    <w:p>
      <w:pPr>
        <w:pStyle w:val="Compact"/>
        <w:numPr>
          <w:ilvl w:val="0"/>
          <w:numId w:val="1145"/>
        </w:numPr>
      </w:pPr>
      <w:r>
        <w:t xml:space="preserve">Integration creates a Sales Return (Sales Invoice with is_return = True) referencing the original SI</w:t>
      </w:r>
    </w:p>
    <w:p>
      <w:pPr>
        <w:pStyle w:val="Compact"/>
        <w:numPr>
          <w:ilvl w:val="0"/>
          <w:numId w:val="1145"/>
        </w:numPr>
      </w:pPr>
      <w:r>
        <w:t xml:space="preserve">Stock returned to source warehouse OR to a quarantine warehouse (configurable)</w:t>
      </w:r>
    </w:p>
    <w:p>
      <w:pPr>
        <w:pStyle w:val="Compact"/>
        <w:numPr>
          <w:ilvl w:val="0"/>
          <w:numId w:val="1145"/>
        </w:numPr>
      </w:pPr>
      <w:r>
        <w:t xml:space="preserve">Refund process handled via Payment Entry — the SR creates a debit balance, payment entry clears it</w:t>
      </w:r>
    </w:p>
    <w:p>
      <w:pPr>
        <w:pStyle w:val="Compact"/>
        <w:numPr>
          <w:ilvl w:val="0"/>
          <w:numId w:val="1145"/>
        </w:numPr>
      </w:pPr>
      <w:r>
        <w:t xml:space="preserve">Quality-failed items: rejected_qty pattern routes them to Rejected Warehouse instead of standard return location</w:t>
      </w:r>
    </w:p>
    <w:bookmarkEnd w:id="247"/>
    <w:bookmarkStart w:id="248"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46"/>
        </w:numPr>
      </w:pPr>
      <w:r>
        <w:t xml:space="preserve">Polling continues to fetch order list; cancelled orders are filtered out from the manifest poll</w:t>
      </w:r>
    </w:p>
    <w:p>
      <w:pPr>
        <w:pStyle w:val="Compact"/>
        <w:numPr>
          <w:ilvl w:val="0"/>
          <w:numId w:val="1146"/>
        </w:numPr>
      </w:pPr>
      <w:r>
        <w:t xml:space="preserve">If a cancelled order’s SI was somehow created (shouldn’t happen but safety check): integration detects mismatch and raises Integration Discrepancy</w:t>
      </w:r>
    </w:p>
    <w:bookmarkEnd w:id="248"/>
    <w:bookmarkStart w:id="249" w:name="b2c-cancellation-post-manifest"/>
    <w:p>
      <w:pPr>
        <w:pStyle w:val="Heading2"/>
      </w:pPr>
      <w:r>
        <w:t xml:space="preserve">13.6 B2C cancellation post-manifest</w:t>
      </w:r>
    </w:p>
    <w:p>
      <w:pPr>
        <w:pStyle w:val="Compact"/>
        <w:numPr>
          <w:ilvl w:val="0"/>
          <w:numId w:val="1147"/>
        </w:numPr>
      </w:pPr>
      <w:r>
        <w:t xml:space="preserve">EE order is post-manifest (so SI exists in ERPNext) but cancelled before customer accepts delivery</w:t>
      </w:r>
    </w:p>
    <w:p>
      <w:pPr>
        <w:pStyle w:val="Compact"/>
        <w:numPr>
          <w:ilvl w:val="0"/>
          <w:numId w:val="1147"/>
        </w:numPr>
      </w:pPr>
      <w:r>
        <w:t xml:space="preserve">Common case: courier-side RTO before delivery</w:t>
      </w:r>
    </w:p>
    <w:p>
      <w:pPr>
        <w:pStyle w:val="Compact"/>
        <w:numPr>
          <w:ilvl w:val="0"/>
          <w:numId w:val="1147"/>
        </w:numPr>
      </w:pPr>
      <w:r>
        <w:t xml:space="preserve">EE return-receipt event fires (RTO)</w:t>
      </w:r>
    </w:p>
    <w:p>
      <w:pPr>
        <w:pStyle w:val="Compact"/>
        <w:numPr>
          <w:ilvl w:val="0"/>
          <w:numId w:val="1147"/>
        </w:numPr>
      </w:pPr>
      <w:r>
        <w:t xml:space="preserve">Integration creates Credit Note against the SI in ERPNext</w:t>
      </w:r>
    </w:p>
    <w:p>
      <w:pPr>
        <w:pStyle w:val="Compact"/>
        <w:numPr>
          <w:ilvl w:val="0"/>
          <w:numId w:val="1147"/>
        </w:numPr>
      </w:pPr>
      <w:r>
        <w:t xml:space="preserve">Credit Note has reverse_stock = True; stock returns to warehouse at original valuation</w:t>
      </w:r>
    </w:p>
    <w:p>
      <w:pPr>
        <w:pStyle w:val="Compact"/>
        <w:numPr>
          <w:ilvl w:val="0"/>
          <w:numId w:val="1147"/>
        </w:numPr>
      </w:pPr>
      <w:r>
        <w:t xml:space="preserve">Marketplace Order Map status: Cancelled-RTO</w:t>
      </w:r>
    </w:p>
    <w:p>
      <w:pPr>
        <w:pStyle w:val="Compact"/>
        <w:numPr>
          <w:ilvl w:val="0"/>
          <w:numId w:val="1147"/>
        </w:numPr>
      </w:pPr>
      <w:r>
        <w:t xml:space="preserve">This event correlates to settlement file Refund event from the marketplace — recon engine matches via marketplace_order_id</w:t>
      </w:r>
    </w:p>
    <w:bookmarkEnd w:id="249"/>
    <w:bookmarkStart w:id="250" w:name="b2c-return-post-delivery"/>
    <w:p>
      <w:pPr>
        <w:pStyle w:val="Heading2"/>
      </w:pPr>
      <w:r>
        <w:t xml:space="preserve">13.7 B2C return (post-delivery)</w:t>
      </w:r>
    </w:p>
    <w:p>
      <w:pPr>
        <w:pStyle w:val="Compact"/>
        <w:numPr>
          <w:ilvl w:val="0"/>
          <w:numId w:val="1148"/>
        </w:numPr>
      </w:pPr>
      <w:r>
        <w:t xml:space="preserve">Customer returns the product to the marketplace; marketplace ships back to seller’s warehouse</w:t>
      </w:r>
    </w:p>
    <w:p>
      <w:pPr>
        <w:pStyle w:val="Compact"/>
        <w:numPr>
          <w:ilvl w:val="0"/>
          <w:numId w:val="1148"/>
        </w:numPr>
      </w:pPr>
      <w:r>
        <w:t xml:space="preserve">EE return-receipt event with return_reason and inspection result</w:t>
      </w:r>
    </w:p>
    <w:p>
      <w:pPr>
        <w:pStyle w:val="Compact"/>
        <w:numPr>
          <w:ilvl w:val="0"/>
          <w:numId w:val="1148"/>
        </w:numPr>
      </w:pPr>
      <w:r>
        <w:t xml:space="preserve">Integration creates a Sales Return referencing the original SI</w:t>
      </w:r>
    </w:p>
    <w:p>
      <w:pPr>
        <w:pStyle w:val="Compact"/>
        <w:numPr>
          <w:ilvl w:val="0"/>
          <w:numId w:val="1148"/>
        </w:numPr>
      </w:pPr>
      <w:r>
        <w:t xml:space="preserve">Stock impact: depends on inspection result</w:t>
      </w:r>
    </w:p>
    <w:p>
      <w:pPr>
        <w:pStyle w:val="Compact"/>
        <w:numPr>
          <w:ilvl w:val="0"/>
          <w:numId w:val="1149"/>
        </w:numPr>
      </w:pPr>
      <w:r>
        <w:t xml:space="preserve">Accepted returns: stock back to default warehouse at original valuation</w:t>
      </w:r>
    </w:p>
    <w:p>
      <w:pPr>
        <w:pStyle w:val="Compact"/>
        <w:numPr>
          <w:ilvl w:val="0"/>
          <w:numId w:val="1149"/>
        </w:numPr>
      </w:pPr>
      <w:r>
        <w:t xml:space="preserve">Damaged returns: stock to a Damaged Returns Warehouse (configurable)</w:t>
      </w:r>
    </w:p>
    <w:p>
      <w:pPr>
        <w:pStyle w:val="Compact"/>
        <w:numPr>
          <w:ilvl w:val="0"/>
          <w:numId w:val="1149"/>
        </w:numPr>
      </w:pPr>
      <w:r>
        <w:t xml:space="preserve">Refused / lost returns: NO stock back; ERPNext Sales Return shows zero qty; financial reversal proceeds; an Integration Discrepancy of type Return-Without-Goods-Receipt is raised — see PRD Section 9.2.3</w:t>
      </w:r>
    </w:p>
    <w:bookmarkEnd w:id="250"/>
    <w:bookmarkStart w:id="251"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50"/>
        </w:numPr>
      </w:pPr>
      <w:r>
        <w:t xml:space="preserve">Detected by integration: settlement file shows Refund event; no corresponding EE return-receipt within configurable threshold (default 30 days)</w:t>
      </w:r>
    </w:p>
    <w:p>
      <w:pPr>
        <w:pStyle w:val="Compact"/>
        <w:numPr>
          <w:ilvl w:val="0"/>
          <w:numId w:val="1150"/>
        </w:numPr>
      </w:pPr>
      <w:r>
        <w:t xml:space="preserve">Integration raises an Integration Discrepancy of severity Error</w:t>
      </w:r>
    </w:p>
    <w:p>
      <w:pPr>
        <w:pStyle w:val="Compact"/>
        <w:numPr>
          <w:ilvl w:val="0"/>
          <w:numId w:val="1150"/>
        </w:numPr>
      </w:pPr>
      <w:r>
        <w:t xml:space="preserve">Recon engine creates a corresponding Discrepancy for FDE-led claim filing with the marketplace</w:t>
      </w:r>
    </w:p>
    <w:p>
      <w:pPr>
        <w:pStyle w:val="Compact"/>
        <w:numPr>
          <w:ilvl w:val="0"/>
          <w:numId w:val="1150"/>
        </w:numPr>
      </w:pPr>
      <w:r>
        <w:t xml:space="preserve">Methodology default (per PRD Section 3.5): unreceived returns past 30 days are reclassified as Lost Inventory and posted to Shrinkage account</w:t>
      </w:r>
    </w:p>
    <w:bookmarkEnd w:id="251"/>
    <w:bookmarkStart w:id="252" w:name="refund-accounting"/>
    <w:p>
      <w:pPr>
        <w:pStyle w:val="Heading2"/>
      </w:pPr>
      <w:r>
        <w:t xml:space="preserve">13.9 Refund accounting</w:t>
      </w:r>
    </w:p>
    <w:p>
      <w:pPr>
        <w:pStyle w:val="Compact"/>
        <w:numPr>
          <w:ilvl w:val="0"/>
          <w:numId w:val="1151"/>
        </w:numPr>
      </w:pPr>
      <w:r>
        <w:t xml:space="preserve">Credit Note creates a debit balance in the Customer (or pseudo-customer) account</w:t>
      </w:r>
    </w:p>
    <w:p>
      <w:pPr>
        <w:pStyle w:val="Compact"/>
        <w:numPr>
          <w:ilvl w:val="0"/>
          <w:numId w:val="1151"/>
        </w:numPr>
      </w:pPr>
      <w:r>
        <w:t xml:space="preserve">Refund settled via Payment Entry: the marketplace’s settlement file Refund event maps to a payment outflow that clears the debit</w:t>
      </w:r>
    </w:p>
    <w:p>
      <w:pPr>
        <w:pStyle w:val="Compact"/>
        <w:numPr>
          <w:ilvl w:val="0"/>
          <w:numId w:val="1151"/>
        </w:numPr>
      </w:pPr>
      <w:r>
        <w:t xml:space="preserve">For B2C: the marketplace handles refund to buyer; the seller’s books only show Customer Refund Payable until the settlement deduction</w:t>
      </w:r>
    </w:p>
    <w:p>
      <w:pPr>
        <w:pStyle w:val="Compact"/>
        <w:numPr>
          <w:ilvl w:val="0"/>
          <w:numId w:val="1151"/>
        </w:numPr>
      </w:pPr>
      <w:r>
        <w:t xml:space="preserve">For B2B: refund processed directly to customer via Payment Entry against the SR’s outstanding</w:t>
      </w:r>
    </w:p>
    <w:bookmarkEnd w:id="252"/>
    <w:bookmarkStart w:id="253"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52"/>
        </w:numPr>
      </w:pPr>
      <w:r>
        <w:t xml:space="preserve">ecs_easyecom_event_type — cancellation_pre_dispatch / cancellation_post_dispatch / return / rto</w:t>
      </w:r>
    </w:p>
    <w:p>
      <w:pPr>
        <w:pStyle w:val="Compact"/>
        <w:numPr>
          <w:ilvl w:val="0"/>
          <w:numId w:val="1152"/>
        </w:numPr>
      </w:pPr>
      <w:r>
        <w:t xml:space="preserve">ecs_easyecom_event_id — the EE event ID</w:t>
      </w:r>
    </w:p>
    <w:p>
      <w:pPr>
        <w:pStyle w:val="Compact"/>
        <w:numPr>
          <w:ilvl w:val="0"/>
          <w:numId w:val="1152"/>
        </w:numPr>
      </w:pPr>
      <w:r>
        <w:t xml:space="preserve">ecs_original_sales_invoice — link to the SI (for SR or CN)</w:t>
      </w:r>
    </w:p>
    <w:p>
      <w:pPr>
        <w:pStyle w:val="Compact"/>
        <w:numPr>
          <w:ilvl w:val="0"/>
          <w:numId w:val="1152"/>
        </w:numPr>
      </w:pPr>
      <w:r>
        <w:t xml:space="preserve">ecs_original_sales_order — link to the SO (for B2B)</w:t>
      </w:r>
    </w:p>
    <w:p>
      <w:pPr>
        <w:pStyle w:val="Compact"/>
        <w:numPr>
          <w:ilvl w:val="0"/>
          <w:numId w:val="1152"/>
        </w:numPr>
      </w:pPr>
      <w:r>
        <w:t xml:space="preserve">ecs_easyecom_return_reason — verbatim reason text from EE</w:t>
      </w:r>
    </w:p>
    <w:p>
      <w:pPr>
        <w:pStyle w:val="Compact"/>
        <w:numPr>
          <w:ilvl w:val="0"/>
          <w:numId w:val="1152"/>
        </w:numPr>
      </w:pPr>
      <w:r>
        <w:t xml:space="preserve">ecs_inspection_result — accepted / damaged / refused / lost</w:t>
      </w:r>
    </w:p>
    <w:bookmarkEnd w:id="253"/>
    <w:bookmarkStart w:id="254"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53"/>
        </w:numPr>
      </w:pPr>
      <w:r>
        <w:t xml:space="preserve">B2B SR → no settlement file involvement (B2B is not on marketplace)</w:t>
      </w:r>
    </w:p>
    <w:p>
      <w:pPr>
        <w:pStyle w:val="Compact"/>
        <w:numPr>
          <w:ilvl w:val="0"/>
          <w:numId w:val="1153"/>
        </w:numPr>
      </w:pPr>
      <w:r>
        <w:t xml:space="preserve">B2C Credit Note (post-manifest cancellation, RTO) → marketplace Settlement Line of type Refund or RTO-Charge</w:t>
      </w:r>
    </w:p>
    <w:p>
      <w:pPr>
        <w:pStyle w:val="Compact"/>
        <w:numPr>
          <w:ilvl w:val="0"/>
          <w:numId w:val="1153"/>
        </w:numPr>
      </w:pPr>
      <w:r>
        <w:t xml:space="preserve">B2C Sales Return (customer return) → marketplace Settlement Line of type Refund + Return-Commission-Reversal</w:t>
      </w:r>
    </w:p>
    <w:p>
      <w:pPr>
        <w:pStyle w:val="Compact"/>
        <w:numPr>
          <w:ilvl w:val="0"/>
          <w:numId w:val="1153"/>
        </w:numPr>
      </w:pPr>
      <w:r>
        <w:t xml:space="preserve">Settlement Line carries marketplace_return_id; recon engine joins on this to find the matching ERPNext artefact</w:t>
      </w:r>
    </w:p>
    <w:p>
      <w:pPr>
        <w:pStyle w:val="Compact"/>
        <w:numPr>
          <w:ilvl w:val="0"/>
          <w:numId w:val="1153"/>
        </w:numPr>
      </w:pPr>
      <w:r>
        <w:t xml:space="preserve">Mismatched cases (SR exists but no settlement event, or vice versa) become reconciliation Discrepancies of the Return Without Credit Note or Return Marked Goods Not Received types per PRD Section 9.2.3</w:t>
      </w:r>
    </w:p>
    <w:bookmarkEnd w:id="254"/>
    <w:bookmarkEnd w:id="255"/>
    <w:bookmarkStart w:id="256"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6"/>
    <w:bookmarkStart w:id="265"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7" w:name="the-topology-one-model"/>
    <w:p>
      <w:pPr>
        <w:pStyle w:val="Heading2"/>
      </w:pPr>
      <w:r>
        <w:t xml:space="preserve">14.1 The topology (one model)</w:t>
      </w:r>
    </w:p>
    <w:p>
      <w:pPr>
        <w:pStyle w:val="Compact"/>
        <w:numPr>
          <w:ilvl w:val="0"/>
          <w:numId w:val="115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5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5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5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5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5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7"/>
    <w:bookmarkStart w:id="258" w:name="per-company-isolation"/>
    <w:p>
      <w:pPr>
        <w:pStyle w:val="Heading2"/>
      </w:pPr>
      <w:r>
        <w:t xml:space="preserve">14.2 Per-Company isolation</w:t>
      </w:r>
    </w:p>
    <w:p>
      <w:pPr>
        <w:pStyle w:val="Compact"/>
        <w:numPr>
          <w:ilvl w:val="0"/>
          <w:numId w:val="1155"/>
        </w:numPr>
      </w:pPr>
      <w:r>
        <w:t xml:space="preserve">EasyEcom Account: one per deployment; holds credentials and account-wide configuration.</w:t>
      </w:r>
    </w:p>
    <w:p>
      <w:pPr>
        <w:pStyle w:val="Compact"/>
        <w:numPr>
          <w:ilvl w:val="0"/>
          <w:numId w:val="1155"/>
        </w:numPr>
      </w:pPr>
      <w:r>
        <w:t xml:space="preserve">Per-Company settings record: one per operational Company; holds alert recipients, assigned FDE, and per-Company overrides.</w:t>
      </w:r>
    </w:p>
    <w:p>
      <w:pPr>
        <w:pStyle w:val="Compact"/>
        <w:numPr>
          <w:ilvl w:val="0"/>
          <w:numId w:val="1155"/>
        </w:numPr>
      </w:pPr>
      <w:r>
        <w:t xml:space="preserve">EasyEcom Location: one per location_key; carries frappe_company (nullable, non-unique) resolving the location to its Company.</w:t>
      </w:r>
    </w:p>
    <w:p>
      <w:pPr>
        <w:pStyle w:val="Compact"/>
        <w:numPr>
          <w:ilvl w:val="0"/>
          <w:numId w:val="1155"/>
        </w:numPr>
      </w:pPr>
      <w:r>
        <w:t xml:space="preserve">Marketplace Account: per Company. Composite unique key (company, marketplace, marketplace_seller_id).</w:t>
      </w:r>
    </w:p>
    <w:p>
      <w:pPr>
        <w:pStyle w:val="Compact"/>
        <w:numPr>
          <w:ilvl w:val="0"/>
          <w:numId w:val="115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55"/>
        </w:numPr>
      </w:pPr>
      <w:r>
        <w:t xml:space="preserve">All Frappe queries in the integration filter by company explicitly — never reliant on global session state.</w:t>
      </w:r>
    </w:p>
    <w:p>
      <w:pPr>
        <w:pStyle w:val="Compact"/>
        <w:numPr>
          <w:ilvl w:val="0"/>
          <w:numId w:val="1155"/>
        </w:numPr>
      </w:pPr>
      <w:r>
        <w:t xml:space="preserve">Database-level: every operational table is indexed on (company, …) as the leading composite key for query performance and isolation.</w:t>
      </w:r>
    </w:p>
    <w:p>
      <w:pPr>
        <w:pStyle w:val="Compact"/>
        <w:numPr>
          <w:ilvl w:val="0"/>
          <w:numId w:val="1155"/>
        </w:numPr>
      </w:pPr>
      <w:r>
        <w:t xml:space="preserve">User Permissions ensure a Company A user cannot see Company B sync state or sync logs.</w:t>
      </w:r>
    </w:p>
    <w:bookmarkEnd w:id="258"/>
    <w:bookmarkStart w:id="259"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9"/>
    <w:bookmarkStart w:id="260"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60"/>
    <w:bookmarkStart w:id="261" w:name="cross-company-transfers"/>
    <w:p>
      <w:pPr>
        <w:pStyle w:val="Heading2"/>
      </w:pPr>
      <w:r>
        <w:t xml:space="preserve">14.5 Cross-Company transfers</w:t>
      </w:r>
    </w:p>
    <w:p>
      <w:pPr>
        <w:pStyle w:val="Compact"/>
        <w:numPr>
          <w:ilvl w:val="0"/>
          <w:numId w:val="1156"/>
        </w:numPr>
      </w:pPr>
      <w:r>
        <w:t xml:space="preserve">Stock movements crossing Company boundaries use ERPNext’s Inter-Company flow (Sales Invoice on selling Company + Purchase Invoice on receiving Company)</w:t>
      </w:r>
    </w:p>
    <w:p>
      <w:pPr>
        <w:pStyle w:val="Compact"/>
        <w:numPr>
          <w:ilvl w:val="0"/>
          <w:numId w:val="1156"/>
        </w:numPr>
      </w:pPr>
      <w:r>
        <w:t xml:space="preserve">Each Company’s side independently applies the integration based on its Source-of-Truth Map</w:t>
      </w:r>
    </w:p>
    <w:p>
      <w:pPr>
        <w:pStyle w:val="Compact"/>
        <w:numPr>
          <w:ilvl w:val="0"/>
          <w:numId w:val="115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56"/>
        </w:numPr>
      </w:pPr>
      <w:r>
        <w:t xml:space="preserve">Correlation: ecs_intercompany_link field on both the SI and PI carries the same UUID so the two halves can be correlated</w:t>
      </w:r>
    </w:p>
    <w:bookmarkEnd w:id="261"/>
    <w:bookmarkStart w:id="262" w:name="gst-registration-per-company"/>
    <w:p>
      <w:pPr>
        <w:pStyle w:val="Heading2"/>
      </w:pPr>
      <w:r>
        <w:t xml:space="preserve">14.6 GST registration per Company</w:t>
      </w:r>
    </w:p>
    <w:p>
      <w:pPr>
        <w:pStyle w:val="Compact"/>
        <w:numPr>
          <w:ilvl w:val="0"/>
          <w:numId w:val="1157"/>
        </w:numPr>
      </w:pPr>
      <w:r>
        <w:t xml:space="preserve">Each Company has its own GSTINs (one per state of registration via India Compliance)</w:t>
      </w:r>
    </w:p>
    <w:p>
      <w:pPr>
        <w:pStyle w:val="Compact"/>
        <w:numPr>
          <w:ilvl w:val="0"/>
          <w:numId w:val="1157"/>
        </w:numPr>
      </w:pPr>
      <w:r>
        <w:t xml:space="preserve">Each Marketplace Account holds the relevant GSTIN for the seller account</w:t>
      </w:r>
    </w:p>
    <w:p>
      <w:pPr>
        <w:pStyle w:val="Compact"/>
        <w:numPr>
          <w:ilvl w:val="0"/>
          <w:numId w:val="1157"/>
        </w:numPr>
      </w:pPr>
      <w:r>
        <w:t xml:space="preserve">Tax categories and place-of-supply rules apply per-Company</w:t>
      </w:r>
    </w:p>
    <w:p>
      <w:pPr>
        <w:pStyle w:val="Compact"/>
        <w:numPr>
          <w:ilvl w:val="0"/>
          <w:numId w:val="1157"/>
        </w:numPr>
      </w:pPr>
      <w:r>
        <w:t xml:space="preserve">e-invoice and e-waybill issuance is scoped to the Company’s GSTIN</w:t>
      </w:r>
    </w:p>
    <w:bookmarkEnd w:id="262"/>
    <w:bookmarkStart w:id="263" w:name="fde-assignment"/>
    <w:p>
      <w:pPr>
        <w:pStyle w:val="Heading2"/>
      </w:pPr>
      <w:r>
        <w:t xml:space="preserve">14.7 FDE assignment</w:t>
      </w:r>
    </w:p>
    <w:p>
      <w:pPr>
        <w:pStyle w:val="Compact"/>
        <w:numPr>
          <w:ilvl w:val="0"/>
          <w:numId w:val="1158"/>
        </w:numPr>
      </w:pPr>
      <w:r>
        <w:t xml:space="preserve">Each operational Company has an assigned_fde field (Link to User) on its per-Company settings record — drives auto-routing of Discrepancy creation</w:t>
      </w:r>
    </w:p>
    <w:p>
      <w:pPr>
        <w:pStyle w:val="Compact"/>
        <w:numPr>
          <w:ilvl w:val="0"/>
          <w:numId w:val="1158"/>
        </w:numPr>
      </w:pPr>
      <w:r>
        <w:t xml:space="preserve">FDEs see only their assigned Companies in standard list views (User Permissions enforce this)</w:t>
      </w:r>
    </w:p>
    <w:p>
      <w:pPr>
        <w:pStyle w:val="Compact"/>
        <w:numPr>
          <w:ilvl w:val="0"/>
          <w:numId w:val="1158"/>
        </w:numPr>
      </w:pPr>
      <w:r>
        <w:t xml:space="preserve">System Manager bypasses per-Company FDE assignment for cross-Company views</w:t>
      </w:r>
    </w:p>
    <w:p>
      <w:pPr>
        <w:pStyle w:val="Compact"/>
        <w:numPr>
          <w:ilvl w:val="0"/>
          <w:numId w:val="1158"/>
        </w:numPr>
      </w:pPr>
      <w:r>
        <w:t xml:space="preserve">Workload metrics computed per-FDE: count of assigned Companies × open-discrepancy-weight (Section 22.6)</w:t>
      </w:r>
    </w:p>
    <w:bookmarkEnd w:id="263"/>
    <w:bookmarkStart w:id="264"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4"/>
    <w:bookmarkEnd w:id="265"/>
    <w:bookmarkStart w:id="273"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6"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6"/>
    <w:bookmarkStart w:id="267"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7"/>
    <w:bookmarkStart w:id="268" w:name="buying-flow-failures"/>
    <w:p>
      <w:pPr>
        <w:pStyle w:val="Heading2"/>
      </w:pPr>
      <w:r>
        <w:t xml:space="preserve">15.3 Buying flow failures</w:t>
      </w:r>
    </w:p>
    <w:p>
      <w:pPr>
        <w:pStyle w:val="Compact"/>
        <w:numPr>
          <w:ilvl w:val="0"/>
          <w:numId w:val="1159"/>
        </w:numPr>
      </w:pPr>
      <w:r>
        <w:t xml:space="preserve">PO push fails (precondition unmet) — fix master sync and resubmit</w:t>
      </w:r>
    </w:p>
    <w:p>
      <w:pPr>
        <w:pStyle w:val="Compact"/>
        <w:numPr>
          <w:ilvl w:val="0"/>
          <w:numId w:val="1159"/>
        </w:numPr>
      </w:pPr>
      <w:r>
        <w:t xml:space="preserve">PO push fails (EE rejects post-validation) — inspect Queue Job; usually master mismatch; FDE corrects and retries</w:t>
      </w:r>
    </w:p>
    <w:p>
      <w:pPr>
        <w:pStyle w:val="Compact"/>
        <w:numPr>
          <w:ilvl w:val="0"/>
          <w:numId w:val="1159"/>
        </w:numPr>
      </w:pPr>
      <w:r>
        <w:t xml:space="preserve">GRN webhook missed — automatic catch-up via 30-min poll</w:t>
      </w:r>
    </w:p>
    <w:p>
      <w:pPr>
        <w:pStyle w:val="Compact"/>
        <w:numPr>
          <w:ilvl w:val="0"/>
          <w:numId w:val="1159"/>
        </w:numPr>
      </w:pPr>
      <w:r>
        <w:t xml:space="preserve">GRN ingestion partial-failure (PR built but submit failed) — fix root cause (often account configuration), retry the Queue Job</w:t>
      </w:r>
    </w:p>
    <w:p>
      <w:pPr>
        <w:pStyle w:val="Compact"/>
        <w:numPr>
          <w:ilvl w:val="0"/>
          <w:numId w:val="1159"/>
        </w:numPr>
      </w:pPr>
      <w:r>
        <w:t xml:space="preserve">Out-of-order: GRN arrives before EE PO is fully created — Queue Job loops up to 6 times waiting; manual investigation if persistent</w:t>
      </w:r>
    </w:p>
    <w:p>
      <w:pPr>
        <w:pStyle w:val="Compact"/>
        <w:numPr>
          <w:ilvl w:val="0"/>
          <w:numId w:val="1159"/>
        </w:numPr>
      </w:pPr>
      <w:r>
        <w:t xml:space="preserve">Over-receipt — fail PR submission; FDE amends PO or splits the GRN</w:t>
      </w:r>
    </w:p>
    <w:bookmarkEnd w:id="268"/>
    <w:bookmarkStart w:id="269" w:name="sales-flow-failures"/>
    <w:p>
      <w:pPr>
        <w:pStyle w:val="Heading2"/>
      </w:pPr>
      <w:r>
        <w:t xml:space="preserve">15.4 Sales flow failures</w:t>
      </w:r>
    </w:p>
    <w:p>
      <w:pPr>
        <w:pStyle w:val="Compact"/>
        <w:numPr>
          <w:ilvl w:val="0"/>
          <w:numId w:val="1160"/>
        </w:numPr>
      </w:pPr>
      <w:r>
        <w:t xml:space="preserve">B2B SO push fails (Sync mode) — user sees error immediately; fix and resubmit</w:t>
      </w:r>
    </w:p>
    <w:p>
      <w:pPr>
        <w:pStyle w:val="Compact"/>
        <w:numPr>
          <w:ilvl w:val="0"/>
          <w:numId w:val="1160"/>
        </w:numPr>
      </w:pPr>
      <w:r>
        <w:t xml:space="preserve">B2B SO push fails (Async mode) — Queue Job in Failed; FDE inspects, fixes, retries; meanwhile SO is valid in ERPNext but EE doesn’t know</w:t>
      </w:r>
    </w:p>
    <w:p>
      <w:pPr>
        <w:pStyle w:val="Compact"/>
        <w:numPr>
          <w:ilvl w:val="0"/>
          <w:numId w:val="1160"/>
        </w:numPr>
      </w:pPr>
      <w:r>
        <w:t xml:space="preserve">B2B inventory reserve event mismatch — ERPNext shows lower available than EE expects; SRE creation fails; FDE investigates inventory drift</w:t>
      </w:r>
    </w:p>
    <w:p>
      <w:pPr>
        <w:pStyle w:val="Compact"/>
        <w:numPr>
          <w:ilvl w:val="0"/>
          <w:numId w:val="1160"/>
        </w:numPr>
      </w:pPr>
      <w:r>
        <w:t xml:space="preserve">B2C manifest event without a matching order in our pull cache — pull orders explicitly first, then process the manifest</w:t>
      </w:r>
    </w:p>
    <w:p>
      <w:pPr>
        <w:pStyle w:val="Compact"/>
        <w:numPr>
          <w:ilvl w:val="0"/>
          <w:numId w:val="1160"/>
        </w:numPr>
      </w:pPr>
      <w:r>
        <w:t xml:space="preserve">B2C SI creation fails (item not synced) — fix sync, retry Queue Job; meanwhile EE has already dispatched, so the SI will lag dispatch</w:t>
      </w:r>
    </w:p>
    <w:p>
      <w:pPr>
        <w:pStyle w:val="Compact"/>
        <w:numPr>
          <w:ilvl w:val="0"/>
          <w:numId w:val="1160"/>
        </w:numPr>
      </w:pPr>
      <w:r>
        <w:t xml:space="preserve">e-invoice IRN failure — India Compliance auto-retries; FDE investigates if persistent (often IRP API issues)</w:t>
      </w:r>
    </w:p>
    <w:bookmarkEnd w:id="269"/>
    <w:bookmarkStart w:id="270" w:name="returns-and-cancellations-failures"/>
    <w:p>
      <w:pPr>
        <w:pStyle w:val="Heading2"/>
      </w:pPr>
      <w:r>
        <w:t xml:space="preserve">15.5 Returns and cancellations failures</w:t>
      </w:r>
    </w:p>
    <w:p>
      <w:pPr>
        <w:pStyle w:val="Compact"/>
        <w:numPr>
          <w:ilvl w:val="0"/>
          <w:numId w:val="1161"/>
        </w:numPr>
      </w:pPr>
      <w:r>
        <w:t xml:space="preserve">Cancellation arrives but original SO/SI not in ERPNext — out-of-order; loop with retries</w:t>
      </w:r>
    </w:p>
    <w:p>
      <w:pPr>
        <w:pStyle w:val="Compact"/>
        <w:numPr>
          <w:ilvl w:val="0"/>
          <w:numId w:val="1161"/>
        </w:numPr>
      </w:pPr>
      <w:r>
        <w:t xml:space="preserve">SR creation fails — usually Item-level setting mismatch (batch tracking, etc.); fix and retry</w:t>
      </w:r>
    </w:p>
    <w:p>
      <w:pPr>
        <w:pStyle w:val="Compact"/>
        <w:numPr>
          <w:ilvl w:val="0"/>
          <w:numId w:val="1161"/>
        </w:numPr>
      </w:pPr>
      <w:r>
        <w:t xml:space="preserve">Return-without-goods — not a failure but a Discrepancy; recon engine routes to claim queue per PRD Section 9.4</w:t>
      </w:r>
    </w:p>
    <w:p>
      <w:pPr>
        <w:pStyle w:val="Compact"/>
        <w:numPr>
          <w:ilvl w:val="0"/>
          <w:numId w:val="1161"/>
        </w:numPr>
      </w:pPr>
      <w:r>
        <w:t xml:space="preserve">Refund Payment Entry fails — usually account configuration; fix and retry</w:t>
      </w:r>
    </w:p>
    <w:bookmarkEnd w:id="270"/>
    <w:bookmarkStart w:id="271"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62"/>
        </w:numPr>
      </w:pPr>
      <w:r>
        <w:t xml:space="preserve">Daily full inventory pull from EasyEcom (/inventory/getInventoryDetailsV3)</w:t>
      </w:r>
    </w:p>
    <w:p>
      <w:pPr>
        <w:pStyle w:val="Compact"/>
        <w:numPr>
          <w:ilvl w:val="0"/>
          <w:numId w:val="1162"/>
        </w:numPr>
      </w:pPr>
      <w:r>
        <w:t xml:space="preserve">Compared per (Item, location) against ERPNext Bin balance</w:t>
      </w:r>
    </w:p>
    <w:p>
      <w:pPr>
        <w:pStyle w:val="Compact"/>
        <w:numPr>
          <w:ilvl w:val="0"/>
          <w:numId w:val="1162"/>
        </w:numPr>
      </w:pPr>
      <w:r>
        <w:t xml:space="preserve">Variance &gt; tolerance (default 1 unit) raises Integration Discrepancy of severity Warning</w:t>
      </w:r>
    </w:p>
    <w:p>
      <w:pPr>
        <w:pStyle w:val="Compact"/>
        <w:numPr>
          <w:ilvl w:val="0"/>
          <w:numId w:val="1162"/>
        </w:numPr>
      </w:pPr>
      <w:r>
        <w:t xml:space="preserve">FDE investigates — common causes: missed webhook, manual override on one side, inter-Company transfer not reflected</w:t>
      </w:r>
    </w:p>
    <w:p>
      <w:pPr>
        <w:pStyle w:val="Compact"/>
        <w:numPr>
          <w:ilvl w:val="0"/>
          <w:numId w:val="1162"/>
        </w:numPr>
      </w:pPr>
      <w:r>
        <w:t xml:space="preserve">Resolution: usually a Stock Reconciliation in ERPNext to align with EE; never the reverse direction (EE inventory adjusted from ERPNext) without explicit approval</w:t>
      </w:r>
    </w:p>
    <w:bookmarkEnd w:id="271"/>
    <w:bookmarkStart w:id="272" w:name="critical-severity-incidents"/>
    <w:p>
      <w:pPr>
        <w:pStyle w:val="Heading2"/>
      </w:pPr>
      <w:r>
        <w:t xml:space="preserve">15.7 Critical-severity incidents</w:t>
      </w:r>
    </w:p>
    <w:p>
      <w:pPr>
        <w:pStyle w:val="Compact"/>
        <w:numPr>
          <w:ilvl w:val="0"/>
          <w:numId w:val="1163"/>
        </w:numPr>
      </w:pPr>
      <w:r>
        <w:t xml:space="preserve">Data-loss potential (e.g., webhook indicates GL-impacting event but ingestion failed) → page the on-call FDE immediately</w:t>
      </w:r>
    </w:p>
    <w:p>
      <w:pPr>
        <w:pStyle w:val="Compact"/>
        <w:numPr>
          <w:ilvl w:val="0"/>
          <w:numId w:val="1163"/>
        </w:numPr>
      </w:pPr>
      <w:r>
        <w:t xml:space="preserve">Cross-Company data leak (Company A user sees Company B data) → kill switch on user; investigate; report</w:t>
      </w:r>
    </w:p>
    <w:p>
      <w:pPr>
        <w:pStyle w:val="Compact"/>
        <w:numPr>
          <w:ilvl w:val="0"/>
          <w:numId w:val="1163"/>
        </w:numPr>
      </w:pPr>
      <w:r>
        <w:t xml:space="preserve">Credential compromise (api_key leaked, JWT exposed) → rotate immediately; audit all API Call entries since last rotation</w:t>
      </w:r>
    </w:p>
    <w:p>
      <w:pPr>
        <w:pStyle w:val="Compact"/>
        <w:numPr>
          <w:ilvl w:val="0"/>
          <w:numId w:val="1163"/>
        </w:numPr>
      </w:pPr>
      <w:r>
        <w:t xml:space="preserve">Sustained data divergence (&gt;10 Discrepancies/day for &gt;3 days on one Company) → engage methodology team for root-cause</w:t>
      </w:r>
    </w:p>
    <w:bookmarkEnd w:id="272"/>
    <w:bookmarkEnd w:id="273"/>
    <w:bookmarkStart w:id="283"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4"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4"/>
    <w:bookmarkStart w:id="275" w:name="per-site-scale-envelopes"/>
    <w:p>
      <w:pPr>
        <w:pStyle w:val="Heading2"/>
      </w:pPr>
      <w:r>
        <w:t xml:space="preserve">16.2 Per-site scale envelopes</w:t>
      </w:r>
    </w:p>
    <w:p>
      <w:pPr>
        <w:pStyle w:val="Compact"/>
        <w:numPr>
          <w:ilvl w:val="0"/>
          <w:numId w:val="1164"/>
        </w:numPr>
      </w:pPr>
      <w:r>
        <w:t xml:space="preserve">v0.1: tested at 5,000 orders/month, 10,000 SKUs, 5 marketplaces, 1 Company</w:t>
      </w:r>
    </w:p>
    <w:p>
      <w:pPr>
        <w:pStyle w:val="Compact"/>
        <w:numPr>
          <w:ilvl w:val="0"/>
          <w:numId w:val="1164"/>
        </w:numPr>
      </w:pPr>
      <w:r>
        <w:t xml:space="preserve">v0.5: tested at 30,000 orders/month, 50,000 SKUs, 8 marketplaces, 5 Companies (aggregator)</w:t>
      </w:r>
    </w:p>
    <w:p>
      <w:pPr>
        <w:pStyle w:val="Compact"/>
        <w:numPr>
          <w:ilvl w:val="0"/>
          <w:numId w:val="1164"/>
        </w:numPr>
      </w:pPr>
      <w:r>
        <w:t xml:space="preserve">v1.0: tested at 100,000 orders/month, 100,000 SKUs, 10 marketplaces, 10 Companies</w:t>
      </w:r>
    </w:p>
    <w:bookmarkEnd w:id="275"/>
    <w:bookmarkStart w:id="276"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6"/>
    <w:bookmarkStart w:id="277" w:name="memory-and-concurrency-envelopes"/>
    <w:p>
      <w:pPr>
        <w:pStyle w:val="Heading2"/>
      </w:pPr>
      <w:r>
        <w:t xml:space="preserve">16.4 Memory and concurrency envelopes</w:t>
      </w:r>
    </w:p>
    <w:p>
      <w:pPr>
        <w:pStyle w:val="Compact"/>
        <w:numPr>
          <w:ilvl w:val="0"/>
          <w:numId w:val="1165"/>
        </w:numPr>
      </w:pPr>
      <w:r>
        <w:t xml:space="preserve">Worker memory ceiling: each background worker stays under 512 MB resident memory; jobs streaming large payloads (e.g., bulk Item sync) use chunk-based processing</w:t>
      </w:r>
    </w:p>
    <w:p>
      <w:pPr>
        <w:pStyle w:val="Compact"/>
        <w:numPr>
          <w:ilvl w:val="0"/>
          <w:numId w:val="1165"/>
        </w:numPr>
      </w:pPr>
      <w:r>
        <w:t xml:space="preserve">API client connection pool: 10 connections per worker per location_key; reused across calls within a worker process</w:t>
      </w:r>
    </w:p>
    <w:p>
      <w:pPr>
        <w:pStyle w:val="Compact"/>
        <w:numPr>
          <w:ilvl w:val="0"/>
          <w:numId w:val="1165"/>
        </w:numPr>
      </w:pPr>
      <w:r>
        <w:t xml:space="preserve">Redis cache budget: 100 MB per Company for compiled Field Mappings, JWT tokens, master ID lookups</w:t>
      </w:r>
    </w:p>
    <w:p>
      <w:pPr>
        <w:pStyle w:val="Compact"/>
        <w:numPr>
          <w:ilvl w:val="0"/>
          <w:numId w:val="1165"/>
        </w:numPr>
      </w:pPr>
      <w:r>
        <w:t xml:space="preserve">Database connection pool: shared with Frappe; integration code uses Frappe’s connection — no separate pool</w:t>
      </w:r>
    </w:p>
    <w:bookmarkEnd w:id="277"/>
    <w:bookmarkStart w:id="278" w:name="backpressure-handling"/>
    <w:p>
      <w:pPr>
        <w:pStyle w:val="Heading2"/>
      </w:pPr>
      <w:r>
        <w:t xml:space="preserve">16.5 Backpressure handling</w:t>
      </w:r>
    </w:p>
    <w:p>
      <w:pPr>
        <w:pStyle w:val="Compact"/>
        <w:numPr>
          <w:ilvl w:val="0"/>
          <w:numId w:val="1166"/>
        </w:numPr>
      </w:pPr>
      <w:r>
        <w:t xml:space="preserve">Queue depth &gt;Settings.queue_depth_warning_threshold (default 500): scheduler logs Warning and continues</w:t>
      </w:r>
    </w:p>
    <w:p>
      <w:pPr>
        <w:pStyle w:val="Compact"/>
        <w:numPr>
          <w:ilvl w:val="0"/>
          <w:numId w:val="116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66"/>
        </w:numPr>
      </w:pPr>
      <w:r>
        <w:t xml:space="preserve">Webhook receiver always returns 200 within 200 ms regardless of queue depth (processing fully decoupled)</w:t>
      </w:r>
    </w:p>
    <w:p>
      <w:pPr>
        <w:pStyle w:val="Compact"/>
        <w:numPr>
          <w:ilvl w:val="0"/>
          <w:numId w:val="1166"/>
        </w:numPr>
      </w:pPr>
      <w:r>
        <w:t xml:space="preserve">Per-Company throttle on outbound EE calls: Settings.max_throughput_per_sec (default 30) enforced via token bucket in Redis</w:t>
      </w:r>
    </w:p>
    <w:p>
      <w:pPr>
        <w:pStyle w:val="Compact"/>
        <w:numPr>
          <w:ilvl w:val="0"/>
          <w:numId w:val="1166"/>
        </w:numPr>
      </w:pPr>
      <w:r>
        <w:t xml:space="preserve">Persistent backpressure (queue at critical for &gt;30 min) surfaces as a Critical alert per Section 18</w:t>
      </w:r>
    </w:p>
    <w:bookmarkEnd w:id="278"/>
    <w:bookmarkStart w:id="279" w:name="timeout-configuration"/>
    <w:p>
      <w:pPr>
        <w:pStyle w:val="Heading2"/>
      </w:pPr>
      <w:r>
        <w:t xml:space="preserve">16.6 Timeout configuration</w:t>
      </w:r>
    </w:p>
    <w:p>
      <w:pPr>
        <w:pStyle w:val="Compact"/>
        <w:numPr>
          <w:ilvl w:val="0"/>
          <w:numId w:val="1167"/>
        </w:numPr>
      </w:pPr>
      <w:r>
        <w:t xml:space="preserve">HTTP request timeout to EasyEcom: 30 seconds connect + 60 seconds read (configurable per endpoint)</w:t>
      </w:r>
    </w:p>
    <w:p>
      <w:pPr>
        <w:pStyle w:val="Compact"/>
        <w:numPr>
          <w:ilvl w:val="0"/>
          <w:numId w:val="1167"/>
        </w:numPr>
      </w:pPr>
      <w:r>
        <w:t xml:space="preserve">Webhook receiver max processing time: 200 ms (synchronous portion); deferred work goes to queue</w:t>
      </w:r>
    </w:p>
    <w:p>
      <w:pPr>
        <w:pStyle w:val="Compact"/>
        <w:numPr>
          <w:ilvl w:val="0"/>
          <w:numId w:val="1167"/>
        </w:numPr>
      </w:pPr>
      <w:r>
        <w:t xml:space="preserve">Job execution max wall time: 5 minutes per attempt (kill and retry if exceeded; classify as transient)</w:t>
      </w:r>
    </w:p>
    <w:p>
      <w:pPr>
        <w:pStyle w:val="Compact"/>
        <w:numPr>
          <w:ilvl w:val="0"/>
          <w:numId w:val="1167"/>
        </w:numPr>
      </w:pPr>
      <w:r>
        <w:t xml:space="preserve">Scheduler tick interval: 60 seconds (Frappe default; not changed)</w:t>
      </w:r>
    </w:p>
    <w:bookmarkEnd w:id="279"/>
    <w:bookmarkStart w:id="280" w:name="rate-limit-handling"/>
    <w:p>
      <w:pPr>
        <w:pStyle w:val="Heading2"/>
      </w:pPr>
      <w:r>
        <w:t xml:space="preserve">16.7 Rate limit handling</w:t>
      </w:r>
    </w:p>
    <w:p>
      <w:pPr>
        <w:pStyle w:val="Compact"/>
        <w:numPr>
          <w:ilvl w:val="0"/>
          <w:numId w:val="1168"/>
        </w:numPr>
      </w:pPr>
      <w:r>
        <w:t xml:space="preserve">EasyEcom rate limits are tiered and documented (Section 3.10); the integration throttles to the account’s rate_limit_tier and tracks daily-quota consumption to stay under the cap</w:t>
      </w:r>
    </w:p>
    <w:p>
      <w:pPr>
        <w:pStyle w:val="Compact"/>
        <w:numPr>
          <w:ilvl w:val="0"/>
          <w:numId w:val="1168"/>
        </w:numPr>
      </w:pPr>
      <w:r>
        <w:t xml:space="preserve">On 429 response: read Retry-After header if present, otherwise back off 60 seconds</w:t>
      </w:r>
    </w:p>
    <w:p>
      <w:pPr>
        <w:pStyle w:val="Compact"/>
        <w:numPr>
          <w:ilvl w:val="0"/>
          <w:numId w:val="1168"/>
        </w:numPr>
      </w:pPr>
      <w:r>
        <w:t xml:space="preserve">On sustained 429 (&gt;5 in 60 seconds): pause that endpoint group for that Company for 5 minutes</w:t>
      </w:r>
    </w:p>
    <w:p>
      <w:pPr>
        <w:pStyle w:val="Compact"/>
        <w:numPr>
          <w:ilvl w:val="0"/>
          <w:numId w:val="1168"/>
        </w:numPr>
      </w:pPr>
      <w:r>
        <w:t xml:space="preserve">Token bucket implementation in Redis prevents our own runaway syncs</w:t>
      </w:r>
    </w:p>
    <w:bookmarkEnd w:id="280"/>
    <w:bookmarkStart w:id="281" w:name="Xafe86b41e14c75c899abefc6cfb116946dd1ac2"/>
    <w:p>
      <w:pPr>
        <w:pStyle w:val="Heading2"/>
      </w:pPr>
      <w:r>
        <w:t xml:space="preserve">16.8 Stress testing approach for v0.1 sign-off</w:t>
      </w:r>
    </w:p>
    <w:p>
      <w:pPr>
        <w:pStyle w:val="Compact"/>
        <w:numPr>
          <w:ilvl w:val="0"/>
          <w:numId w:val="1169"/>
        </w:numPr>
      </w:pPr>
      <w:r>
        <w:t xml:space="preserve">Synthetic data generation: tooling to populate a test EE sandbox + ERPNext site with 1000 orders, 5000 SKUs, all flow types</w:t>
      </w:r>
    </w:p>
    <w:p>
      <w:pPr>
        <w:pStyle w:val="Compact"/>
        <w:numPr>
          <w:ilvl w:val="0"/>
          <w:numId w:val="1169"/>
        </w:numPr>
      </w:pPr>
      <w:r>
        <w:t xml:space="preserve">End-to-end flow test: order placed → manifest → SI → settlement file upload → recon. All 10 flows executed at least 100x each</w:t>
      </w:r>
    </w:p>
    <w:p>
      <w:pPr>
        <w:pStyle w:val="Compact"/>
        <w:numPr>
          <w:ilvl w:val="0"/>
          <w:numId w:val="1169"/>
        </w:numPr>
      </w:pPr>
      <w:r>
        <w:t xml:space="preserve">Burst test: 200 webhooks/min for 30 minutes — verify no drops, no duplicates, no out-of-order processing failures</w:t>
      </w:r>
    </w:p>
    <w:p>
      <w:pPr>
        <w:pStyle w:val="Compact"/>
        <w:numPr>
          <w:ilvl w:val="0"/>
          <w:numId w:val="1169"/>
        </w:numPr>
      </w:pPr>
      <w:r>
        <w:t xml:space="preserve">Failure-injection test: random EE API errors (rate limit, 5xx, auth fail) — verify auto-recovery within tolerance</w:t>
      </w:r>
    </w:p>
    <w:p>
      <w:pPr>
        <w:pStyle w:val="Compact"/>
        <w:numPr>
          <w:ilvl w:val="0"/>
          <w:numId w:val="1169"/>
        </w:numPr>
      </w:pPr>
      <w:r>
        <w:t xml:space="preserve">Concurrency test: 4 simultaneous workers per Company processing pulls + pushes + webhooks — verify no race conditions, no double-processing</w:t>
      </w:r>
    </w:p>
    <w:p>
      <w:pPr>
        <w:pStyle w:val="Compact"/>
        <w:numPr>
          <w:ilvl w:val="0"/>
          <w:numId w:val="1169"/>
        </w:numPr>
      </w:pPr>
      <w:r>
        <w:t xml:space="preserve">Memory soak: 24-hour run at sustained 500 orders/hour — verify no memory leak, RSS stays under ceiling</w:t>
      </w:r>
    </w:p>
    <w:p>
      <w:pPr>
        <w:pStyle w:val="Compact"/>
        <w:numPr>
          <w:ilvl w:val="0"/>
          <w:numId w:val="1169"/>
        </w:numPr>
      </w:pPr>
      <w:r>
        <w:t xml:space="preserve">Data integrity audit: full reconciliation of test-site state vs expected state after stress run</w:t>
      </w:r>
    </w:p>
    <w:bookmarkEnd w:id="281"/>
    <w:bookmarkStart w:id="282" w:name="performance-regression-detection"/>
    <w:p>
      <w:pPr>
        <w:pStyle w:val="Heading2"/>
      </w:pPr>
      <w:r>
        <w:t xml:space="preserve">16.9 Performance regression detection</w:t>
      </w:r>
    </w:p>
    <w:p>
      <w:pPr>
        <w:pStyle w:val="Compact"/>
        <w:numPr>
          <w:ilvl w:val="0"/>
          <w:numId w:val="1170"/>
        </w:numPr>
      </w:pPr>
      <w:r>
        <w:t xml:space="preserve">Per-endpoint p50/p95/p99 latency tracked in API Call records</w:t>
      </w:r>
    </w:p>
    <w:p>
      <w:pPr>
        <w:pStyle w:val="Compact"/>
        <w:numPr>
          <w:ilvl w:val="0"/>
          <w:numId w:val="1170"/>
        </w:numPr>
      </w:pPr>
      <w:r>
        <w:t xml:space="preserve">Hourly cron computes rolling 24-hour percentiles per endpoint</w:t>
      </w:r>
    </w:p>
    <w:p>
      <w:pPr>
        <w:pStyle w:val="Compact"/>
        <w:numPr>
          <w:ilvl w:val="0"/>
          <w:numId w:val="1170"/>
        </w:numPr>
      </w:pPr>
      <w:r>
        <w:t xml:space="preserve">Regression detected when p95 deviates &gt;2× from prior 7-day baseline</w:t>
      </w:r>
    </w:p>
    <w:p>
      <w:pPr>
        <w:pStyle w:val="Compact"/>
        <w:numPr>
          <w:ilvl w:val="0"/>
          <w:numId w:val="1170"/>
        </w:numPr>
      </w:pPr>
      <w:r>
        <w:t xml:space="preserve">Alert per Section 18 (Warning severity by default; Error if affecting a flow with active SLA Budget)</w:t>
      </w:r>
    </w:p>
    <w:bookmarkEnd w:id="282"/>
    <w:bookmarkEnd w:id="283"/>
    <w:bookmarkStart w:id="284"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4"/>
    <w:bookmarkStart w:id="319"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5" w:name="design-philosophy"/>
    <w:p>
      <w:pPr>
        <w:pStyle w:val="Heading2"/>
      </w:pPr>
      <w:r>
        <w:t xml:space="preserve">17.1 Design philosophy</w:t>
      </w:r>
    </w:p>
    <w:p>
      <w:pPr>
        <w:pStyle w:val="Compact"/>
        <w:numPr>
          <w:ilvl w:val="0"/>
          <w:numId w:val="1171"/>
        </w:numPr>
      </w:pPr>
      <w:r>
        <w:t xml:space="preserve">Every flow has a UI surface. If a flow exists in the integration, the operator can see its current state, history, and pending work in the desk</w:t>
      </w:r>
    </w:p>
    <w:p>
      <w:pPr>
        <w:pStyle w:val="Compact"/>
        <w:numPr>
          <w:ilvl w:val="0"/>
          <w:numId w:val="1171"/>
        </w:numPr>
      </w:pPr>
      <w:r>
        <w:t xml:space="preserve">Every action is reversible or replayable. No destructive button is one click away; every retry shows what will happen before committing</w:t>
      </w:r>
    </w:p>
    <w:p>
      <w:pPr>
        <w:pStyle w:val="Compact"/>
        <w:numPr>
          <w:ilvl w:val="0"/>
          <w:numId w:val="1171"/>
        </w:numPr>
      </w:pPr>
      <w:r>
        <w:t xml:space="preserve">Every error has a story. From the moment an alert fires, the operator can navigate alert → underlying error → relevant document → suggested remediation in a single thread</w:t>
      </w:r>
    </w:p>
    <w:p>
      <w:pPr>
        <w:pStyle w:val="Compact"/>
        <w:numPr>
          <w:ilvl w:val="0"/>
          <w:numId w:val="1171"/>
        </w:numPr>
      </w:pPr>
      <w:r>
        <w:t xml:space="preserve">Every screen states its scope. Multi-Company users always know which Company they’re looking at; Sandbox users always know they’re in Sandbox</w:t>
      </w:r>
    </w:p>
    <w:p>
      <w:pPr>
        <w:pStyle w:val="Compact"/>
        <w:numPr>
          <w:ilvl w:val="0"/>
          <w:numId w:val="1171"/>
        </w:numPr>
      </w:pPr>
      <w:r>
        <w:t xml:space="preserve">Information density over decoration. Lists show enough columns to make decisions without opening rows; status badges use colour and icon, not just colour</w:t>
      </w:r>
    </w:p>
    <w:p>
      <w:pPr>
        <w:pStyle w:val="Compact"/>
        <w:numPr>
          <w:ilvl w:val="0"/>
          <w:numId w:val="1171"/>
        </w:numPr>
      </w:pPr>
      <w:r>
        <w:t xml:space="preserve">No vendor-staring. The FDE should be doing investigation in our UI 95% of the time, not in the EasyEcom dashboard</w:t>
      </w:r>
    </w:p>
    <w:bookmarkEnd w:id="285"/>
    <w:bookmarkStart w:id="291"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6" w:name="top-row-environment-and-connection"/>
    <w:p>
      <w:pPr>
        <w:pStyle w:val="Heading3"/>
      </w:pPr>
      <w:r>
        <w:t xml:space="preserve">17.2.1 Top row — environment and connection</w:t>
      </w:r>
    </w:p>
    <w:p>
      <w:pPr>
        <w:pStyle w:val="Compact"/>
        <w:numPr>
          <w:ilvl w:val="0"/>
          <w:numId w:val="1172"/>
        </w:numPr>
      </w:pPr>
      <w:r>
        <w:t xml:space="preserve">Environment badge: large, coloured. Sandbox = orange, Production = green. Cannot be missed</w:t>
      </w:r>
    </w:p>
    <w:p>
      <w:pPr>
        <w:pStyle w:val="Compact"/>
        <w:numPr>
          <w:ilvl w:val="0"/>
          <w:numId w:val="1172"/>
        </w:numPr>
      </w:pPr>
      <w:r>
        <w:t xml:space="preserve">Connection status per Company: green/yellow/red dot per Company in scope, with last-successful-call timestamp</w:t>
      </w:r>
    </w:p>
    <w:p>
      <w:pPr>
        <w:pStyle w:val="Compact"/>
        <w:numPr>
          <w:ilvl w:val="0"/>
          <w:numId w:val="1172"/>
        </w:numPr>
      </w:pPr>
      <w:r>
        <w:t xml:space="preserve">Pause All Syncs kill-switch: the panic button. One click pauses all background syncs for the current Company; surfaces a desk-wide banner so the operator never forgets it’s paused</w:t>
      </w:r>
    </w:p>
    <w:bookmarkEnd w:id="286"/>
    <w:bookmarkStart w:id="287"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73"/>
        </w:numPr>
      </w:pPr>
      <w:r>
        <w:t xml:space="preserve">Open Sync Records (failed) — red number. Click to filter Sync Record list to status=Failed</w:t>
      </w:r>
    </w:p>
    <w:p>
      <w:pPr>
        <w:pStyle w:val="Compact"/>
        <w:numPr>
          <w:ilvl w:val="0"/>
          <w:numId w:val="117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73"/>
        </w:numPr>
      </w:pPr>
      <w:r>
        <w:t xml:space="preserve">API Calls last 1h — total count + success rate. Click to API Call list filtered to last 1h</w:t>
      </w:r>
    </w:p>
    <w:p>
      <w:pPr>
        <w:pStyle w:val="Compact"/>
        <w:numPr>
          <w:ilvl w:val="0"/>
          <w:numId w:val="1173"/>
        </w:numPr>
      </w:pPr>
      <w:r>
        <w:t xml:space="preserve">Webhook Events last 1h — total count + processed-vs-pending split. Click to Webhook Event list</w:t>
      </w:r>
    </w:p>
    <w:p>
      <w:pPr>
        <w:pStyle w:val="Compact"/>
        <w:numPr>
          <w:ilvl w:val="0"/>
          <w:numId w:val="1173"/>
        </w:numPr>
      </w:pPr>
      <w:r>
        <w:t xml:space="preserve">Queue Job depth — current count of Queued + Retrying. Click to Queue Job list filtered accordingly</w:t>
      </w:r>
    </w:p>
    <w:p>
      <w:pPr>
        <w:pStyle w:val="Compact"/>
        <w:numPr>
          <w:ilvl w:val="0"/>
          <w:numId w:val="1173"/>
        </w:numPr>
      </w:pPr>
      <w:r>
        <w:t xml:space="preserve">Cursor lag (max across all pull cursors) — minutes behind real-time. Click to Sync Cursor list</w:t>
      </w:r>
    </w:p>
    <w:p>
      <w:pPr>
        <w:pStyle w:val="Compact"/>
        <w:numPr>
          <w:ilvl w:val="0"/>
          <w:numId w:val="1173"/>
        </w:numPr>
      </w:pPr>
      <w:r>
        <w:t xml:space="preserve">Open Integration Discrepancies — count, with financial impact rolled up. Click to Discrepancy list</w:t>
      </w:r>
    </w:p>
    <w:bookmarkEnd w:id="287"/>
    <w:bookmarkStart w:id="288" w:name="dashboard-charts-row"/>
    <w:p>
      <w:pPr>
        <w:pStyle w:val="Heading3"/>
      </w:pPr>
      <w:r>
        <w:t xml:space="preserve">17.2.3 Dashboard Charts row</w:t>
      </w:r>
    </w:p>
    <w:p>
      <w:pPr>
        <w:pStyle w:val="FirstParagraph"/>
      </w:pPr>
      <w:r>
        <w:t xml:space="preserve">Three multi-day trend charts:</w:t>
      </w:r>
    </w:p>
    <w:p>
      <w:pPr>
        <w:pStyle w:val="Compact"/>
        <w:numPr>
          <w:ilvl w:val="0"/>
          <w:numId w:val="1174"/>
        </w:numPr>
      </w:pPr>
      <w:r>
        <w:t xml:space="preserve">API success rate over last 7 days, hourly granularity, stacked per endpoint group (auth/orders/inventory/grn/returns)</w:t>
      </w:r>
    </w:p>
    <w:p>
      <w:pPr>
        <w:pStyle w:val="Compact"/>
        <w:numPr>
          <w:ilvl w:val="0"/>
          <w:numId w:val="1174"/>
        </w:numPr>
      </w:pPr>
      <w:r>
        <w:t xml:space="preserve">API call volume over last 7 days, with the same grouping. Anomaly badges where today’s volume diverges from the previous-7-day baseline by &gt;2σ</w:t>
      </w:r>
    </w:p>
    <w:p>
      <w:pPr>
        <w:pStyle w:val="Compact"/>
        <w:numPr>
          <w:ilvl w:val="0"/>
          <w:numId w:val="1174"/>
        </w:numPr>
      </w:pPr>
      <w:r>
        <w:t xml:space="preserve">Sync Record state distribution over last 30 days — stacked area of Pending/Success/Failed/AlreadySynced per day</w:t>
      </w:r>
    </w:p>
    <w:bookmarkEnd w:id="288"/>
    <w:bookmarkStart w:id="289"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75"/>
        </w:numPr>
      </w:pPr>
      <w:r>
        <w:t xml:space="preserve">EasyEcom Account (account-level configuration) and per-Company settings</w:t>
      </w:r>
    </w:p>
    <w:p>
      <w:pPr>
        <w:pStyle w:val="Compact"/>
        <w:numPr>
          <w:ilvl w:val="0"/>
          <w:numId w:val="1175"/>
        </w:numPr>
      </w:pPr>
      <w:r>
        <w:t xml:space="preserve">EasyEcom Field Mapping list</w:t>
      </w:r>
    </w:p>
    <w:p>
      <w:pPr>
        <w:pStyle w:val="Compact"/>
        <w:numPr>
          <w:ilvl w:val="0"/>
          <w:numId w:val="1175"/>
        </w:numPr>
      </w:pPr>
      <w:r>
        <w:t xml:space="preserve">Sync Record list (with default filter to last 24h)</w:t>
      </w:r>
    </w:p>
    <w:p>
      <w:pPr>
        <w:pStyle w:val="Compact"/>
        <w:numPr>
          <w:ilvl w:val="0"/>
          <w:numId w:val="1175"/>
        </w:numPr>
      </w:pPr>
      <w:r>
        <w:t xml:space="preserve">API Call list</w:t>
      </w:r>
    </w:p>
    <w:p>
      <w:pPr>
        <w:pStyle w:val="Compact"/>
        <w:numPr>
          <w:ilvl w:val="0"/>
          <w:numId w:val="1175"/>
        </w:numPr>
      </w:pPr>
      <w:r>
        <w:t xml:space="preserve">Webhook Event list</w:t>
      </w:r>
    </w:p>
    <w:p>
      <w:pPr>
        <w:pStyle w:val="Compact"/>
        <w:numPr>
          <w:ilvl w:val="0"/>
          <w:numId w:val="1175"/>
        </w:numPr>
      </w:pPr>
      <w:r>
        <w:t xml:space="preserve">Queue Job list</w:t>
      </w:r>
    </w:p>
    <w:p>
      <w:pPr>
        <w:pStyle w:val="Compact"/>
        <w:numPr>
          <w:ilvl w:val="0"/>
          <w:numId w:val="1175"/>
        </w:numPr>
      </w:pPr>
      <w:r>
        <w:t xml:space="preserve">Integration Discrepancy list</w:t>
      </w:r>
    </w:p>
    <w:p>
      <w:pPr>
        <w:pStyle w:val="Compact"/>
        <w:numPr>
          <w:ilvl w:val="0"/>
          <w:numId w:val="1175"/>
        </w:numPr>
      </w:pPr>
      <w:r>
        <w:t xml:space="preserve">Replay Plan list</w:t>
      </w:r>
    </w:p>
    <w:p>
      <w:pPr>
        <w:pStyle w:val="Compact"/>
        <w:numPr>
          <w:ilvl w:val="0"/>
          <w:numId w:val="1175"/>
        </w:numPr>
      </w:pPr>
      <w:r>
        <w:t xml:space="preserve">Morning Brief (today’s snapshot)</w:t>
      </w:r>
    </w:p>
    <w:p>
      <w:pPr>
        <w:pStyle w:val="Compact"/>
        <w:numPr>
          <w:ilvl w:val="0"/>
          <w:numId w:val="1175"/>
        </w:numPr>
      </w:pPr>
      <w:r>
        <w:t xml:space="preserve">Error Translation library</w:t>
      </w:r>
    </w:p>
    <w:p>
      <w:pPr>
        <w:pStyle w:val="Compact"/>
        <w:numPr>
          <w:ilvl w:val="0"/>
          <w:numId w:val="1175"/>
        </w:numPr>
      </w:pPr>
      <w:r>
        <w:t xml:space="preserve">Configuration Audit log</w:t>
      </w:r>
    </w:p>
    <w:bookmarkEnd w:id="289"/>
    <w:bookmarkStart w:id="290"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76"/>
        </w:numPr>
      </w:pPr>
      <w:r>
        <w:t xml:space="preserve">Configure EasyEcom Account → Setup section</w:t>
      </w:r>
    </w:p>
    <w:p>
      <w:pPr>
        <w:pStyle w:val="Compact"/>
        <w:numPr>
          <w:ilvl w:val="0"/>
          <w:numId w:val="1176"/>
        </w:numPr>
      </w:pPr>
      <w:r>
        <w:t xml:space="preserve">Configure EasyEcom Account → Sync Tuning section</w:t>
      </w:r>
    </w:p>
    <w:p>
      <w:pPr>
        <w:pStyle w:val="Compact"/>
        <w:numPr>
          <w:ilvl w:val="0"/>
          <w:numId w:val="1176"/>
        </w:numPr>
      </w:pPr>
      <w:r>
        <w:t xml:space="preserve">Configure EasyEcom Account → Webhook Auth section</w:t>
      </w:r>
    </w:p>
    <w:p>
      <w:pPr>
        <w:pStyle w:val="Compact"/>
        <w:numPr>
          <w:ilvl w:val="0"/>
          <w:numId w:val="1176"/>
        </w:numPr>
      </w:pPr>
      <w:r>
        <w:t xml:space="preserve">Configure EasyEcom Account → GRN Policy section</w:t>
      </w:r>
    </w:p>
    <w:p>
      <w:pPr>
        <w:pStyle w:val="Compact"/>
        <w:numPr>
          <w:ilvl w:val="0"/>
          <w:numId w:val="1176"/>
        </w:numPr>
      </w:pPr>
      <w:r>
        <w:t xml:space="preserve">Configure per-Company settings → Alerts section</w:t>
      </w:r>
    </w:p>
    <w:p>
      <w:pPr>
        <w:pStyle w:val="Compact"/>
        <w:numPr>
          <w:ilvl w:val="0"/>
          <w:numId w:val="1176"/>
        </w:numPr>
      </w:pPr>
      <w:r>
        <w:t xml:space="preserve">Pull Locations from EasyEcom</w:t>
      </w:r>
    </w:p>
    <w:p>
      <w:pPr>
        <w:pStyle w:val="Compact"/>
        <w:numPr>
          <w:ilvl w:val="0"/>
          <w:numId w:val="1176"/>
        </w:numPr>
      </w:pPr>
      <w:r>
        <w:t xml:space="preserve">Map every Location to a Frappe Warehouse via Source-of-Truth Map</w:t>
      </w:r>
    </w:p>
    <w:p>
      <w:pPr>
        <w:pStyle w:val="Compact"/>
        <w:numPr>
          <w:ilvl w:val="0"/>
          <w:numId w:val="1176"/>
        </w:numPr>
      </w:pPr>
      <w:r>
        <w:t xml:space="preserve">Pull Channels from EasyEcom</w:t>
      </w:r>
    </w:p>
    <w:p>
      <w:pPr>
        <w:pStyle w:val="Compact"/>
        <w:numPr>
          <w:ilvl w:val="0"/>
          <w:numId w:val="1176"/>
        </w:numPr>
      </w:pPr>
      <w:r>
        <w:t xml:space="preserve">Configure Marketplace Accounts per (Company, Marketplace) in use</w:t>
      </w:r>
    </w:p>
    <w:p>
      <w:pPr>
        <w:pStyle w:val="Compact"/>
        <w:numPr>
          <w:ilvl w:val="0"/>
          <w:numId w:val="1176"/>
        </w:numPr>
      </w:pPr>
      <w:r>
        <w:t xml:space="preserve">Run sandbox smoke test (PO + GRN + B2C order + cancellation + return)</w:t>
      </w:r>
    </w:p>
    <w:p>
      <w:pPr>
        <w:pStyle w:val="Compact"/>
        <w:numPr>
          <w:ilvl w:val="0"/>
          <w:numId w:val="1176"/>
        </w:numPr>
      </w:pPr>
      <w:r>
        <w:t>FDE sign-off on pre-flight checklist The checklist is not a wizard — it’s a live-state checklist that auto-checks completed items by inspecting actual configuration. An FDE can return to it any time and see what’s left.</w:t>
      </w:r>
    </w:p>
    <w:bookmarkEnd w:id="290"/>
    <w:bookmarkEnd w:id="291"/>
    <w:bookmarkStart w:id="292"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7"/>
        </w:numPr>
      </w:pPr>
      <w:r>
        <w:t xml:space="preserve">Today’s API call volume by Company</w:t>
      </w:r>
    </w:p>
    <w:p>
      <w:pPr>
        <w:pStyle w:val="Compact"/>
        <w:numPr>
          <w:ilvl w:val="0"/>
          <w:numId w:val="1177"/>
        </w:numPr>
      </w:pPr>
      <w:r>
        <w:t xml:space="preserve">Average API latency last 1h by endpoint</w:t>
      </w:r>
    </w:p>
    <w:p>
      <w:pPr>
        <w:pStyle w:val="Compact"/>
        <w:numPr>
          <w:ilvl w:val="0"/>
          <w:numId w:val="1177"/>
        </w:numPr>
      </w:pPr>
      <w:r>
        <w:t xml:space="preserve">Sync Record retry rate (Sync Records that needed &gt;1 attempt)</w:t>
      </w:r>
    </w:p>
    <w:p>
      <w:pPr>
        <w:pStyle w:val="Compact"/>
        <w:numPr>
          <w:ilvl w:val="0"/>
          <w:numId w:val="1177"/>
        </w:numPr>
      </w:pPr>
      <w:r>
        <w:t xml:space="preserve">Webhook receipt rate vs expected (heuristic — flags sustained anomaly)</w:t>
      </w:r>
    </w:p>
    <w:p>
      <w:pPr>
        <w:pStyle w:val="Compact"/>
        <w:numPr>
          <w:ilvl w:val="0"/>
          <w:numId w:val="1177"/>
        </w:numPr>
      </w:pPr>
      <w:r>
        <w:t xml:space="preserve">SLA compliance percentage by flow over current week</w:t>
      </w:r>
    </w:p>
    <w:p>
      <w:pPr>
        <w:pStyle w:val="Compact"/>
        <w:numPr>
          <w:ilvl w:val="0"/>
          <w:numId w:val="1177"/>
        </w:numPr>
      </w:pPr>
      <w:r>
        <w:t xml:space="preserve">Integration Discrepancy ageing (count &gt;24h, &gt;7d, &gt;30d)</w:t>
      </w:r>
    </w:p>
    <w:p>
      <w:pPr>
        <w:pStyle w:val="Compact"/>
        <w:numPr>
          <w:ilvl w:val="0"/>
          <w:numId w:val="1177"/>
        </w:numPr>
      </w:pPr>
      <w:r>
        <w:t xml:space="preserve">Field Mapping coverage (% of fields in real payloads matched by an explicit rule)</w:t>
      </w:r>
    </w:p>
    <w:p>
      <w:pPr>
        <w:pStyle w:val="Compact"/>
        <w:numPr>
          <w:ilvl w:val="0"/>
          <w:numId w:val="1177"/>
        </w:numPr>
      </w:pPr>
      <w:r>
        <w:t xml:space="preserve">Schema drift count — number of new schema variants observed last 7d</w:t>
      </w:r>
    </w:p>
    <w:p>
      <w:pPr>
        <w:pStyle w:val="Compact"/>
        <w:numPr>
          <w:ilvl w:val="0"/>
          <w:numId w:val="1177"/>
        </w:numPr>
      </w:pPr>
      <w:r>
        <w:t xml:space="preserve">Cross-Company sync activity (for aggregators) — calls per Company today</w:t>
      </w:r>
    </w:p>
    <w:p>
      <w:pPr>
        <w:pStyle w:val="Compact"/>
        <w:numPr>
          <w:ilvl w:val="0"/>
          <w:numId w:val="1177"/>
        </w:numPr>
      </w:pPr>
      <w:r>
        <w:t xml:space="preserve">Top Error Translation hits (which translated errors are firing most)</w:t>
      </w:r>
    </w:p>
    <w:bookmarkEnd w:id="292"/>
    <w:bookmarkStart w:id="293"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8"/>
        </w:numPr>
      </w:pPr>
      <w:r>
        <w:t xml:space="preserve">API latency p50/p95/p99 over time per endpoint</w:t>
      </w:r>
    </w:p>
    <w:p>
      <w:pPr>
        <w:pStyle w:val="Compact"/>
        <w:numPr>
          <w:ilvl w:val="0"/>
          <w:numId w:val="1178"/>
        </w:numPr>
      </w:pPr>
      <w:r>
        <w:t xml:space="preserve">Queue Job state transitions over time (Queued → Running → Success/Failed) — sankey-style</w:t>
      </w:r>
    </w:p>
    <w:p>
      <w:pPr>
        <w:pStyle w:val="Compact"/>
        <w:numPr>
          <w:ilvl w:val="0"/>
          <w:numId w:val="1178"/>
        </w:numPr>
      </w:pPr>
      <w:r>
        <w:t xml:space="preserve">Per-flow success rate over time (Master sync, Buying, B2C sales, etc.)</w:t>
      </w:r>
    </w:p>
    <w:p>
      <w:pPr>
        <w:pStyle w:val="Compact"/>
        <w:numPr>
          <w:ilvl w:val="0"/>
          <w:numId w:val="1178"/>
        </w:numPr>
      </w:pPr>
      <w:r>
        <w:t xml:space="preserve">Integration Discrepancy created vs resolved over time</w:t>
      </w:r>
    </w:p>
    <w:p>
      <w:pPr>
        <w:pStyle w:val="Compact"/>
        <w:numPr>
          <w:ilvl w:val="0"/>
          <w:numId w:val="1178"/>
        </w:numPr>
      </w:pPr>
      <w:r>
        <w:t xml:space="preserve">Webhook gap heatmap — calendar view showing minutes between consecutive webhooks per type per day</w:t>
      </w:r>
    </w:p>
    <w:p>
      <w:pPr>
        <w:pStyle w:val="Compact"/>
        <w:numPr>
          <w:ilvl w:val="0"/>
          <w:numId w:val="1178"/>
        </w:numPr>
      </w:pPr>
      <w:r>
        <w:t xml:space="preserve">Per-marketplace sync health — small multiples, one chart per Marketplace Account</w:t>
      </w:r>
    </w:p>
    <w:p>
      <w:pPr>
        <w:pStyle w:val="Compact"/>
        <w:numPr>
          <w:ilvl w:val="0"/>
          <w:numId w:val="1178"/>
        </w:numPr>
      </w:pPr>
      <w:r>
        <w:t xml:space="preserve">Per-Item sync history — for a selected SKU, every Sync Record event over time</w:t>
      </w:r>
    </w:p>
    <w:bookmarkEnd w:id="293"/>
    <w:bookmarkStart w:id="294"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9"/>
        </w:numPr>
      </w:pPr>
      <w:r>
        <w:t xml:space="preserve">Daily Sync Health — per Company, per flow: total attempted, succeeded, failed, retried; mean and p95 latency; cursor lag at end-of-day</w:t>
      </w:r>
    </w:p>
    <w:p>
      <w:pPr>
        <w:pStyle w:val="Compact"/>
        <w:numPr>
          <w:ilvl w:val="0"/>
          <w:numId w:val="1179"/>
        </w:numPr>
      </w:pPr>
      <w:r>
        <w:t xml:space="preserve">Failed Jobs by Reason — aggregated by translated-error-key over selectable time window. The triage report</w:t>
      </w:r>
    </w:p>
    <w:p>
      <w:pPr>
        <w:pStyle w:val="Compact"/>
        <w:numPr>
          <w:ilvl w:val="0"/>
          <w:numId w:val="1179"/>
        </w:numPr>
      </w:pPr>
      <w:r>
        <w:t xml:space="preserve">Latency by Endpoint — every endpoint’s count, mean, p50/p95/p99 latency, error rate</w:t>
      </w:r>
    </w:p>
    <w:p>
      <w:pPr>
        <w:pStyle w:val="Compact"/>
        <w:numPr>
          <w:ilvl w:val="0"/>
          <w:numId w:val="1179"/>
        </w:numPr>
      </w:pPr>
      <w:r>
        <w:t xml:space="preserve">Drift by SKU — Items where ERPNext stock and EasyEcom stock disagree, sorted by absolute drift</w:t>
      </w:r>
    </w:p>
    <w:p>
      <w:pPr>
        <w:pStyle w:val="Compact"/>
        <w:numPr>
          <w:ilvl w:val="0"/>
          <w:numId w:val="1179"/>
        </w:numPr>
      </w:pPr>
      <w:r>
        <w:t xml:space="preserve">Discrepancies by Severity and Age — Integration Discrepancies grouped by severity, with ageing buckets</w:t>
      </w:r>
    </w:p>
    <w:p>
      <w:pPr>
        <w:pStyle w:val="Compact"/>
        <w:numPr>
          <w:ilvl w:val="0"/>
          <w:numId w:val="1179"/>
        </w:numPr>
      </w:pPr>
      <w:r>
        <w:t xml:space="preserve">Field Mapping Coverage — per ruleset: explicitly mapped %, identity-matched %, dropped %, with sample dropped fields</w:t>
      </w:r>
    </w:p>
    <w:p>
      <w:pPr>
        <w:pStyle w:val="Compact"/>
        <w:numPr>
          <w:ilvl w:val="0"/>
          <w:numId w:val="1179"/>
        </w:numPr>
      </w:pPr>
      <w:r>
        <w:t xml:space="preserve">Webhook Reliability — per webhook type: received count, processed count, failed count, dedup count, gap-detection results</w:t>
      </w:r>
    </w:p>
    <w:p>
      <w:pPr>
        <w:pStyle w:val="Compact"/>
        <w:numPr>
          <w:ilvl w:val="0"/>
          <w:numId w:val="1179"/>
        </w:numPr>
      </w:pPr>
      <w:r>
        <w:t xml:space="preserve">SLA Compliance — per Company per flow per week: target %, actual %, breach count, breach financial impact</w:t>
      </w:r>
    </w:p>
    <w:p>
      <w:pPr>
        <w:pStyle w:val="Compact"/>
        <w:numPr>
          <w:ilvl w:val="0"/>
          <w:numId w:val="1179"/>
        </w:numPr>
      </w:pPr>
      <w:r>
        <w:t xml:space="preserve">API Call Audit — full-text searchable across redacted request and response bodies; for forensic investigation</w:t>
      </w:r>
    </w:p>
    <w:p>
      <w:pPr>
        <w:pStyle w:val="Compact"/>
        <w:numPr>
          <w:ilvl w:val="0"/>
          <w:numId w:val="1179"/>
        </w:numPr>
      </w:pPr>
      <w:r>
        <w:t xml:space="preserve">Replay History — every Replay Plan executed: filter, dry-run result, commit result, who executed</w:t>
      </w:r>
    </w:p>
    <w:p>
      <w:pPr>
        <w:pStyle w:val="Compact"/>
        <w:numPr>
          <w:ilvl w:val="0"/>
          <w:numId w:val="1179"/>
        </w:numPr>
      </w:pPr>
      <w:r>
        <w:t xml:space="preserve">Configuration Change Log — every Settings, Field Mapping, Source-of-Truth Map change with before/after</w:t>
      </w:r>
    </w:p>
    <w:p>
      <w:pPr>
        <w:pStyle w:val="Compact"/>
        <w:numPr>
          <w:ilvl w:val="0"/>
          <w:numId w:val="1179"/>
        </w:numPr>
      </w:pPr>
      <w:r>
        <w:t xml:space="preserve">Cross-Company Health Rollup — for aggregator FDEs: side-by-side health view across all managed Companies</w:t>
      </w:r>
    </w:p>
    <w:p>
      <w:pPr>
        <w:pStyle w:val="Compact"/>
        <w:numPr>
          <w:ilvl w:val="0"/>
          <w:numId w:val="1179"/>
        </w:numPr>
      </w:pPr>
      <w:r>
        <w:t xml:space="preserve">Morning Brief Archive — historical Morning Brief snapshots for retrospectives</w:t>
      </w:r>
    </w:p>
    <w:bookmarkEnd w:id="294"/>
    <w:bookmarkStart w:id="300"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5" w:name="sync-record-actions"/>
    <w:p>
      <w:pPr>
        <w:pStyle w:val="Heading3"/>
      </w:pPr>
      <w:r>
        <w:t xml:space="preserve">17.6.1 Sync Record actions</w:t>
      </w:r>
    </w:p>
    <w:p>
      <w:pPr>
        <w:pStyle w:val="Compact"/>
        <w:numPr>
          <w:ilvl w:val="0"/>
          <w:numId w:val="1180"/>
        </w:numPr>
      </w:pPr>
      <w:r>
        <w:t xml:space="preserve">Retry Now — re-attempts the sync with current configuration</w:t>
      </w:r>
    </w:p>
    <w:p>
      <w:pPr>
        <w:pStyle w:val="Compact"/>
        <w:numPr>
          <w:ilvl w:val="0"/>
          <w:numId w:val="1180"/>
        </w:numPr>
      </w:pPr>
      <w:r>
        <w:t xml:space="preserve">Retry With Override — opens a dialog to set override values for the retry attempt (e.g., manually correct the WMS code before retry)</w:t>
      </w:r>
    </w:p>
    <w:p>
      <w:pPr>
        <w:pStyle w:val="Compact"/>
        <w:numPr>
          <w:ilvl w:val="0"/>
          <w:numId w:val="1180"/>
        </w:numPr>
      </w:pPr>
      <w:r>
        <w:t xml:space="preserve">Mark as Already Synced — accepts an EasyEcom-side ID; closes the Sync Record without an API call. Used after FDE manually fixes the EE side</w:t>
      </w:r>
    </w:p>
    <w:p>
      <w:pPr>
        <w:pStyle w:val="Compact"/>
        <w:numPr>
          <w:ilvl w:val="0"/>
          <w:numId w:val="1180"/>
        </w:numPr>
      </w:pPr>
      <w:r>
        <w:t xml:space="preserve">Force Resync — pulls the EasyEcom-side state and pushes ERPNext state, even if hashes match (for suspected drift)</w:t>
      </w:r>
    </w:p>
    <w:p>
      <w:pPr>
        <w:pStyle w:val="Compact"/>
        <w:numPr>
          <w:ilvl w:val="0"/>
          <w:numId w:val="1180"/>
        </w:numPr>
      </w:pPr>
      <w:r>
        <w:t xml:space="preserve">View ERPNext Document — opens the underlying ERPNext doc in a new tab</w:t>
      </w:r>
    </w:p>
    <w:p>
      <w:pPr>
        <w:pStyle w:val="Compact"/>
        <w:numPr>
          <w:ilvl w:val="0"/>
          <w:numId w:val="1180"/>
        </w:numPr>
      </w:pPr>
      <w:r>
        <w:t xml:space="preserve">View EasyEcom Record — opens the EE-side record in a new tab via deep link</w:t>
      </w:r>
    </w:p>
    <w:p>
      <w:pPr>
        <w:pStyle w:val="Compact"/>
        <w:numPr>
          <w:ilvl w:val="0"/>
          <w:numId w:val="1180"/>
        </w:numPr>
      </w:pPr>
      <w:r>
        <w:t xml:space="preserve">View Related API Calls — filtered API Call list for this Sync Record’s correlation ID</w:t>
      </w:r>
    </w:p>
    <w:p>
      <w:pPr>
        <w:pStyle w:val="Compact"/>
        <w:numPr>
          <w:ilvl w:val="0"/>
          <w:numId w:val="1180"/>
        </w:numPr>
      </w:pPr>
      <w:r>
        <w:t xml:space="preserve">View Translated Error — if status=Failed, jumps to the Error Translation entry that matched</w:t>
      </w:r>
    </w:p>
    <w:p>
      <w:pPr>
        <w:pStyle w:val="Compact"/>
        <w:numPr>
          <w:ilvl w:val="0"/>
          <w:numId w:val="1180"/>
        </w:numPr>
      </w:pPr>
      <w:r>
        <w:t xml:space="preserve">Cancel Sync — for Pending Sync Records, marks as Cancelled, no further attempts</w:t>
      </w:r>
    </w:p>
    <w:bookmarkEnd w:id="295"/>
    <w:bookmarkStart w:id="296" w:name="api-call-actions"/>
    <w:p>
      <w:pPr>
        <w:pStyle w:val="Heading3"/>
      </w:pPr>
      <w:r>
        <w:t xml:space="preserve">17.6.2 API Call actions</w:t>
      </w:r>
    </w:p>
    <w:p>
      <w:pPr>
        <w:pStyle w:val="Compact"/>
        <w:numPr>
          <w:ilvl w:val="0"/>
          <w:numId w:val="1181"/>
        </w:numPr>
      </w:pPr>
      <w:r>
        <w:t xml:space="preserve">Replay This Call — re-issues the exact same request (idempotency-key-aware; identical responses are detected)</w:t>
      </w:r>
    </w:p>
    <w:p>
      <w:pPr>
        <w:pStyle w:val="Compact"/>
        <w:numPr>
          <w:ilvl w:val="0"/>
          <w:numId w:val="1181"/>
        </w:numPr>
      </w:pPr>
      <w:r>
        <w:t xml:space="preserve">View Request Payload — opens a JSON viewer with copy button</w:t>
      </w:r>
    </w:p>
    <w:p>
      <w:pPr>
        <w:pStyle w:val="Compact"/>
        <w:numPr>
          <w:ilvl w:val="0"/>
          <w:numId w:val="1181"/>
        </w:numPr>
      </w:pPr>
      <w:r>
        <w:t xml:space="preserve">View Response — same</w:t>
      </w:r>
    </w:p>
    <w:p>
      <w:pPr>
        <w:pStyle w:val="Compact"/>
        <w:numPr>
          <w:ilvl w:val="0"/>
          <w:numId w:val="1181"/>
        </w:numPr>
      </w:pPr>
      <w:r>
        <w:t xml:space="preserve">Download Trace — exports correlation-ID-bound records (this API Call, parent Sync Record, related Webhook Events) as JSON for offline analysis</w:t>
      </w:r>
    </w:p>
    <w:p>
      <w:pPr>
        <w:pStyle w:val="Compact"/>
        <w:numPr>
          <w:ilvl w:val="0"/>
          <w:numId w:val="1181"/>
        </w:numPr>
      </w:pPr>
      <w:r>
        <w:t xml:space="preserve">View Translated Error — if status=Failed</w:t>
      </w:r>
    </w:p>
    <w:bookmarkEnd w:id="296"/>
    <w:bookmarkStart w:id="297" w:name="webhook-event-actions"/>
    <w:p>
      <w:pPr>
        <w:pStyle w:val="Heading3"/>
      </w:pPr>
      <w:r>
        <w:t xml:space="preserve">17.6.3 Webhook Event actions</w:t>
      </w:r>
    </w:p>
    <w:p>
      <w:pPr>
        <w:pStyle w:val="Compact"/>
        <w:numPr>
          <w:ilvl w:val="0"/>
          <w:numId w:val="1182"/>
        </w:numPr>
      </w:pPr>
      <w:r>
        <w:t xml:space="preserve">Reprocess — runs the original payload through the current ingestion logic (useful when ingestion has been bug-fixed since)</w:t>
      </w:r>
    </w:p>
    <w:p>
      <w:pPr>
        <w:pStyle w:val="Compact"/>
        <w:numPr>
          <w:ilvl w:val="0"/>
          <w:numId w:val="1182"/>
        </w:numPr>
      </w:pPr>
      <w:r>
        <w:t xml:space="preserve">View Raw Payload — JSON viewer</w:t>
      </w:r>
    </w:p>
    <w:p>
      <w:pPr>
        <w:pStyle w:val="Compact"/>
        <w:numPr>
          <w:ilvl w:val="0"/>
          <w:numId w:val="1182"/>
        </w:numPr>
      </w:pPr>
      <w:r>
        <w:t xml:space="preserve">View Downstream Documents — list of Frappe documents created/updated by this webhook’s processing</w:t>
      </w:r>
    </w:p>
    <w:p>
      <w:pPr>
        <w:pStyle w:val="Compact"/>
        <w:numPr>
          <w:ilvl w:val="0"/>
          <w:numId w:val="1182"/>
        </w:numPr>
      </w:pPr>
      <w:r>
        <w:t xml:space="preserve">Mark as Manually Handled — for webhooks the FDE has resolved out-of-band</w:t>
      </w:r>
    </w:p>
    <w:p>
      <w:pPr>
        <w:pStyle w:val="Compact"/>
        <w:numPr>
          <w:ilvl w:val="0"/>
          <w:numId w:val="1182"/>
        </w:numPr>
      </w:pPr>
      <w:r>
        <w:t xml:space="preserve">View Auth Result — debug pane showing which header carried the token and whether it matched</w:t>
      </w:r>
    </w:p>
    <w:bookmarkEnd w:id="297"/>
    <w:bookmarkStart w:id="298" w:name="queue-job-actions"/>
    <w:p>
      <w:pPr>
        <w:pStyle w:val="Heading3"/>
      </w:pPr>
      <w:r>
        <w:t xml:space="preserve">17.6.4 Queue Job actions</w:t>
      </w:r>
    </w:p>
    <w:p>
      <w:pPr>
        <w:pStyle w:val="Compact"/>
        <w:numPr>
          <w:ilvl w:val="0"/>
          <w:numId w:val="1183"/>
        </w:numPr>
      </w:pPr>
      <w:r>
        <w:t xml:space="preserve">Retry Now — same as Sync Record Retry, scoped to the job</w:t>
      </w:r>
    </w:p>
    <w:p>
      <w:pPr>
        <w:pStyle w:val="Compact"/>
        <w:numPr>
          <w:ilvl w:val="0"/>
          <w:numId w:val="1183"/>
        </w:numPr>
      </w:pPr>
      <w:r>
        <w:t xml:space="preserve">Cancel — for Queued or Retrying jobs</w:t>
      </w:r>
    </w:p>
    <w:p>
      <w:pPr>
        <w:pStyle w:val="Compact"/>
        <w:numPr>
          <w:ilvl w:val="0"/>
          <w:numId w:val="1183"/>
        </w:numPr>
      </w:pPr>
      <w:r>
        <w:t xml:space="preserve">View Stack Trace — for Failed jobs, full Python traceback</w:t>
      </w:r>
    </w:p>
    <w:p>
      <w:pPr>
        <w:pStyle w:val="Compact"/>
        <w:numPr>
          <w:ilvl w:val="0"/>
          <w:numId w:val="1183"/>
        </w:numPr>
      </w:pPr>
      <w:r>
        <w:t xml:space="preserve">Bulk Retry — from list view, retries all selected Failed jobs</w:t>
      </w:r>
    </w:p>
    <w:p>
      <w:pPr>
        <w:pStyle w:val="Compact"/>
        <w:numPr>
          <w:ilvl w:val="0"/>
          <w:numId w:val="1183"/>
        </w:numPr>
      </w:pPr>
      <w:r>
        <w:t xml:space="preserve">Bulk Cancel — same for selected Queued jobs</w:t>
      </w:r>
    </w:p>
    <w:bookmarkEnd w:id="298"/>
    <w:bookmarkStart w:id="299" w:name="integration-discrepancy-actions"/>
    <w:p>
      <w:pPr>
        <w:pStyle w:val="Heading3"/>
      </w:pPr>
      <w:r>
        <w:t xml:space="preserve">17.6.5 Integration Discrepancy actions</w:t>
      </w:r>
    </w:p>
    <w:p>
      <w:pPr>
        <w:pStyle w:val="Compact"/>
        <w:numPr>
          <w:ilvl w:val="0"/>
          <w:numId w:val="1184"/>
        </w:numPr>
      </w:pPr>
      <w:r>
        <w:t xml:space="preserve">Acknowledge — moves to In Review status, assigns to current user</w:t>
      </w:r>
    </w:p>
    <w:p>
      <w:pPr>
        <w:pStyle w:val="Compact"/>
        <w:numPr>
          <w:ilvl w:val="0"/>
          <w:numId w:val="1184"/>
        </w:numPr>
      </w:pPr>
      <w:r>
        <w:t xml:space="preserve">Resolve — captures resolution note and closes</w:t>
      </w:r>
    </w:p>
    <w:p>
      <w:pPr>
        <w:pStyle w:val="Compact"/>
        <w:numPr>
          <w:ilvl w:val="0"/>
          <w:numId w:val="1184"/>
        </w:numPr>
      </w:pPr>
      <w:r>
        <w:t xml:space="preserve">Escalate — re-routes to a different alert recipient list</w:t>
      </w:r>
    </w:p>
    <w:p>
      <w:pPr>
        <w:pStyle w:val="Compact"/>
        <w:numPr>
          <w:ilvl w:val="0"/>
          <w:numId w:val="1184"/>
        </w:numPr>
      </w:pPr>
      <w:r>
        <w:t xml:space="preserve">Link to Recon Discrepancy — if this Integration Discrepancy has a downstream recon impact</w:t>
      </w:r>
    </w:p>
    <w:p>
      <w:pPr>
        <w:pStyle w:val="Compact"/>
        <w:numPr>
          <w:ilvl w:val="0"/>
          <w:numId w:val="1184"/>
        </w:numPr>
      </w:pPr>
      <w:r>
        <w:t xml:space="preserve">View Suggested Actions — from Error Translation entry</w:t>
      </w:r>
    </w:p>
    <w:p>
      <w:pPr>
        <w:pStyle w:val="Compact"/>
        <w:numPr>
          <w:ilvl w:val="0"/>
          <w:numId w:val="1184"/>
        </w:numPr>
      </w:pPr>
      <w:r>
        <w:t xml:space="preserve">Create Replay Plan — generates a Replay Plan pre-filtered to the affected records</w:t>
      </w:r>
    </w:p>
    <w:bookmarkEnd w:id="299"/>
    <w:bookmarkEnd w:id="300"/>
    <w:bookmarkStart w:id="306"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301" w:name="on-sales-invoice"/>
    <w:p>
      <w:pPr>
        <w:pStyle w:val="Heading3"/>
      </w:pPr>
      <w:r>
        <w:t xml:space="preserve">17.7.1 On Sales Invoice</w:t>
      </w:r>
    </w:p>
    <w:p>
      <w:pPr>
        <w:pStyle w:val="Compact"/>
        <w:numPr>
          <w:ilvl w:val="0"/>
          <w:numId w:val="1185"/>
        </w:numPr>
      </w:pPr>
      <w:r>
        <w:t xml:space="preserve">EasyEcom Order — link to the EE order ID</w:t>
      </w:r>
    </w:p>
    <w:p>
      <w:pPr>
        <w:pStyle w:val="Compact"/>
        <w:numPr>
          <w:ilvl w:val="0"/>
          <w:numId w:val="1185"/>
        </w:numPr>
      </w:pPr>
      <w:r>
        <w:t xml:space="preserve">Marketplace Order Map — the recon join record</w:t>
      </w:r>
    </w:p>
    <w:p>
      <w:pPr>
        <w:pStyle w:val="Compact"/>
        <w:numPr>
          <w:ilvl w:val="0"/>
          <w:numId w:val="1185"/>
        </w:numPr>
      </w:pPr>
      <w:r>
        <w:t xml:space="preserve">Settlement Forecast — expected settlement</w:t>
      </w:r>
    </w:p>
    <w:p>
      <w:pPr>
        <w:pStyle w:val="Compact"/>
        <w:numPr>
          <w:ilvl w:val="0"/>
          <w:numId w:val="1185"/>
        </w:numPr>
      </w:pPr>
      <w:r>
        <w:t xml:space="preserve">Sync Records — full sync history of this SI</w:t>
      </w:r>
    </w:p>
    <w:p>
      <w:pPr>
        <w:pStyle w:val="Compact"/>
        <w:numPr>
          <w:ilvl w:val="0"/>
          <w:numId w:val="1185"/>
        </w:numPr>
      </w:pPr>
      <w:r>
        <w:t xml:space="preserve">API Calls — every call related to creating/updating this SI</w:t>
      </w:r>
    </w:p>
    <w:p>
      <w:pPr>
        <w:pStyle w:val="Compact"/>
        <w:numPr>
          <w:ilvl w:val="0"/>
          <w:numId w:val="1185"/>
        </w:numPr>
      </w:pPr>
      <w:r>
        <w:t xml:space="preserve">Webhook Events — every webhook that touched this SI (manifest, dispatch, return)</w:t>
      </w:r>
    </w:p>
    <w:p>
      <w:pPr>
        <w:pStyle w:val="Compact"/>
        <w:numPr>
          <w:ilvl w:val="0"/>
          <w:numId w:val="1185"/>
        </w:numPr>
      </w:pPr>
      <w:r>
        <w:t xml:space="preserve">Integration Discrepancies — any open Discrepancies referencing this SI</w:t>
      </w:r>
    </w:p>
    <w:p>
      <w:pPr>
        <w:pStyle w:val="Compact"/>
        <w:numPr>
          <w:ilvl w:val="0"/>
          <w:numId w:val="1185"/>
        </w:numPr>
      </w:pPr>
      <w:r>
        <w:t xml:space="preserve">Recon Discrepancies — downstream recon-engine Discrepancies</w:t>
      </w:r>
    </w:p>
    <w:p>
      <w:pPr>
        <w:pStyle w:val="Compact"/>
        <w:numPr>
          <w:ilvl w:val="0"/>
          <w:numId w:val="1185"/>
        </w:numPr>
      </w:pPr>
      <w:r>
        <w:t xml:space="preserve">Event Timeline — the chronological view (Section 17.8)</w:t>
      </w:r>
    </w:p>
    <w:bookmarkEnd w:id="301"/>
    <w:bookmarkStart w:id="302" w:name="on-purchase-receipt"/>
    <w:p>
      <w:pPr>
        <w:pStyle w:val="Heading3"/>
      </w:pPr>
      <w:r>
        <w:t xml:space="preserve">17.7.2 On Purchase Receipt</w:t>
      </w:r>
    </w:p>
    <w:p>
      <w:pPr>
        <w:pStyle w:val="Compact"/>
        <w:numPr>
          <w:ilvl w:val="0"/>
          <w:numId w:val="1186"/>
        </w:numPr>
      </w:pPr>
      <w:r>
        <w:t xml:space="preserve">EasyEcom GRN — link to the EE GRN ID</w:t>
      </w:r>
    </w:p>
    <w:p>
      <w:pPr>
        <w:pStyle w:val="Compact"/>
        <w:numPr>
          <w:ilvl w:val="0"/>
          <w:numId w:val="1186"/>
        </w:numPr>
      </w:pPr>
      <w:r>
        <w:t xml:space="preserve">Source Purchase Order — the parent PO</w:t>
      </w:r>
    </w:p>
    <w:p>
      <w:pPr>
        <w:pStyle w:val="Compact"/>
        <w:numPr>
          <w:ilvl w:val="0"/>
          <w:numId w:val="1186"/>
        </w:numPr>
      </w:pPr>
      <w:r>
        <w:t xml:space="preserve">Sync Records, API Calls, Webhook Events</w:t>
      </w:r>
    </w:p>
    <w:p>
      <w:pPr>
        <w:pStyle w:val="Compact"/>
        <w:numPr>
          <w:ilvl w:val="0"/>
          <w:numId w:val="1186"/>
        </w:numPr>
      </w:pPr>
      <w:r>
        <w:t xml:space="preserve">Event Timeline</w:t>
      </w:r>
    </w:p>
    <w:bookmarkEnd w:id="302"/>
    <w:bookmarkStart w:id="303" w:name="on-sales-order"/>
    <w:p>
      <w:pPr>
        <w:pStyle w:val="Heading3"/>
      </w:pPr>
      <w:r>
        <w:t xml:space="preserve">17.7.3 On Sales Order</w:t>
      </w:r>
    </w:p>
    <w:p>
      <w:pPr>
        <w:pStyle w:val="Compact"/>
        <w:numPr>
          <w:ilvl w:val="0"/>
          <w:numId w:val="1187"/>
        </w:numPr>
      </w:pPr>
      <w:r>
        <w:t xml:space="preserve">EasyEcom Order — if pushed</w:t>
      </w:r>
    </w:p>
    <w:p>
      <w:pPr>
        <w:pStyle w:val="Compact"/>
        <w:numPr>
          <w:ilvl w:val="0"/>
          <w:numId w:val="1187"/>
        </w:numPr>
      </w:pPr>
      <w:r>
        <w:t xml:space="preserve">Stock Reservation Entries — if mirrored from EE inventory-reserve</w:t>
      </w:r>
    </w:p>
    <w:p>
      <w:pPr>
        <w:pStyle w:val="Compact"/>
        <w:numPr>
          <w:ilvl w:val="0"/>
          <w:numId w:val="1187"/>
        </w:numPr>
      </w:pPr>
      <w:r>
        <w:t xml:space="preserve">Settlement Forecast</w:t>
      </w:r>
    </w:p>
    <w:p>
      <w:pPr>
        <w:pStyle w:val="Compact"/>
        <w:numPr>
          <w:ilvl w:val="0"/>
          <w:numId w:val="1187"/>
        </w:numPr>
      </w:pPr>
      <w:r>
        <w:t xml:space="preserve">Sync Records, API Calls, Webhook Events</w:t>
      </w:r>
    </w:p>
    <w:p>
      <w:pPr>
        <w:pStyle w:val="Compact"/>
        <w:numPr>
          <w:ilvl w:val="0"/>
          <w:numId w:val="1187"/>
        </w:numPr>
      </w:pPr>
      <w:r>
        <w:t xml:space="preserve">Event Timeline</w:t>
      </w:r>
    </w:p>
    <w:bookmarkEnd w:id="303"/>
    <w:bookmarkStart w:id="304" w:name="on-purchase-order"/>
    <w:p>
      <w:pPr>
        <w:pStyle w:val="Heading3"/>
      </w:pPr>
      <w:r>
        <w:t xml:space="preserve">17.7.4 On Purchase Order</w:t>
      </w:r>
    </w:p>
    <w:p>
      <w:pPr>
        <w:pStyle w:val="Compact"/>
        <w:numPr>
          <w:ilvl w:val="0"/>
          <w:numId w:val="1188"/>
        </w:numPr>
      </w:pPr>
      <w:r>
        <w:t xml:space="preserve">EasyEcom POs — list of all EE POs spawned from this ERPNext PO (multi-warehouse case)</w:t>
      </w:r>
    </w:p>
    <w:p>
      <w:pPr>
        <w:pStyle w:val="Compact"/>
        <w:numPr>
          <w:ilvl w:val="0"/>
          <w:numId w:val="1188"/>
        </w:numPr>
      </w:pPr>
      <w:r>
        <w:t xml:space="preserve">Purchase Receipts — all PRs received against this PO</w:t>
      </w:r>
    </w:p>
    <w:p>
      <w:pPr>
        <w:pStyle w:val="Compact"/>
        <w:numPr>
          <w:ilvl w:val="0"/>
          <w:numId w:val="1188"/>
        </w:numPr>
      </w:pPr>
      <w:r>
        <w:t xml:space="preserve">Sync Records, API Calls, Webhook Events</w:t>
      </w:r>
    </w:p>
    <w:bookmarkEnd w:id="304"/>
    <w:bookmarkStart w:id="305" w:name="on-item-customer-supplier-warehouse"/>
    <w:p>
      <w:pPr>
        <w:pStyle w:val="Heading3"/>
      </w:pPr>
      <w:r>
        <w:t xml:space="preserve">17.7.5 On Item / Customer / Supplier / Warehouse</w:t>
      </w:r>
    </w:p>
    <w:p>
      <w:pPr>
        <w:pStyle w:val="Compact"/>
        <w:numPr>
          <w:ilvl w:val="0"/>
          <w:numId w:val="1189"/>
        </w:numPr>
      </w:pPr>
      <w:r>
        <w:t xml:space="preserve">EasyEcom Mappings — the per-Company per-location mapping rows</w:t>
      </w:r>
    </w:p>
    <w:p>
      <w:pPr>
        <w:pStyle w:val="Compact"/>
        <w:numPr>
          <w:ilvl w:val="0"/>
          <w:numId w:val="1189"/>
        </w:numPr>
      </w:pPr>
      <w:r>
        <w:t xml:space="preserve">Sync Records — full master sync history</w:t>
      </w:r>
    </w:p>
    <w:p>
      <w:pPr>
        <w:pStyle w:val="Compact"/>
        <w:numPr>
          <w:ilvl w:val="0"/>
          <w:numId w:val="1189"/>
        </w:numPr>
      </w:pPr>
      <w:r>
        <w:t xml:space="preserve">Field Mapping Used — link to the ruleset that governs this entity’s sync</w:t>
      </w:r>
    </w:p>
    <w:p>
      <w:pPr>
        <w:pStyle w:val="Compact"/>
        <w:numPr>
          <w:ilvl w:val="0"/>
          <w:numId w:val="1189"/>
        </w:numPr>
      </w:pPr>
      <w:r>
        <w:t xml:space="preserve">Last Sync, Next Scheduled Sync</w:t>
      </w:r>
    </w:p>
    <w:p>
      <w:pPr>
        <w:pStyle w:val="Compact"/>
        <w:numPr>
          <w:ilvl w:val="0"/>
          <w:numId w:val="1189"/>
        </w:numPr>
      </w:pPr>
      <w:r>
        <w:t xml:space="preserve">Conflict History — past conflicts and how they were resolved</w:t>
      </w:r>
    </w:p>
    <w:bookmarkEnd w:id="305"/>
    <w:bookmarkEnd w:id="306"/>
    <w:bookmarkStart w:id="309"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7" w:name="anatomy"/>
    <w:p>
      <w:pPr>
        <w:pStyle w:val="Heading3"/>
      </w:pPr>
      <w:r>
        <w:t xml:space="preserve">17.8.1 Anatomy</w:t>
      </w:r>
    </w:p>
    <w:p>
      <w:pPr>
        <w:pStyle w:val="Compact"/>
        <w:numPr>
          <w:ilvl w:val="0"/>
          <w:numId w:val="1190"/>
        </w:numPr>
      </w:pPr>
      <w:r>
        <w:t xml:space="preserve">Vertical timeline, newest at top</w:t>
      </w:r>
    </w:p>
    <w:p>
      <w:pPr>
        <w:pStyle w:val="Compact"/>
        <w:numPr>
          <w:ilvl w:val="0"/>
          <w:numId w:val="1190"/>
        </w:numPr>
      </w:pPr>
      <w:r>
        <w:t xml:space="preserve">Each event is a card showing: timestamp (with relative ago), event type icon, source (poll / webhook / push / manual), one-line description, status badge</w:t>
      </w:r>
    </w:p>
    <w:p>
      <w:pPr>
        <w:pStyle w:val="Compact"/>
        <w:numPr>
          <w:ilvl w:val="0"/>
          <w:numId w:val="1190"/>
        </w:numPr>
      </w:pPr>
      <w:r>
        <w:t xml:space="preserve">Cards are colour-coded by source: blue = inbound from EE, green = outbound to EE, grey = internal Frappe action, red = error</w:t>
      </w:r>
    </w:p>
    <w:p>
      <w:pPr>
        <w:pStyle w:val="Compact"/>
        <w:numPr>
          <w:ilvl w:val="0"/>
          <w:numId w:val="1190"/>
        </w:numPr>
      </w:pPr>
      <w:r>
        <w:t xml:space="preserve">Click any card to expand to full payload and metadata</w:t>
      </w:r>
    </w:p>
    <w:p>
      <w:pPr>
        <w:pStyle w:val="Compact"/>
        <w:numPr>
          <w:ilvl w:val="0"/>
          <w:numId w:val="1190"/>
        </w:numPr>
      </w:pPr>
      <w:r>
        <w:t xml:space="preserve">Correlation IDs prominently displayed; clicking a correlation ID filters timeline to that ID</w:t>
      </w:r>
    </w:p>
    <w:p>
      <w:pPr>
        <w:pStyle w:val="Compact"/>
        <w:numPr>
          <w:ilvl w:val="0"/>
          <w:numId w:val="1190"/>
        </w:numPr>
      </w:pPr>
      <w:r>
        <w:t xml:space="preserve">Time-range filter at top (last 1h / 24h / 7d / 30d / custom)</w:t>
      </w:r>
    </w:p>
    <w:p>
      <w:pPr>
        <w:pStyle w:val="Compact"/>
        <w:numPr>
          <w:ilvl w:val="0"/>
          <w:numId w:val="1190"/>
        </w:numPr>
      </w:pPr>
      <w:r>
        <w:t xml:space="preserve">Type filter (show only API Calls / Webhooks / Sync Records / Queue Jobs)</w:t>
      </w:r>
    </w:p>
    <w:bookmarkEnd w:id="307"/>
    <w:bookmarkStart w:id="308" w:name="where-it-surfaces"/>
    <w:p>
      <w:pPr>
        <w:pStyle w:val="Heading3"/>
      </w:pPr>
      <w:r>
        <w:t xml:space="preserve">17.8.2 Where it surfaces</w:t>
      </w:r>
    </w:p>
    <w:p>
      <w:pPr>
        <w:pStyle w:val="Compact"/>
        <w:numPr>
          <w:ilvl w:val="0"/>
          <w:numId w:val="1191"/>
        </w:numPr>
      </w:pPr>
      <w:r>
        <w:t xml:space="preserve">Tab on Sales Invoice, Purchase Receipt, Sales Order, Purchase Order, Stock Entry</w:t>
      </w:r>
    </w:p>
    <w:p>
      <w:pPr>
        <w:pStyle w:val="Compact"/>
        <w:numPr>
          <w:ilvl w:val="0"/>
          <w:numId w:val="1191"/>
        </w:numPr>
      </w:pPr>
      <w:r>
        <w:t xml:space="preserve">Standalone page accessible via /app/easyecom-event-timeline?ee_order_id=</w:t>
      </w:r>
    </w:p>
    <w:p>
      <w:pPr>
        <w:pStyle w:val="Compact"/>
        <w:numPr>
          <w:ilvl w:val="0"/>
          <w:numId w:val="1191"/>
        </w:numPr>
      </w:pPr>
      <w:r>
        <w:t>From any Sync Record / API Call / Webhook Event detail page via ‘View Full Timeline’ button</w:t>
      </w:r>
    </w:p>
    <w:bookmarkEnd w:id="308"/>
    <w:bookmarkEnd w:id="309"/>
    <w:bookmarkStart w:id="312"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10" w:name="inputs"/>
    <w:p>
      <w:pPr>
        <w:pStyle w:val="Heading3"/>
      </w:pPr>
      <w:r>
        <w:t xml:space="preserve">17.9.1 Inputs</w:t>
      </w:r>
    </w:p>
    <w:p>
      <w:pPr>
        <w:pStyle w:val="Compact"/>
        <w:numPr>
          <w:ilvl w:val="0"/>
          <w:numId w:val="1192"/>
        </w:numPr>
      </w:pPr>
      <w:r>
        <w:t xml:space="preserve">Identifier type: auto-detect from format, or explicit dropdown</w:t>
      </w:r>
    </w:p>
    <w:p>
      <w:pPr>
        <w:pStyle w:val="Compact"/>
        <w:numPr>
          <w:ilvl w:val="0"/>
          <w:numId w:val="1192"/>
        </w:numPr>
      </w:pPr>
      <w:r>
        <w:t xml:space="preserve">Company: defaults to current scope; multi-Company option for aggregator FDEs</w:t>
      </w:r>
    </w:p>
    <w:p>
      <w:pPr>
        <w:pStyle w:val="Compact"/>
        <w:numPr>
          <w:ilvl w:val="0"/>
          <w:numId w:val="1192"/>
        </w:numPr>
      </w:pPr>
      <w:r>
        <w:t xml:space="preserve">Time range: defaults to last 90 days; expandable</w:t>
      </w:r>
    </w:p>
    <w:bookmarkEnd w:id="310"/>
    <w:bookmarkStart w:id="311" w:name="outputs-for-an-order-id"/>
    <w:p>
      <w:pPr>
        <w:pStyle w:val="Heading3"/>
      </w:pPr>
      <w:r>
        <w:t xml:space="preserve">17.9.2 Outputs (for an order ID)</w:t>
      </w:r>
    </w:p>
    <w:p>
      <w:pPr>
        <w:pStyle w:val="Compact"/>
        <w:numPr>
          <w:ilvl w:val="0"/>
          <w:numId w:val="1193"/>
        </w:numPr>
      </w:pPr>
      <w:r>
        <w:t>Resolution: this EE order ID maps to ERPNext Sales Invoice X (or ‘not yet ingested’ / ‘multiple matches’ / ‘cancelled’)</w:t>
      </w:r>
    </w:p>
    <w:p>
      <w:pPr>
        <w:pStyle w:val="Compact"/>
        <w:numPr>
          <w:ilvl w:val="0"/>
          <w:numId w:val="1193"/>
        </w:numPr>
      </w:pPr>
      <w:r>
        <w:t>Current state on EasyEcom side: last pulled state, last pulled at, with ‘Refresh from EasyEcom’ button</w:t>
      </w:r>
    </w:p>
    <w:p>
      <w:pPr>
        <w:pStyle w:val="Compact"/>
        <w:numPr>
          <w:ilvl w:val="0"/>
          <w:numId w:val="1193"/>
        </w:numPr>
      </w:pPr>
      <w:r>
        <w:t xml:space="preserve">Current state on ERPNext side: SI status, total, customer, key dates</w:t>
      </w:r>
    </w:p>
    <w:p>
      <w:pPr>
        <w:pStyle w:val="Compact"/>
        <w:numPr>
          <w:ilvl w:val="0"/>
          <w:numId w:val="1193"/>
        </w:numPr>
      </w:pPr>
      <w:r>
        <w:t xml:space="preserve">Drift report: any field that differs between the two sides</w:t>
      </w:r>
    </w:p>
    <w:p>
      <w:pPr>
        <w:pStyle w:val="Compact"/>
        <w:numPr>
          <w:ilvl w:val="0"/>
          <w:numId w:val="1193"/>
        </w:numPr>
      </w:pPr>
      <w:r>
        <w:t xml:space="preserve">Event timeline: scoped to this identifier</w:t>
      </w:r>
    </w:p>
    <w:p>
      <w:pPr>
        <w:pStyle w:val="Compact"/>
        <w:numPr>
          <w:ilvl w:val="0"/>
          <w:numId w:val="1193"/>
        </w:numPr>
      </w:pPr>
      <w:r>
        <w:t xml:space="preserve">Related identifiers: marketplace_order_id, awb_number, manifest_id, settlement_batch (if any)</w:t>
      </w:r>
    </w:p>
    <w:p>
      <w:pPr>
        <w:pStyle w:val="Compact"/>
        <w:numPr>
          <w:ilvl w:val="0"/>
          <w:numId w:val="1193"/>
        </w:numPr>
      </w:pPr>
      <w:r>
        <w:t xml:space="preserve">Open Discrepancies: any integration or recon Discrepancy referencing this identifier</w:t>
      </w:r>
    </w:p>
    <w:p>
      <w:pPr>
        <w:pStyle w:val="Compact"/>
        <w:numPr>
          <w:ilvl w:val="0"/>
          <w:numId w:val="1193"/>
        </w:numPr>
      </w:pPr>
      <w:r>
        <w:t>Suggested actions: based on detected state — ‘Force Resync’, ‘Replay manifest webhook’, ‘Create Replay Plan’, etc.</w:t>
      </w:r>
    </w:p>
    <w:bookmarkEnd w:id="311"/>
    <w:bookmarkEnd w:id="312"/>
    <w:bookmarkStart w:id="315"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3" w:name="sync-items-modal"/>
    <w:p>
      <w:pPr>
        <w:pStyle w:val="Heading3"/>
      </w:pPr>
      <w:r>
        <w:t xml:space="preserve">17.10.1 Sync Items modal</w:t>
      </w:r>
    </w:p>
    <w:p>
      <w:pPr>
        <w:pStyle w:val="Compact"/>
        <w:numPr>
          <w:ilvl w:val="0"/>
          <w:numId w:val="1194"/>
        </w:numPr>
      </w:pPr>
      <w:r>
        <w:t xml:space="preserve">Scope dropdown: Selected Items / Items Modified Since / Items in Item Group / All Items</w:t>
      </w:r>
    </w:p>
    <w:p>
      <w:pPr>
        <w:pStyle w:val="Compact"/>
        <w:numPr>
          <w:ilvl w:val="0"/>
          <w:numId w:val="1194"/>
        </w:numPr>
      </w:pPr>
      <w:r>
        <w:t xml:space="preserve">If Selected: searchable Item picker (Make Item inline-create option for ad-hoc)</w:t>
      </w:r>
    </w:p>
    <w:p>
      <w:pPr>
        <w:pStyle w:val="Compact"/>
        <w:numPr>
          <w:ilvl w:val="0"/>
          <w:numId w:val="1194"/>
        </w:numPr>
      </w:pPr>
      <w:r>
        <w:t xml:space="preserve">If Modified Since: datetime picker (default last 24h)</w:t>
      </w:r>
    </w:p>
    <w:p>
      <w:pPr>
        <w:pStyle w:val="Compact"/>
        <w:numPr>
          <w:ilvl w:val="0"/>
          <w:numId w:val="1194"/>
        </w:numPr>
      </w:pPr>
      <w:r>
        <w:t xml:space="preserve">If Item Group: Item Group picker</w:t>
      </w:r>
    </w:p>
    <w:p>
      <w:pPr>
        <w:pStyle w:val="Compact"/>
        <w:numPr>
          <w:ilvl w:val="0"/>
          <w:numId w:val="1194"/>
        </w:numPr>
      </w:pPr>
      <w:r>
        <w:t xml:space="preserve">If All: confirmation dialog with count and ETA</w:t>
      </w:r>
    </w:p>
    <w:p>
      <w:pPr>
        <w:pStyle w:val="Compact"/>
        <w:numPr>
          <w:ilvl w:val="0"/>
          <w:numId w:val="1194"/>
        </w:numPr>
      </w:pPr>
      <w:r>
        <w:t xml:space="preserve">Direction: Push to EasyEcom / Pull from EasyEcom / Both</w:t>
      </w:r>
    </w:p>
    <w:p>
      <w:pPr>
        <w:pStyle w:val="Compact"/>
        <w:numPr>
          <w:ilvl w:val="0"/>
          <w:numId w:val="1194"/>
        </w:numPr>
      </w:pPr>
      <w:r>
        <w:t xml:space="preserve">Mode: Standard / Force (overrides hash check; pushes even if no change detected)</w:t>
      </w:r>
    </w:p>
    <w:p>
      <w:pPr>
        <w:pStyle w:val="Compact"/>
        <w:numPr>
          <w:ilvl w:val="0"/>
          <w:numId w:val="1194"/>
        </w:numPr>
      </w:pPr>
      <w:r>
        <w:t xml:space="preserve">Dry run option: shows what would happen without committing</w:t>
      </w:r>
    </w:p>
    <w:p>
      <w:pPr>
        <w:pStyle w:val="Compact"/>
        <w:numPr>
          <w:ilvl w:val="0"/>
          <w:numId w:val="1194"/>
        </w:numPr>
      </w:pPr>
      <w:r>
        <w:t>Continue button: enqueues the work and shows a toast ‘Item sync job has been enqueued.’ with a link to the resulting Queue Job</w:t>
      </w:r>
    </w:p>
    <w:bookmarkEnd w:id="313"/>
    <w:bookmarkStart w:id="314" w:name="other-sync-now-options"/>
    <w:p>
      <w:pPr>
        <w:pStyle w:val="Heading3"/>
      </w:pPr>
      <w:r>
        <w:t xml:space="preserve">17.10.2 Other Sync Now options</w:t>
      </w:r>
    </w:p>
    <w:p>
      <w:pPr>
        <w:pStyle w:val="Compact"/>
        <w:numPr>
          <w:ilvl w:val="0"/>
          <w:numId w:val="1195"/>
        </w:numPr>
      </w:pPr>
      <w:r>
        <w:t xml:space="preserve">Sync Customers — same shape, scope = Selected / Modified Since / All</w:t>
      </w:r>
    </w:p>
    <w:p>
      <w:pPr>
        <w:pStyle w:val="Compact"/>
        <w:numPr>
          <w:ilvl w:val="0"/>
          <w:numId w:val="1195"/>
        </w:numPr>
      </w:pPr>
      <w:r>
        <w:t xml:space="preserve">Sync Suppliers — same</w:t>
      </w:r>
    </w:p>
    <w:p>
      <w:pPr>
        <w:pStyle w:val="Compact"/>
        <w:numPr>
          <w:ilvl w:val="0"/>
          <w:numId w:val="1195"/>
        </w:numPr>
      </w:pPr>
      <w:r>
        <w:t xml:space="preserve">Sync Tax Categories — full sync only (no scope; small dataset)</w:t>
      </w:r>
    </w:p>
    <w:p>
      <w:pPr>
        <w:pStyle w:val="Compact"/>
        <w:numPr>
          <w:ilvl w:val="0"/>
          <w:numId w:val="1195"/>
        </w:numPr>
      </w:pPr>
      <w:r>
        <w:t xml:space="preserve">Sync All Masters — runs Item, Customer, Supplier, Tax Category, Channel sequentially</w:t>
      </w:r>
    </w:p>
    <w:p>
      <w:pPr>
        <w:pStyle w:val="Compact"/>
        <w:numPr>
          <w:ilvl w:val="0"/>
          <w:numId w:val="1195"/>
        </w:numPr>
      </w:pPr>
      <w:r>
        <w:t xml:space="preserve">Pull Orders Now — bypasses cadence; pulls orders since last cursor immediately</w:t>
      </w:r>
    </w:p>
    <w:p>
      <w:pPr>
        <w:pStyle w:val="Compact"/>
        <w:numPr>
          <w:ilvl w:val="0"/>
          <w:numId w:val="1195"/>
        </w:numPr>
      </w:pPr>
      <w:r>
        <w:t xml:space="preserve">Pull GRNs Now — same for GRNs</w:t>
      </w:r>
    </w:p>
    <w:p>
      <w:pPr>
        <w:pStyle w:val="Compact"/>
        <w:numPr>
          <w:ilvl w:val="0"/>
          <w:numId w:val="1195"/>
        </w:numPr>
      </w:pPr>
      <w:r>
        <w:t xml:space="preserve">Pull Returns Now — same for returns</w:t>
      </w:r>
    </w:p>
    <w:p>
      <w:pPr>
        <w:pStyle w:val="Compact"/>
        <w:numPr>
          <w:ilvl w:val="0"/>
          <w:numId w:val="1195"/>
        </w:numPr>
      </w:pPr>
      <w:r>
        <w:t xml:space="preserve">Pull Inventory Snapshot — full inventory pull on demand (used during drift investigation)</w:t>
      </w:r>
    </w:p>
    <w:bookmarkEnd w:id="314"/>
    <w:bookmarkEnd w:id="315"/>
    <w:bookmarkStart w:id="316"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96"/>
        </w:numPr>
      </w:pPr>
      <w:r>
        <w:t xml:space="preserve">Clear All Caches button on the EasyEcom Account (System Manager only); shows toast on success</w:t>
      </w:r>
    </w:p>
    <w:p>
      <w:pPr>
        <w:pStyle w:val="Compact"/>
        <w:numPr>
          <w:ilvl w:val="0"/>
          <w:numId w:val="1196"/>
        </w:numPr>
      </w:pPr>
      <w:r>
        <w:t xml:space="preserve">Clear JWT Cache button per EasyEcom Location (forces re-auth on next call)</w:t>
      </w:r>
    </w:p>
    <w:p>
      <w:pPr>
        <w:pStyle w:val="Compact"/>
        <w:numPr>
          <w:ilvl w:val="0"/>
          <w:numId w:val="1196"/>
        </w:numPr>
      </w:pPr>
      <w:r>
        <w:t xml:space="preserve">Clear Field Mapping Cache button on Field Mapping detail (forces recompilation)</w:t>
      </w:r>
    </w:p>
    <w:p>
      <w:pPr>
        <w:pStyle w:val="Compact"/>
        <w:numPr>
          <w:ilvl w:val="0"/>
          <w:numId w:val="1196"/>
        </w:numPr>
      </w:pPr>
      <w:r>
        <w:t xml:space="preserve">Clear Master ID Cache button on the EasyEcom Account (drops cached Item/Customer/Supplier ID lookups)</w:t>
      </w:r>
    </w:p>
    <w:p>
      <w:pPr>
        <w:pStyle w:val="Compact"/>
        <w:numPr>
          <w:ilvl w:val="0"/>
          <w:numId w:val="1196"/>
        </w:numPr>
      </w:pPr>
      <w:r>
        <w:t xml:space="preserve">Cache state inspector — read-only view of what’s currently cached and when each entry was acquired</w:t>
      </w:r>
    </w:p>
    <w:p>
      <w:pPr>
        <w:pStyle w:val="Compact"/>
        <w:numPr>
          <w:ilvl w:val="0"/>
          <w:numId w:val="1196"/>
        </w:numPr>
      </w:pPr>
      <w:r>
        <w:t xml:space="preserve">Configuration Audit captures every manual cache clear (who, when, which cache)</w:t>
      </w:r>
    </w:p>
    <w:bookmarkEnd w:id="316"/>
    <w:bookmarkStart w:id="317"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7"/>
        </w:numPr>
      </w:pPr>
      <w:r>
        <w:t>Async action enqueued: toast ‘Item sync job has been enqueued.’ with link to the Queue Job</w:t>
      </w:r>
    </w:p>
    <w:p>
      <w:pPr>
        <w:pStyle w:val="Compact"/>
        <w:numPr>
          <w:ilvl w:val="0"/>
          <w:numId w:val="1197"/>
        </w:numPr>
      </w:pPr>
      <w:r>
        <w:t>Sync action started: toast ‘Pulling orders from EasyEcom…’ with progress bar where applicable</w:t>
      </w:r>
    </w:p>
    <w:p>
      <w:pPr>
        <w:pStyle w:val="Compact"/>
        <w:numPr>
          <w:ilvl w:val="0"/>
          <w:numId w:val="1197"/>
        </w:numPr>
      </w:pPr>
      <w:r>
        <w:t>Sync action completed: toast ‘Pulled 47 orders, 3 errors.’ with link to detailed result</w:t>
      </w:r>
    </w:p>
    <w:p>
      <w:pPr>
        <w:pStyle w:val="Compact"/>
        <w:numPr>
          <w:ilvl w:val="0"/>
          <w:numId w:val="1197"/>
        </w:numPr>
      </w:pPr>
      <w:r>
        <w:t>Cache cleared: toast ‘Cache cleared.’ (simple confirmation)</w:t>
      </w:r>
    </w:p>
    <w:p>
      <w:pPr>
        <w:pStyle w:val="Compact"/>
        <w:numPr>
          <w:ilvl w:val="0"/>
          <w:numId w:val="1197"/>
        </w:numPr>
      </w:pPr>
      <w:r>
        <w:t>Configuration saved: toast ‘Settings saved.’ plus inline indication if the change requires sync restart</w:t>
      </w:r>
    </w:p>
    <w:p>
      <w:pPr>
        <w:pStyle w:val="Compact"/>
        <w:numPr>
          <w:ilvl w:val="0"/>
          <w:numId w:val="1197"/>
        </w:numPr>
      </w:pPr>
      <w:r>
        <w:t xml:space="preserve">Replay dry-run completed: results displayed inline with count of records that would be affected</w:t>
      </w:r>
    </w:p>
    <w:p>
      <w:pPr>
        <w:pStyle w:val="Compact"/>
        <w:numPr>
          <w:ilvl w:val="0"/>
          <w:numId w:val="1197"/>
        </w:numPr>
      </w:pPr>
      <w:r>
        <w:t>Error: toast in red with the translated error message and a ‘Show details’ link to full traceback</w:t>
      </w:r>
    </w:p>
    <w:bookmarkEnd w:id="317"/>
    <w:bookmarkStart w:id="318"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8"/>
        </w:numPr>
      </w:pPr>
      <w:r>
        <w:t xml:space="preserve">Active Company indicator in the page header (icon + name), always visible</w:t>
      </w:r>
    </w:p>
    <w:p>
      <w:pPr>
        <w:pStyle w:val="Compact"/>
        <w:numPr>
          <w:ilvl w:val="0"/>
          <w:numId w:val="1198"/>
        </w:numPr>
      </w:pPr>
      <w:r>
        <w:t xml:space="preserve">Switching Company via the standard Frappe Company switcher refreshes all integration views</w:t>
      </w:r>
    </w:p>
    <w:p>
      <w:pPr>
        <w:pStyle w:val="Compact"/>
        <w:numPr>
          <w:ilvl w:val="0"/>
          <w:numId w:val="119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8"/>
        </w:numPr>
      </w:pPr>
      <w:r>
        <w:t xml:space="preserve">Cross-Company list views show Company as the first column</w:t>
      </w:r>
    </w:p>
    <w:p>
      <w:pPr>
        <w:pStyle w:val="Compact"/>
        <w:numPr>
          <w:ilvl w:val="0"/>
          <w:numId w:val="1198"/>
        </w:numPr>
      </w:pPr>
      <w:r>
        <w:t xml:space="preserve">Audit log records the Company context of every action</w:t>
      </w:r>
    </w:p>
    <w:bookmarkEnd w:id="318"/>
    <w:bookmarkEnd w:id="319"/>
    <w:bookmarkStart w:id="330"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20"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20"/>
    <w:bookmarkStart w:id="321"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21"/>
    <w:bookmarkStart w:id="322"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9"/>
        </w:numPr>
      </w:pPr>
      <w:r>
        <w:t xml:space="preserve">Per-Company recipient lists per severity (Critical / Error / Warning recipients can be different sets of people)</w:t>
      </w:r>
    </w:p>
    <w:p>
      <w:pPr>
        <w:pStyle w:val="Compact"/>
        <w:numPr>
          <w:ilvl w:val="0"/>
          <w:numId w:val="1199"/>
        </w:numPr>
      </w:pPr>
      <w:r>
        <w:t xml:space="preserve">Per-channel recipient sub-lists (email-only recipients, Slack-only recipients, etc.)</w:t>
      </w:r>
    </w:p>
    <w:p>
      <w:pPr>
        <w:pStyle w:val="Compact"/>
        <w:numPr>
          <w:ilvl w:val="0"/>
          <w:numId w:val="1199"/>
        </w:numPr>
      </w:pPr>
      <w:r>
        <w:t xml:space="preserve">On-call rotations: a Recipient Group can be configured as a rotation with date ranges; the system routes to whoever is on-call at the time of the alert</w:t>
      </w:r>
    </w:p>
    <w:p>
      <w:pPr>
        <w:pStyle w:val="Compact"/>
        <w:numPr>
          <w:ilvl w:val="0"/>
          <w:numId w:val="1199"/>
        </w:numPr>
      </w:pPr>
      <w:r>
        <w:t xml:space="preserve">Escalation chains: if a Critical alert is not acknowledged within the SLA, escalates to a secondary recipient list</w:t>
      </w:r>
    </w:p>
    <w:p>
      <w:pPr>
        <w:pStyle w:val="Compact"/>
        <w:numPr>
          <w:ilvl w:val="0"/>
          <w:numId w:val="1199"/>
        </w:numPr>
      </w:pPr>
      <w:r>
        <w:t xml:space="preserve">Quiet hours: per-recipient configurable; non-Critical alerts queued until quiet hours end</w:t>
      </w:r>
    </w:p>
    <w:bookmarkEnd w:id="322"/>
    <w:bookmarkStart w:id="323"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200"/>
        </w:numPr>
      </w:pPr>
      <w:r>
        <w:t xml:space="preserve">Identical alert (same alert_key) within 5 min: deduplicated; the second occurrence updates the existing alert’s count, no new notification</w:t>
      </w:r>
    </w:p>
    <w:p>
      <w:pPr>
        <w:pStyle w:val="Compact"/>
        <w:numPr>
          <w:ilvl w:val="0"/>
          <w:numId w:val="1200"/>
        </w:numPr>
      </w:pPr>
      <w:r>
        <w:t xml:space="preserve">Alert flood detection: if &gt; 50 alerts of the same alert_key fire within 15 min, suppression activates — only the first and a 15-min summary are sent</w:t>
      </w:r>
    </w:p>
    <w:p>
      <w:pPr>
        <w:pStyle w:val="Compact"/>
        <w:numPr>
          <w:ilvl w:val="0"/>
          <w:numId w:val="1200"/>
        </w:numPr>
      </w:pPr>
      <w:r>
        <w:t xml:space="preserve">Maintenance windows: configurable downtime windows during which non-Critical alerts are suppressed</w:t>
      </w:r>
    </w:p>
    <w:p>
      <w:pPr>
        <w:pStyle w:val="Compact"/>
        <w:numPr>
          <w:ilvl w:val="0"/>
          <w:numId w:val="1200"/>
        </w:numPr>
      </w:pPr>
      <w:r>
        <w:t xml:space="preserve">Manual snooze: an FDE can snooze an alert family for 1h / 4h / 24h with a required reason (logged)</w:t>
      </w:r>
    </w:p>
    <w:p>
      <w:pPr>
        <w:pStyle w:val="Compact"/>
        <w:numPr>
          <w:ilvl w:val="0"/>
          <w:numId w:val="1200"/>
        </w:numPr>
      </w:pPr>
      <w:r>
        <w:t xml:space="preserve">Acknowledgement stops re-alerting: once an alert is acknowledged, it does not re-notify until it transitions Resolved or Reopened</w:t>
      </w:r>
    </w:p>
    <w:p>
      <w:pPr>
        <w:pStyle w:val="Compact"/>
        <w:numPr>
          <w:ilvl w:val="0"/>
          <w:numId w:val="1200"/>
        </w:numPr>
      </w:pPr>
      <w:r>
        <w:t>Group-by rules: alerts of the same type within a sliding window are bundled — ‘GRN ingestion failed for 7 PRs in last 10 min’ instead of 7 separate alerts</w:t>
      </w:r>
    </w:p>
    <w:bookmarkEnd w:id="323"/>
    <w:bookmarkStart w:id="324"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201"/>
        </w:numPr>
      </w:pPr>
      <w:r>
        <w:t xml:space="preserve">Fired — alert created and notifications sent</w:t>
      </w:r>
    </w:p>
    <w:p>
      <w:pPr>
        <w:pStyle w:val="Compact"/>
        <w:numPr>
          <w:ilvl w:val="0"/>
          <w:numId w:val="1201"/>
        </w:numPr>
      </w:pPr>
      <w:r>
        <w:t xml:space="preserve">Acknowledged — operator clicked Acknowledge; pauses re-alerting</w:t>
      </w:r>
    </w:p>
    <w:p>
      <w:pPr>
        <w:pStyle w:val="Compact"/>
        <w:numPr>
          <w:ilvl w:val="0"/>
          <w:numId w:val="1201"/>
        </w:numPr>
      </w:pPr>
      <w:r>
        <w:t xml:space="preserve">In Investigation — operator opened the underlying record and is working on it</w:t>
      </w:r>
    </w:p>
    <w:p>
      <w:pPr>
        <w:pStyle w:val="Compact"/>
        <w:numPr>
          <w:ilvl w:val="0"/>
          <w:numId w:val="1201"/>
        </w:numPr>
      </w:pPr>
      <w:r>
        <w:t xml:space="preserve">Resolved — operator marked resolved with a resolution note (mandatory)</w:t>
      </w:r>
    </w:p>
    <w:p>
      <w:pPr>
        <w:pStyle w:val="Compact"/>
        <w:numPr>
          <w:ilvl w:val="0"/>
          <w:numId w:val="1201"/>
        </w:numPr>
      </w:pPr>
      <w:r>
        <w:t xml:space="preserve">Reopened — if the underlying condition recurs within 1h of resolution</w:t>
      </w:r>
    </w:p>
    <w:p>
      <w:pPr>
        <w:pStyle w:val="Compact"/>
        <w:numPr>
          <w:ilvl w:val="0"/>
          <w:numId w:val="1201"/>
        </w:numPr>
      </w:pPr>
      <w:r>
        <w:t xml:space="preserve">Auto-closed — for self-recovering alerts (e.g., API error rate dropped back below threshold), with an audit note</w:t>
      </w:r>
    </w:p>
    <w:bookmarkEnd w:id="324"/>
    <w:bookmarkStart w:id="325"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5"/>
    <w:bookmarkStart w:id="328" w:name="daily-and-weekly-digests"/>
    <w:p>
      <w:pPr>
        <w:pStyle w:val="Heading2"/>
      </w:pPr>
      <w:r>
        <w:t xml:space="preserve">18.7 Daily and weekly digests</w:t>
      </w:r>
    </w:p>
    <w:bookmarkStart w:id="326"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202"/>
        </w:numPr>
      </w:pPr>
      <w:r>
        <w:t xml:space="preserve">Yesterday’s API call success rate vs 7-day baseline</w:t>
      </w:r>
    </w:p>
    <w:p>
      <w:pPr>
        <w:pStyle w:val="Compact"/>
        <w:numPr>
          <w:ilvl w:val="0"/>
          <w:numId w:val="1202"/>
        </w:numPr>
      </w:pPr>
      <w:r>
        <w:t xml:space="preserve">Yesterday’s webhook receipt count vs 7-day baseline</w:t>
      </w:r>
    </w:p>
    <w:p>
      <w:pPr>
        <w:pStyle w:val="Compact"/>
        <w:numPr>
          <w:ilvl w:val="0"/>
          <w:numId w:val="1202"/>
        </w:numPr>
      </w:pPr>
      <w:r>
        <w:t xml:space="preserve">New Critical and Error alerts fired yesterday (with links)</w:t>
      </w:r>
    </w:p>
    <w:p>
      <w:pPr>
        <w:pStyle w:val="Compact"/>
        <w:numPr>
          <w:ilvl w:val="0"/>
          <w:numId w:val="1202"/>
        </w:numPr>
      </w:pPr>
      <w:r>
        <w:t xml:space="preserve">New Integration Discrepancies created yesterday with financial impact</w:t>
      </w:r>
    </w:p>
    <w:p>
      <w:pPr>
        <w:pStyle w:val="Compact"/>
        <w:numPr>
          <w:ilvl w:val="0"/>
          <w:numId w:val="1202"/>
        </w:numPr>
      </w:pPr>
      <w:r>
        <w:t xml:space="preserve">Open Discrepancies &gt; 24h old (count by severity)</w:t>
      </w:r>
    </w:p>
    <w:p>
      <w:pPr>
        <w:pStyle w:val="Compact"/>
        <w:numPr>
          <w:ilvl w:val="0"/>
          <w:numId w:val="1202"/>
        </w:numPr>
      </w:pPr>
      <w:r>
        <w:t xml:space="preserve">Sync Records that have failed &gt; 5 times (likely permanent failures needing FDE intervention)</w:t>
      </w:r>
    </w:p>
    <w:p>
      <w:pPr>
        <w:pStyle w:val="Compact"/>
        <w:numPr>
          <w:ilvl w:val="0"/>
          <w:numId w:val="1202"/>
        </w:numPr>
      </w:pPr>
      <w:r>
        <w:t xml:space="preserve">Pointer to today’s Morning Brief (Section 24)</w:t>
      </w:r>
    </w:p>
    <w:bookmarkEnd w:id="326"/>
    <w:bookmarkStart w:id="327"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203"/>
        </w:numPr>
      </w:pPr>
      <w:r>
        <w:t xml:space="preserve">Last week’s SLA compliance per flow</w:t>
      </w:r>
    </w:p>
    <w:p>
      <w:pPr>
        <w:pStyle w:val="Compact"/>
        <w:numPr>
          <w:ilvl w:val="0"/>
          <w:numId w:val="1203"/>
        </w:numPr>
      </w:pPr>
      <w:r>
        <w:t xml:space="preserve">Last week’s volume vs. previous 4-week baseline</w:t>
      </w:r>
    </w:p>
    <w:p>
      <w:pPr>
        <w:pStyle w:val="Compact"/>
        <w:numPr>
          <w:ilvl w:val="0"/>
          <w:numId w:val="1203"/>
        </w:numPr>
      </w:pPr>
      <w:r>
        <w:t xml:space="preserve">Top 5 Error Translation hits (which translated errors fired most)</w:t>
      </w:r>
    </w:p>
    <w:p>
      <w:pPr>
        <w:pStyle w:val="Compact"/>
        <w:numPr>
          <w:ilvl w:val="0"/>
          <w:numId w:val="1203"/>
        </w:numPr>
      </w:pPr>
      <w:r>
        <w:t xml:space="preserve">Schema drift summary (new variants observed last week)</w:t>
      </w:r>
    </w:p>
    <w:p>
      <w:pPr>
        <w:pStyle w:val="Compact"/>
        <w:numPr>
          <w:ilvl w:val="0"/>
          <w:numId w:val="1203"/>
        </w:numPr>
      </w:pPr>
      <w:r>
        <w:t xml:space="preserve">Field Mapping coverage report</w:t>
      </w:r>
    </w:p>
    <w:p>
      <w:pPr>
        <w:pStyle w:val="Compact"/>
        <w:numPr>
          <w:ilvl w:val="0"/>
          <w:numId w:val="1203"/>
        </w:numPr>
      </w:pPr>
      <w:r>
        <w:t xml:space="preserve">Configuration changes made last week (Settings, Field Mapping, Source-of-Truth Map)</w:t>
      </w:r>
    </w:p>
    <w:p>
      <w:pPr>
        <w:pStyle w:val="Compact"/>
        <w:numPr>
          <w:ilvl w:val="0"/>
          <w:numId w:val="1203"/>
        </w:numPr>
      </w:pPr>
      <w:r>
        <w:t xml:space="preserve">Replay activity summary</w:t>
      </w:r>
    </w:p>
    <w:bookmarkEnd w:id="327"/>
    <w:bookmarkEnd w:id="328"/>
    <w:bookmarkStart w:id="329" w:name="alert-configuration-audit"/>
    <w:p>
      <w:pPr>
        <w:pStyle w:val="Heading2"/>
      </w:pPr>
      <w:r>
        <w:t xml:space="preserve">18.8 Alert configuration audit</w:t>
      </w:r>
    </w:p>
    <w:p>
      <w:pPr>
        <w:pStyle w:val="Compact"/>
        <w:numPr>
          <w:ilvl w:val="0"/>
          <w:numId w:val="1204"/>
        </w:numPr>
      </w:pPr>
      <w:r>
        <w:t xml:space="preserve">Every change to alert configuration (recipient lists, thresholds, channel routing) is captured in EasyEcom Configuration Audit</w:t>
      </w:r>
    </w:p>
    <w:p>
      <w:pPr>
        <w:pStyle w:val="Compact"/>
        <w:numPr>
          <w:ilvl w:val="0"/>
          <w:numId w:val="1204"/>
        </w:numPr>
      </w:pPr>
      <w:r>
        <w:t>Quarterly review prompt sent to System Manager: ‘review your alert configurations for currency’</w:t>
      </w:r>
    </w:p>
    <w:p>
      <w:pPr>
        <w:pStyle w:val="Compact"/>
        <w:numPr>
          <w:ilvl w:val="0"/>
          <w:numId w:val="1204"/>
        </w:numPr>
      </w:pPr>
      <w:r>
        <w:t xml:space="preserve">Suppression actions (snooze, maintenance window) are also audited</w:t>
      </w:r>
    </w:p>
    <w:bookmarkEnd w:id="329"/>
    <w:bookmarkEnd w:id="330"/>
    <w:bookmarkStart w:id="345"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31"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31"/>
    <w:bookmarkStart w:id="337" w:name="strategies"/>
    <w:p>
      <w:pPr>
        <w:pStyle w:val="Heading2"/>
      </w:pPr>
      <w:r>
        <w:t xml:space="preserve">19.2 Strategies</w:t>
      </w:r>
    </w:p>
    <w:bookmarkStart w:id="332" w:name="retry-as-is"/>
    <w:p>
      <w:pPr>
        <w:pStyle w:val="Heading3"/>
      </w:pPr>
      <w:r>
        <w:t xml:space="preserve">19.2.1 Retry-As-Is</w:t>
      </w:r>
    </w:p>
    <w:p>
      <w:pPr>
        <w:pStyle w:val="Compact"/>
        <w:numPr>
          <w:ilvl w:val="0"/>
          <w:numId w:val="1205"/>
        </w:numPr>
      </w:pPr>
      <w:r>
        <w:t xml:space="preserve">Re-attempts the original operation with no changes</w:t>
      </w:r>
    </w:p>
    <w:p>
      <w:pPr>
        <w:pStyle w:val="Compact"/>
        <w:numPr>
          <w:ilvl w:val="0"/>
          <w:numId w:val="1205"/>
        </w:numPr>
      </w:pPr>
      <w:r>
        <w:t xml:space="preserve">Suitable for: transient failures (rate limit, brief outage) where the underlying records and config are correct</w:t>
      </w:r>
    </w:p>
    <w:p>
      <w:pPr>
        <w:pStyle w:val="Compact"/>
        <w:numPr>
          <w:ilvl w:val="0"/>
          <w:numId w:val="1205"/>
        </w:numPr>
      </w:pPr>
      <w:r>
        <w:t xml:space="preserve">Idempotency keys ensure no double-processing</w:t>
      </w:r>
    </w:p>
    <w:bookmarkEnd w:id="332"/>
    <w:bookmarkStart w:id="333" w:name="retry-with-override"/>
    <w:p>
      <w:pPr>
        <w:pStyle w:val="Heading3"/>
      </w:pPr>
      <w:r>
        <w:t xml:space="preserve">19.2.2 Retry-With-Override</w:t>
      </w:r>
    </w:p>
    <w:p>
      <w:pPr>
        <w:pStyle w:val="Compact"/>
        <w:numPr>
          <w:ilvl w:val="0"/>
          <w:numId w:val="1206"/>
        </w:numPr>
      </w:pPr>
      <w:r>
        <w:t xml:space="preserve">FDE supplies override_values that replace specific fields before retry</w:t>
      </w:r>
    </w:p>
    <w:p>
      <w:pPr>
        <w:pStyle w:val="Compact"/>
        <w:numPr>
          <w:ilvl w:val="0"/>
          <w:numId w:val="1206"/>
        </w:numPr>
      </w:pPr>
      <w:r>
        <w:t>Override values can be literal (set hsn_code = ‘8517’ for these 47 Items before retry) or expressions (set easyecom_company_product_id = ERPNext name + ‘-EE’ for these 12 Items)</w:t>
      </w:r>
    </w:p>
    <w:p>
      <w:pPr>
        <w:pStyle w:val="Compact"/>
        <w:numPr>
          <w:ilvl w:val="0"/>
          <w:numId w:val="1206"/>
        </w:numPr>
      </w:pPr>
      <w:r>
        <w:t xml:space="preserve">Useful when source records have a fixable defect that’s faster to override at retry time than to fix in the source data</w:t>
      </w:r>
    </w:p>
    <w:p>
      <w:pPr>
        <w:pStyle w:val="Compact"/>
        <w:numPr>
          <w:ilvl w:val="0"/>
          <w:numId w:val="1206"/>
        </w:numPr>
      </w:pPr>
      <w:r>
        <w:t xml:space="preserve">Override values are captured in audit trail so the divergence is traceable</w:t>
      </w:r>
    </w:p>
    <w:bookmarkEnd w:id="333"/>
    <w:bookmarkStart w:id="334" w:name="reprocess"/>
    <w:p>
      <w:pPr>
        <w:pStyle w:val="Heading3"/>
      </w:pPr>
      <w:r>
        <w:t xml:space="preserve">19.2.3 Reprocess</w:t>
      </w:r>
    </w:p>
    <w:p>
      <w:pPr>
        <w:pStyle w:val="Compact"/>
        <w:numPr>
          <w:ilvl w:val="0"/>
          <w:numId w:val="1207"/>
        </w:numPr>
      </w:pPr>
      <w:r>
        <w:t xml:space="preserve">Specific to Webhook Event replay — re-runs the original payload through current ingestion logic</w:t>
      </w:r>
    </w:p>
    <w:p>
      <w:pPr>
        <w:pStyle w:val="Compact"/>
        <w:numPr>
          <w:ilvl w:val="0"/>
          <w:numId w:val="1207"/>
        </w:numPr>
      </w:pPr>
      <w:r>
        <w:t xml:space="preserve">Useful when ingestion code has been bug-fixed since the original webhook arrived</w:t>
      </w:r>
    </w:p>
    <w:bookmarkEnd w:id="334"/>
    <w:bookmarkStart w:id="335" w:name="force-resync"/>
    <w:p>
      <w:pPr>
        <w:pStyle w:val="Heading3"/>
      </w:pPr>
      <w:r>
        <w:t xml:space="preserve">19.2.4 Force-Resync</w:t>
      </w:r>
    </w:p>
    <w:p>
      <w:pPr>
        <w:pStyle w:val="Compact"/>
        <w:numPr>
          <w:ilvl w:val="0"/>
          <w:numId w:val="1208"/>
        </w:numPr>
      </w:pPr>
      <w:r>
        <w:t xml:space="preserve">Pulls EasyEcom-side state and pushes ERPNext-side state regardless of hash equality</w:t>
      </w:r>
    </w:p>
    <w:p>
      <w:pPr>
        <w:pStyle w:val="Compact"/>
        <w:numPr>
          <w:ilvl w:val="0"/>
          <w:numId w:val="1208"/>
        </w:numPr>
      </w:pPr>
      <w:r>
        <w:t xml:space="preserve">Useful for suspected silent drift — when both sides claim to be current but differ</w:t>
      </w:r>
    </w:p>
    <w:bookmarkEnd w:id="335"/>
    <w:bookmarkStart w:id="336" w:name="mark-manually-resolved"/>
    <w:p>
      <w:pPr>
        <w:pStyle w:val="Heading3"/>
      </w:pPr>
      <w:r>
        <w:t xml:space="preserve">19.2.5 Mark-Manually-Resolved</w:t>
      </w:r>
    </w:p>
    <w:p>
      <w:pPr>
        <w:pStyle w:val="Compact"/>
        <w:numPr>
          <w:ilvl w:val="0"/>
          <w:numId w:val="1209"/>
        </w:numPr>
      </w:pPr>
      <w:r>
        <w:t xml:space="preserve">Closes the targeted records as resolved without retry</w:t>
      </w:r>
    </w:p>
    <w:p>
      <w:pPr>
        <w:pStyle w:val="Compact"/>
        <w:numPr>
          <w:ilvl w:val="0"/>
          <w:numId w:val="1209"/>
        </w:numPr>
      </w:pPr>
      <w:r>
        <w:t xml:space="preserve">Used when the FDE has fixed the underlying issue out-of-band (e.g., manually edited the EE record) and the integration just needs to stop trying</w:t>
      </w:r>
    </w:p>
    <w:p>
      <w:pPr>
        <w:pStyle w:val="Compact"/>
        <w:numPr>
          <w:ilvl w:val="0"/>
          <w:numId w:val="1209"/>
        </w:numPr>
      </w:pPr>
      <w:r>
        <w:t xml:space="preserve">Requires resolution_note for audit</w:t>
      </w:r>
    </w:p>
    <w:bookmarkEnd w:id="336"/>
    <w:bookmarkEnd w:id="337"/>
    <w:bookmarkStart w:id="339"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10"/>
        </w:numPr>
      </w:pPr>
      <w:r>
        <w:t xml:space="preserve">Performs all read operations (fetch source data, evaluate Field Mapping, compute payloads)</w:t>
      </w:r>
    </w:p>
    <w:p>
      <w:pPr>
        <w:pStyle w:val="Compact"/>
        <w:numPr>
          <w:ilvl w:val="0"/>
          <w:numId w:val="1210"/>
        </w:numPr>
      </w:pPr>
      <w:r>
        <w:t xml:space="preserve">Does NOT perform any write operations against EasyEcom or ERPNext</w:t>
      </w:r>
    </w:p>
    <w:p>
      <w:pPr>
        <w:pStyle w:val="Compact"/>
        <w:numPr>
          <w:ilvl w:val="0"/>
          <w:numId w:val="1210"/>
        </w:numPr>
      </w:pPr>
      <w:r>
        <w:t xml:space="preserve">Does NOT advance any cursors or modify any records</w:t>
      </w:r>
    </w:p>
    <w:p>
      <w:pPr>
        <w:pStyle w:val="Compact"/>
        <w:numPr>
          <w:ilvl w:val="0"/>
          <w:numId w:val="1210"/>
        </w:numPr>
      </w:pPr>
      <w:r>
        <w:t xml:space="preserve">Captures predicted outcomes per record: would-succeed / would-fail / would-no-op (with reason)</w:t>
      </w:r>
    </w:p>
    <w:p>
      <w:pPr>
        <w:pStyle w:val="Compact"/>
        <w:numPr>
          <w:ilvl w:val="0"/>
          <w:numId w:val="1210"/>
        </w:numPr>
      </w:pPr>
      <w:r>
        <w:t xml:space="preserve">Captures the payload that would be sent for spot-check</w:t>
      </w:r>
    </w:p>
    <w:p>
      <w:pPr>
        <w:pStyle w:val="Compact"/>
        <w:numPr>
          <w:ilvl w:val="0"/>
          <w:numId w:val="1210"/>
        </w:numPr>
      </w:pPr>
      <w:r>
        <w:t>Surfaces any rule failures or precondition violations Dry Run results are persisted in dry_run_results (JSON, per-record).</w:t>
      </w:r>
    </w:p>
    <w:bookmarkStart w:id="338"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11"/>
        </w:numPr>
      </w:pPr>
      <w:r>
        <w:t xml:space="preserve">Summary at top: predicted success count, predicted failure count, predicted no-op count</w:t>
      </w:r>
    </w:p>
    <w:p>
      <w:pPr>
        <w:pStyle w:val="Compact"/>
        <w:numPr>
          <w:ilvl w:val="0"/>
          <w:numId w:val="1211"/>
        </w:numPr>
      </w:pPr>
      <w:r>
        <w:t>Per-record table with predicted outcome, predicted error (if applicable), ‘View Payload’ inline</w:t>
      </w:r>
    </w:p>
    <w:p>
      <w:pPr>
        <w:pStyle w:val="Compact"/>
        <w:numPr>
          <w:ilvl w:val="0"/>
          <w:numId w:val="1211"/>
        </w:numPr>
      </w:pPr>
      <w:r>
        <w:t xml:space="preserve">Filter and search the per-record results</w:t>
      </w:r>
    </w:p>
    <w:p>
      <w:pPr>
        <w:pStyle w:val="Compact"/>
        <w:numPr>
          <w:ilvl w:val="0"/>
          <w:numId w:val="1211"/>
        </w:numPr>
      </w:pPr>
      <w:r>
        <w:t>‘Show Sample Payload’ to inspect the would-be-sent payload for any record</w:t>
      </w:r>
    </w:p>
    <w:p>
      <w:pPr>
        <w:pStyle w:val="Compact"/>
        <w:numPr>
          <w:ilvl w:val="0"/>
          <w:numId w:val="1211"/>
        </w:numPr>
      </w:pPr>
      <w:r>
        <w:t>‘Compare Against Original’ for Retry-With-Override: side-by-side diff of original vs. overridden payload</w:t>
      </w:r>
    </w:p>
    <w:p>
      <w:pPr>
        <w:pStyle w:val="Compact"/>
        <w:numPr>
          <w:ilvl w:val="0"/>
          <w:numId w:val="1211"/>
        </w:numPr>
      </w:pPr>
      <w:r>
        <w:t>Sign-off action: ‘I have reviewed and accept the predicted outcomes’. Required before Commit</w:t>
      </w:r>
    </w:p>
    <w:bookmarkEnd w:id="338"/>
    <w:bookmarkEnd w:id="339"/>
    <w:bookmarkStart w:id="340"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12"/>
        </w:numPr>
      </w:pPr>
      <w:r>
        <w:t xml:space="preserve">Standard Frappe filters: status, modified, etc.</w:t>
      </w:r>
    </w:p>
    <w:p>
      <w:pPr>
        <w:pStyle w:val="Compact"/>
        <w:numPr>
          <w:ilvl w:val="0"/>
          <w:numId w:val="1212"/>
        </w:numPr>
      </w:pPr>
      <w:r>
        <w:t>Failed-since filter: failed_since: ‘2026-04-30 14:00:00’</w:t>
      </w:r>
    </w:p>
    <w:p>
      <w:pPr>
        <w:pStyle w:val="Compact"/>
        <w:numPr>
          <w:ilvl w:val="0"/>
          <w:numId w:val="1212"/>
        </w:numPr>
      </w:pPr>
      <w:r>
        <w:t>Error-contains filter: error_contains: ‘HSN’</w:t>
      </w:r>
    </w:p>
    <w:p>
      <w:pPr>
        <w:pStyle w:val="Compact"/>
        <w:numPr>
          <w:ilvl w:val="0"/>
          <w:numId w:val="1212"/>
        </w:numPr>
      </w:pPr>
      <w:r>
        <w:t>Translated-error-key filter: translated_error_key: ‘EE_HSN_NOT_FOUND’</w:t>
      </w:r>
    </w:p>
    <w:p>
      <w:pPr>
        <w:pStyle w:val="Compact"/>
        <w:numPr>
          <w:ilvl w:val="0"/>
          <w:numId w:val="1212"/>
        </w:numPr>
      </w:pPr>
      <w:r>
        <w:t xml:space="preserve">Affected-document filter: affected_doctype + affected_name patterns</w:t>
      </w:r>
    </w:p>
    <w:p>
      <w:pPr>
        <w:pStyle w:val="Compact"/>
        <w:numPr>
          <w:ilvl w:val="0"/>
          <w:numId w:val="1212"/>
        </w:numPr>
      </w:pPr>
      <w:r>
        <w:t>Webhook-gap filter: missing_in_window: (‘2026-04-30 14:00’, ‘2026-04-30 18:00’) for webhook replay</w:t>
      </w:r>
    </w:p>
    <w:p>
      <w:pPr>
        <w:pStyle w:val="Compact"/>
        <w:numPr>
          <w:ilvl w:val="0"/>
          <w:numId w:val="1212"/>
        </w:numPr>
      </w:pPr>
      <w:r>
        <w:t>Compound filters: AND/OR composition The filter editor includes a Preview Count button that runs the filter without committing — gives the FDE confidence in the scope before configuring strategy.</w:t>
      </w:r>
    </w:p>
    <w:bookmarkEnd w:id="340"/>
    <w:bookmarkStart w:id="341" w:name="commit-phase"/>
    <w:p>
      <w:pPr>
        <w:pStyle w:val="Heading2"/>
      </w:pPr>
      <w:r>
        <w:t xml:space="preserve">19.5 Commit phase</w:t>
      </w:r>
    </w:p>
    <w:p>
      <w:pPr>
        <w:pStyle w:val="Compact"/>
        <w:numPr>
          <w:ilvl w:val="0"/>
          <w:numId w:val="1213"/>
        </w:numPr>
      </w:pPr>
      <w:r>
        <w:t xml:space="preserve">Commit is gated on: Dry Run completed successfully + Dry Run sign-off recorded + commit_reason populated</w:t>
      </w:r>
    </w:p>
    <w:p>
      <w:pPr>
        <w:pStyle w:val="Compact"/>
        <w:numPr>
          <w:ilvl w:val="0"/>
          <w:numId w:val="1213"/>
        </w:numPr>
      </w:pPr>
      <w:r>
        <w:t xml:space="preserve">Commit creates a parent Queue Job that spawns child Queue Jobs per affected record</w:t>
      </w:r>
    </w:p>
    <w:p>
      <w:pPr>
        <w:pStyle w:val="Compact"/>
        <w:numPr>
          <w:ilvl w:val="0"/>
          <w:numId w:val="1213"/>
        </w:numPr>
      </w:pPr>
      <w:r>
        <w:t xml:space="preserve">Throttle and max_concurrency apply</w:t>
      </w:r>
    </w:p>
    <w:p>
      <w:pPr>
        <w:pStyle w:val="Compact"/>
        <w:numPr>
          <w:ilvl w:val="0"/>
          <w:numId w:val="1213"/>
        </w:numPr>
      </w:pPr>
      <w:r>
        <w:t xml:space="preserve">Commit can be Paused or Cancelled mid-execution; the system stops issuing new operations but does not roll back already-committed ones</w:t>
      </w:r>
    </w:p>
    <w:p>
      <w:pPr>
        <w:pStyle w:val="Compact"/>
        <w:numPr>
          <w:ilvl w:val="0"/>
          <w:numId w:val="1213"/>
        </w:numPr>
      </w:pPr>
      <w:r>
        <w:t xml:space="preserve">Per-record commit results captured in commit_results</w:t>
      </w:r>
    </w:p>
    <w:p>
      <w:pPr>
        <w:pStyle w:val="Compact"/>
        <w:numPr>
          <w:ilvl w:val="0"/>
          <w:numId w:val="1213"/>
        </w:numPr>
      </w:pPr>
      <w:r>
        <w:t xml:space="preserve">On Commit completion: a summary record posted (success count, failure count, total elapsed) and a notification sent to the FDE</w:t>
      </w:r>
    </w:p>
    <w:bookmarkEnd w:id="341"/>
    <w:bookmarkStart w:id="342" w:name="audit-and-traceability"/>
    <w:p>
      <w:pPr>
        <w:pStyle w:val="Heading2"/>
      </w:pPr>
      <w:r>
        <w:t xml:space="preserve">19.6 Audit and traceability</w:t>
      </w:r>
    </w:p>
    <w:p>
      <w:pPr>
        <w:pStyle w:val="Compact"/>
        <w:numPr>
          <w:ilvl w:val="0"/>
          <w:numId w:val="1214"/>
        </w:numPr>
      </w:pPr>
      <w:r>
        <w:t xml:space="preserve">Every Replay Plan is a permanent record</w:t>
      </w:r>
    </w:p>
    <w:p>
      <w:pPr>
        <w:pStyle w:val="Compact"/>
        <w:numPr>
          <w:ilvl w:val="0"/>
          <w:numId w:val="1214"/>
        </w:numPr>
      </w:pPr>
      <w:r>
        <w:t xml:space="preserve">Every record affected carries back-references in its Sync Record: ecs_replay_plan, ecs_replay_strategy</w:t>
      </w:r>
    </w:p>
    <w:p>
      <w:pPr>
        <w:pStyle w:val="Compact"/>
        <w:numPr>
          <w:ilvl w:val="0"/>
          <w:numId w:val="1214"/>
        </w:numPr>
      </w:pPr>
      <w:r>
        <w:t xml:space="preserve">Replay Plans appear in the Configuration Audit log</w:t>
      </w:r>
    </w:p>
    <w:p>
      <w:pPr>
        <w:pStyle w:val="Compact"/>
        <w:numPr>
          <w:ilvl w:val="0"/>
          <w:numId w:val="1214"/>
        </w:numPr>
      </w:pPr>
      <w:r>
        <w:t>Reports: ‘Replay activity last 30d’ shows all plans with their outcomes</w:t>
      </w:r>
    </w:p>
    <w:bookmarkEnd w:id="342"/>
    <w:bookmarkStart w:id="343" w:name="constrained-replay-fde-permissions"/>
    <w:p>
      <w:pPr>
        <w:pStyle w:val="Heading2"/>
      </w:pPr>
      <w:r>
        <w:t xml:space="preserve">19.7 Constrained Replay (FDE permissions)</w:t>
      </w:r>
    </w:p>
    <w:p>
      <w:pPr>
        <w:pStyle w:val="Compact"/>
        <w:numPr>
          <w:ilvl w:val="0"/>
          <w:numId w:val="1215"/>
        </w:numPr>
      </w:pPr>
      <w:r>
        <w:t xml:space="preserve">Replay Plan creation: any FDE</w:t>
      </w:r>
    </w:p>
    <w:p>
      <w:pPr>
        <w:pStyle w:val="Compact"/>
        <w:numPr>
          <w:ilvl w:val="0"/>
          <w:numId w:val="1215"/>
        </w:numPr>
      </w:pPr>
      <w:r>
        <w:t xml:space="preserve">Dry Run execution: any FDE</w:t>
      </w:r>
    </w:p>
    <w:p>
      <w:pPr>
        <w:pStyle w:val="Compact"/>
        <w:numPr>
          <w:ilvl w:val="0"/>
          <w:numId w:val="1215"/>
        </w:numPr>
      </w:pPr>
      <w:r>
        <w:t xml:space="preserve">Commit: requires elevated permission (Replay Approver role) for plans affecting &gt; 100 records or financial-impact &gt; ₹100k</w:t>
      </w:r>
    </w:p>
    <w:p>
      <w:pPr>
        <w:pStyle w:val="Compact"/>
        <w:numPr>
          <w:ilvl w:val="0"/>
          <w:numId w:val="1215"/>
        </w:numPr>
      </w:pPr>
      <w:r>
        <w:t xml:space="preserve">Mark-Manually-Resolved strategy: always requires Replay Approver</w:t>
      </w:r>
    </w:p>
    <w:p>
      <w:pPr>
        <w:pStyle w:val="Compact"/>
        <w:numPr>
          <w:ilvl w:val="0"/>
          <w:numId w:val="1215"/>
        </w:numPr>
      </w:pPr>
      <w:r>
        <w:t xml:space="preserve">Configurable thresholds per Company</w:t>
      </w:r>
    </w:p>
    <w:bookmarkEnd w:id="343"/>
    <w:bookmarkStart w:id="344" w:name="common-patterns-the-spec-accommodates"/>
    <w:p>
      <w:pPr>
        <w:pStyle w:val="Heading2"/>
      </w:pPr>
      <w:r>
        <w:t xml:space="preserve">19.8 Common patterns the spec accommodates</w:t>
      </w:r>
    </w:p>
    <w:p>
      <w:pPr>
        <w:pStyle w:val="Compact"/>
        <w:numPr>
          <w:ilvl w:val="0"/>
          <w:numId w:val="1216"/>
        </w:numPr>
      </w:pPr>
      <w:r>
        <w:t>‘Replay all manifest webhooks for the last 4 hours’ — Webhook Event filter on event_type and received_at</w:t>
      </w:r>
    </w:p>
    <w:p>
      <w:pPr>
        <w:pStyle w:val="Compact"/>
        <w:numPr>
          <w:ilvl w:val="0"/>
          <w:numId w:val="1216"/>
        </w:numPr>
      </w:pPr>
      <w:r>
        <w:t>‘Retry all failed Item pushes whose error contains HSN’ — Sync Record filter on status + error_contains</w:t>
      </w:r>
    </w:p>
    <w:p>
      <w:pPr>
        <w:pStyle w:val="Compact"/>
        <w:numPr>
          <w:ilvl w:val="0"/>
          <w:numId w:val="1216"/>
        </w:numPr>
      </w:pPr>
      <w:r>
        <w:t>‘Force-resync the 12 SKUs that are drifting’ — Sync Record filter on entity_type + drift_detected</w:t>
      </w:r>
    </w:p>
    <w:p>
      <w:pPr>
        <w:pStyle w:val="Compact"/>
        <w:numPr>
          <w:ilvl w:val="0"/>
          <w:numId w:val="1216"/>
        </w:numPr>
      </w:pPr>
      <w:r>
        <w:t>‘Reprocess all manifests since the field mapping fix at 14:32’ — Webhook Event filter on event_type + received_at</w:t>
      </w:r>
    </w:p>
    <w:p>
      <w:pPr>
        <w:pStyle w:val="Compact"/>
        <w:numPr>
          <w:ilvl w:val="0"/>
          <w:numId w:val="1216"/>
        </w:numPr>
      </w:pPr>
      <w:r>
        <w:t>‘Mark-manually-resolved the 47 Items that exist on EE but we don’t sell anymore’ — Sync Record filter on entity_type + status</w:t>
      </w:r>
    </w:p>
    <w:bookmarkEnd w:id="344"/>
    <w:bookmarkEnd w:id="345"/>
    <w:bookmarkStart w:id="356"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6"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7"/>
        </w:numPr>
      </w:pPr>
      <w:r>
        <w:t xml:space="preserve">Recursively walking the JSON structure</w:t>
      </w:r>
    </w:p>
    <w:p>
      <w:pPr>
        <w:pStyle w:val="Compact"/>
        <w:numPr>
          <w:ilvl w:val="0"/>
          <w:numId w:val="1217"/>
        </w:numPr>
      </w:pPr>
      <w:r>
        <w:t xml:space="preserve">For each leaf, recording (path, type) — not the value</w:t>
      </w:r>
    </w:p>
    <w:p>
      <w:pPr>
        <w:pStyle w:val="Compact"/>
        <w:numPr>
          <w:ilvl w:val="0"/>
          <w:numId w:val="1217"/>
        </w:numPr>
      </w:pPr>
      <w:r>
        <w:t xml:space="preserve">Sorting paths lexicographically for determinism</w:t>
      </w:r>
    </w:p>
    <w:p>
      <w:pPr>
        <w:pStyle w:val="Compact"/>
        <w:numPr>
          <w:ilvl w:val="0"/>
          <w:numId w:val="1217"/>
        </w:numPr>
      </w:pPr>
      <w:r>
        <w:t>Hashing the sorted (path, type) list with SHA-256 Two payloads with the same shape (regardless of values) produce the same hash. Two payloads differing in any structural way (a new field, a missing field, a type change) produce different hashes.</w:t>
      </w:r>
    </w:p>
    <w:bookmarkEnd w:id="346"/>
    <w:bookmarkStart w:id="347"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7"/>
    <w:bookmarkStart w:id="348"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8"/>
    <w:bookmarkStart w:id="349"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8"/>
        </w:numPr>
      </w:pPr>
      <w:r>
        <w:t xml:space="preserve">If hash matches an existing Schema Snapshot: increment observation_count, update last_seen_at, no further action</w:t>
      </w:r>
    </w:p>
    <w:p>
      <w:pPr>
        <w:pStyle w:val="Compact"/>
        <w:numPr>
          <w:ilvl w:val="0"/>
          <w:numId w:val="121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9"/>
    <w:bookmarkStart w:id="350" w:name="drift-inspection-ui"/>
    <w:p>
      <w:pPr>
        <w:pStyle w:val="Heading2"/>
      </w:pPr>
      <w:r>
        <w:t xml:space="preserve">20.5 Drift inspection UI</w:t>
      </w:r>
    </w:p>
    <w:p>
      <w:pPr>
        <w:pStyle w:val="FirstParagraph"/>
      </w:pPr>
      <w:r>
        <w:t xml:space="preserve">Schema Drift detail page shows:</w:t>
      </w:r>
    </w:p>
    <w:p>
      <w:pPr>
        <w:pStyle w:val="Compact"/>
        <w:numPr>
          <w:ilvl w:val="0"/>
          <w:numId w:val="1219"/>
        </w:numPr>
      </w:pPr>
      <w:r>
        <w:t xml:space="preserve">Side-by-side: paths in this new shape vs. paths in the closest known-good shape</w:t>
      </w:r>
    </w:p>
    <w:p>
      <w:pPr>
        <w:pStyle w:val="Compact"/>
        <w:numPr>
          <w:ilvl w:val="0"/>
          <w:numId w:val="1219"/>
        </w:numPr>
      </w:pPr>
      <w:r>
        <w:t xml:space="preserve">Highlighted differences: added paths in green, removed in red, type changes in yellow</w:t>
      </w:r>
    </w:p>
    <w:p>
      <w:pPr>
        <w:pStyle w:val="Compact"/>
        <w:numPr>
          <w:ilvl w:val="0"/>
          <w:numId w:val="1219"/>
        </w:numPr>
      </w:pPr>
      <w:r>
        <w:t xml:space="preserve">Sample payloads: the new and the closest known-good, side-by-side</w:t>
      </w:r>
    </w:p>
    <w:p>
      <w:pPr>
        <w:pStyle w:val="Compact"/>
        <w:numPr>
          <w:ilvl w:val="0"/>
          <w:numId w:val="1219"/>
        </w:numPr>
      </w:pPr>
      <w:r>
        <w:t>‘Mark Known Good’ action: FDE blesses the shape; future occurrences won’t alert</w:t>
      </w:r>
    </w:p>
    <w:p>
      <w:pPr>
        <w:pStyle w:val="Compact"/>
        <w:numPr>
          <w:ilvl w:val="0"/>
          <w:numId w:val="1219"/>
        </w:numPr>
      </w:pPr>
      <w:r>
        <w:t>‘Affects Field Mapping’ action: opens the relevant Field Mapping ruleset for editing</w:t>
      </w:r>
    </w:p>
    <w:bookmarkEnd w:id="350"/>
    <w:bookmarkStart w:id="353"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51"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20"/>
        </w:numPr>
      </w:pPr>
      <w:r>
        <w:t xml:space="preserve">Sample the last 1,000 payloads processed by this ruleset</w:t>
      </w:r>
    </w:p>
    <w:p>
      <w:pPr>
        <w:pStyle w:val="Compact"/>
        <w:numPr>
          <w:ilvl w:val="0"/>
          <w:numId w:val="1220"/>
        </w:numPr>
      </w:pPr>
      <w:r>
        <w:t xml:space="preserve">For each payload, record per-path: mapped_explicitly / mapped_identity / dropped</w:t>
      </w:r>
    </w:p>
    <w:p>
      <w:pPr>
        <w:pStyle w:val="Compact"/>
        <w:numPr>
          <w:ilvl w:val="0"/>
          <w:numId w:val="1220"/>
        </w:numPr>
      </w:pPr>
      <w:r>
        <w:t xml:space="preserve">Aggregate: % per category, list of most-common dropped fields, list of most-common identity-mapped fields</w:t>
      </w:r>
    </w:p>
    <w:bookmarkEnd w:id="351"/>
    <w:bookmarkStart w:id="352" w:name="what-this-enables"/>
    <w:p>
      <w:pPr>
        <w:pStyle w:val="Heading3"/>
      </w:pPr>
      <w:r>
        <w:t xml:space="preserve">20.6.2 What this enables</w:t>
      </w:r>
    </w:p>
    <w:p>
      <w:pPr>
        <w:pStyle w:val="Compact"/>
        <w:numPr>
          <w:ilvl w:val="0"/>
          <w:numId w:val="1221"/>
        </w:numPr>
      </w:pPr>
      <w:r>
        <w:t xml:space="preserve">FDE quarterly review: are we explicitly mapping the right fields, or relying too heavily on identity defaults?</w:t>
      </w:r>
    </w:p>
    <w:p>
      <w:pPr>
        <w:pStyle w:val="Compact"/>
        <w:numPr>
          <w:ilvl w:val="0"/>
          <w:numId w:val="1221"/>
        </w:numPr>
      </w:pPr>
      <w:r>
        <w:t>Detection of ‘fields we didn’t know about’ — if a payload has a field that’s neither explicitly mapped nor identity-matched, it’s dropped silently. The coverage report surfaces these</w:t>
      </w:r>
    </w:p>
    <w:p>
      <w:pPr>
        <w:pStyle w:val="Compact"/>
        <w:numPr>
          <w:ilvl w:val="0"/>
          <w:numId w:val="1221"/>
        </w:numPr>
      </w:pPr>
      <w:r>
        <w:t xml:space="preserve">Prevention of stealthy expansion of dropped data — a previously-dropped field that’s now business-relevant gets noticed</w:t>
      </w:r>
    </w:p>
    <w:bookmarkEnd w:id="352"/>
    <w:bookmarkEnd w:id="353"/>
    <w:bookmarkStart w:id="354" w:name="sample-payload-archive"/>
    <w:p>
      <w:pPr>
        <w:pStyle w:val="Heading2"/>
      </w:pPr>
      <w:r>
        <w:t xml:space="preserve">20.7 Sample payload archive</w:t>
      </w:r>
    </w:p>
    <w:p>
      <w:pPr>
        <w:pStyle w:val="Compact"/>
        <w:numPr>
          <w:ilvl w:val="0"/>
          <w:numId w:val="1222"/>
        </w:numPr>
      </w:pPr>
      <w:r>
        <w:t xml:space="preserve">Beyond the per-Schema-Snapshot sample, an archive of payload samples is kept for diagnostic use</w:t>
      </w:r>
    </w:p>
    <w:p>
      <w:pPr>
        <w:pStyle w:val="Compact"/>
        <w:numPr>
          <w:ilvl w:val="0"/>
          <w:numId w:val="1222"/>
        </w:numPr>
      </w:pPr>
      <w:r>
        <w:t xml:space="preserve">Configurable retention — default 30 samples per endpoint per direction, rolling</w:t>
      </w:r>
    </w:p>
    <w:p>
      <w:pPr>
        <w:pStyle w:val="Compact"/>
        <w:numPr>
          <w:ilvl w:val="0"/>
          <w:numId w:val="1222"/>
        </w:numPr>
      </w:pPr>
      <w:r>
        <w:t xml:space="preserve">Always redacted using Section 3.4 rules</w:t>
      </w:r>
    </w:p>
    <w:p>
      <w:pPr>
        <w:pStyle w:val="Compact"/>
        <w:numPr>
          <w:ilvl w:val="0"/>
          <w:numId w:val="1222"/>
        </w:numPr>
      </w:pPr>
      <w:r>
        <w:t xml:space="preserve">Searchable by endpoint, direction, date</w:t>
      </w:r>
    </w:p>
    <w:p>
      <w:pPr>
        <w:pStyle w:val="Compact"/>
        <w:numPr>
          <w:ilvl w:val="0"/>
          <w:numId w:val="1222"/>
        </w:numPr>
      </w:pPr>
      <w:r>
        <w:t xml:space="preserve">Used in Replay dry-run to validate ruleset changes against representative real payloads</w:t>
      </w:r>
    </w:p>
    <w:bookmarkEnd w:id="354"/>
    <w:bookmarkStart w:id="355"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23"/>
        </w:numPr>
      </w:pPr>
      <w:r>
        <w:t xml:space="preserve">For string fields: distinct value count over time; new distinct values flagged</w:t>
      </w:r>
    </w:p>
    <w:p>
      <w:pPr>
        <w:pStyle w:val="Compact"/>
        <w:numPr>
          <w:ilvl w:val="0"/>
          <w:numId w:val="1223"/>
        </w:numPr>
      </w:pPr>
      <w:r>
        <w:t xml:space="preserve">For enum-like fields: alert if a value appears that isn’t in any enum_map transformer in any active ruleset</w:t>
      </w:r>
    </w:p>
    <w:p>
      <w:pPr>
        <w:pStyle w:val="Compact"/>
        <w:numPr>
          <w:ilvl w:val="0"/>
          <w:numId w:val="1223"/>
        </w:numPr>
      </w:pPr>
      <w:r>
        <w:t>For numeric fields: range and distribution; outliers flagged for FDE review Value-level monitoring is opt-in per field via a Schema Watch DocType — not enabled for every field by default to keep cost bounded.</w:t>
      </w:r>
    </w:p>
    <w:bookmarkEnd w:id="355"/>
    <w:bookmarkEnd w:id="356"/>
    <w:bookmarkStart w:id="367"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7"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7"/>
    <w:bookmarkStart w:id="358"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8"/>
    <w:bookmarkStart w:id="359" w:name="tracking-machinery"/>
    <w:p>
      <w:pPr>
        <w:pStyle w:val="Heading2"/>
      </w:pPr>
      <w:r>
        <w:t xml:space="preserve">21.3 Tracking machinery</w:t>
      </w:r>
    </w:p>
    <w:p>
      <w:pPr>
        <w:pStyle w:val="Compact"/>
        <w:numPr>
          <w:ilvl w:val="0"/>
          <w:numId w:val="1224"/>
        </w:numPr>
      </w:pPr>
      <w:r>
        <w:t xml:space="preserve">Every flow event is timestamped at start and end</w:t>
      </w:r>
    </w:p>
    <w:p>
      <w:pPr>
        <w:pStyle w:val="Compact"/>
        <w:numPr>
          <w:ilvl w:val="0"/>
          <w:numId w:val="1224"/>
        </w:numPr>
      </w:pPr>
      <w:r>
        <w:t xml:space="preserve">End-to-end latency computed and stored on the relevant record (Sync Record, Webhook Event, Queue Job)</w:t>
      </w:r>
    </w:p>
    <w:p>
      <w:pPr>
        <w:pStyle w:val="Compact"/>
        <w:numPr>
          <w:ilvl w:val="0"/>
          <w:numId w:val="1224"/>
        </w:numPr>
      </w:pPr>
      <w:r>
        <w:t xml:space="preserve">Hourly cron computes per-budget rolling-window percentiles</w:t>
      </w:r>
    </w:p>
    <w:p>
      <w:pPr>
        <w:pStyle w:val="Compact"/>
        <w:numPr>
          <w:ilvl w:val="0"/>
          <w:numId w:val="1224"/>
        </w:numPr>
      </w:pPr>
      <w:r>
        <w:t xml:space="preserve">Breach detected when computed percentile exceeds target</w:t>
      </w:r>
    </w:p>
    <w:p>
      <w:pPr>
        <w:pStyle w:val="Compact"/>
        <w:numPr>
          <w:ilvl w:val="0"/>
          <w:numId w:val="1224"/>
        </w:numPr>
      </w:pPr>
      <w:r>
        <w:t xml:space="preserve">Breach record (EasyEcom SLA Breach DocType) created with: budget, breach percentile, breach value, contributing records, suspected root cause</w:t>
      </w:r>
    </w:p>
    <w:p>
      <w:pPr>
        <w:pStyle w:val="Compact"/>
        <w:numPr>
          <w:ilvl w:val="0"/>
          <w:numId w:val="1224"/>
        </w:numPr>
      </w:pPr>
      <w:r>
        <w:t xml:space="preserve">Alert fires per budget’s alert_on_breach severity</w:t>
      </w:r>
    </w:p>
    <w:bookmarkEnd w:id="359"/>
    <w:bookmarkStart w:id="360"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60"/>
    <w:bookmarkStart w:id="363"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61" w:name="what-the-banner-shows"/>
    <w:p>
      <w:pPr>
        <w:pStyle w:val="Heading3"/>
      </w:pPr>
      <w:r>
        <w:t xml:space="preserve">21.5.1 What the banner shows</w:t>
      </w:r>
    </w:p>
    <w:p>
      <w:pPr>
        <w:pStyle w:val="Compact"/>
        <w:numPr>
          <w:ilvl w:val="0"/>
          <w:numId w:val="1225"/>
        </w:numPr>
      </w:pPr>
      <w:r>
        <w:t>On a Sales Order in Push Pending state: ‘Pushing to EasyEcom — expected within 60 seconds. (45 seconds elapsed)’</w:t>
      </w:r>
    </w:p>
    <w:p>
      <w:pPr>
        <w:pStyle w:val="Compact"/>
        <w:numPr>
          <w:ilvl w:val="0"/>
          <w:numId w:val="1225"/>
        </w:numPr>
      </w:pPr>
      <w:r>
        <w:t>On a Sales Invoice waiting for IRN: ‘Generating e-invoice — expected within 30 seconds.’</w:t>
      </w:r>
    </w:p>
    <w:p>
      <w:pPr>
        <w:pStyle w:val="Compact"/>
        <w:numPr>
          <w:ilvl w:val="0"/>
          <w:numId w:val="1225"/>
        </w:numPr>
      </w:pPr>
      <w:r>
        <w:t>On a Purchase Receipt awaiting GRN ingestion: ‘Awaiting EasyEcom GRN webhook. Last expected at 14:32 (3 min ago).’</w:t>
      </w:r>
    </w:p>
    <w:p>
      <w:pPr>
        <w:pStyle w:val="Compact"/>
        <w:numPr>
          <w:ilvl w:val="0"/>
          <w:numId w:val="122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25"/>
        </w:numPr>
      </w:pPr>
      <w:r>
        <w:t xml:space="preserve">Banner colour: green when within budget, yellow when approaching, red when breached</w:t>
      </w:r>
    </w:p>
    <w:p>
      <w:pPr>
        <w:pStyle w:val="Compact"/>
        <w:numPr>
          <w:ilvl w:val="0"/>
          <w:numId w:val="1225"/>
        </w:numPr>
      </w:pPr>
      <w:r>
        <w:t xml:space="preserve">Click banner: opens the underlying Queue Job / Webhook Event with full diagnostics</w:t>
      </w:r>
    </w:p>
    <w:bookmarkEnd w:id="361"/>
    <w:bookmarkStart w:id="362" w:name="where-banners-appear"/>
    <w:p>
      <w:pPr>
        <w:pStyle w:val="Heading3"/>
      </w:pPr>
      <w:r>
        <w:t xml:space="preserve">21.5.2 Where banners appear</w:t>
      </w:r>
    </w:p>
    <w:p>
      <w:pPr>
        <w:pStyle w:val="Compact"/>
        <w:numPr>
          <w:ilvl w:val="0"/>
          <w:numId w:val="1226"/>
        </w:numPr>
      </w:pPr>
      <w:r>
        <w:t xml:space="preserve">Top of any business document with an active integration commitment (SO push pending, SI awaiting IRN, PO push pending, etc.)</w:t>
      </w:r>
    </w:p>
    <w:p>
      <w:pPr>
        <w:pStyle w:val="Compact"/>
        <w:numPr>
          <w:ilvl w:val="0"/>
          <w:numId w:val="1226"/>
        </w:numPr>
      </w:pPr>
      <w:r>
        <w:t xml:space="preserve">Sticky on scroll — visible regardless of which tab the user has open within the document</w:t>
      </w:r>
    </w:p>
    <w:p>
      <w:pPr>
        <w:pStyle w:val="Compact"/>
        <w:numPr>
          <w:ilvl w:val="0"/>
          <w:numId w:val="1226"/>
        </w:numPr>
      </w:pPr>
      <w:r>
        <w:t xml:space="preserve">Auto-dismisses when the integration commitment is resolved (with a brief success toast)</w:t>
      </w:r>
    </w:p>
    <w:bookmarkEnd w:id="362"/>
    <w:bookmarkEnd w:id="363"/>
    <w:bookmarkStart w:id="364"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7"/>
        </w:numPr>
      </w:pPr>
      <w:r>
        <w:t xml:space="preserve">Per Company per flow: current week compliance %, last 4 weeks trend, breach count</w:t>
      </w:r>
    </w:p>
    <w:p>
      <w:pPr>
        <w:pStyle w:val="Compact"/>
        <w:numPr>
          <w:ilvl w:val="0"/>
          <w:numId w:val="1227"/>
        </w:numPr>
      </w:pPr>
      <w:r>
        <w:t xml:space="preserve">Heat map: SLA budget × time-of-day showing where breaches concentrate</w:t>
      </w:r>
    </w:p>
    <w:p>
      <w:pPr>
        <w:pStyle w:val="Compact"/>
        <w:numPr>
          <w:ilvl w:val="0"/>
          <w:numId w:val="1227"/>
        </w:numPr>
      </w:pPr>
      <w:r>
        <w:t xml:space="preserve">Top breaching budgets: ranked by frequency × financial impact</w:t>
      </w:r>
    </w:p>
    <w:p>
      <w:pPr>
        <w:pStyle w:val="Compact"/>
        <w:numPr>
          <w:ilvl w:val="0"/>
          <w:numId w:val="1227"/>
        </w:numPr>
      </w:pPr>
      <w:r>
        <w:t xml:space="preserve">Trend lines: are we getting better or worse</w:t>
      </w:r>
    </w:p>
    <w:bookmarkEnd w:id="364"/>
    <w:bookmarkStart w:id="365" w:name="sla-reporting"/>
    <w:p>
      <w:pPr>
        <w:pStyle w:val="Heading2"/>
      </w:pPr>
      <w:r>
        <w:t xml:space="preserve">21.7 SLA reporting</w:t>
      </w:r>
    </w:p>
    <w:p>
      <w:pPr>
        <w:pStyle w:val="Compact"/>
        <w:numPr>
          <w:ilvl w:val="0"/>
          <w:numId w:val="1228"/>
        </w:numPr>
      </w:pPr>
      <w:r>
        <w:t xml:space="preserve">Weekly SLA Compliance Report (auto-emailed to digest recipients): per-budget compliance % vs. target, breach count, top breaching periods</w:t>
      </w:r>
    </w:p>
    <w:p>
      <w:pPr>
        <w:pStyle w:val="Compact"/>
        <w:numPr>
          <w:ilvl w:val="0"/>
          <w:numId w:val="1228"/>
        </w:numPr>
      </w:pPr>
      <w:r>
        <w:t xml:space="preserve">Monthly SLA Trend Report: 4-week comparison, suspected systemic issues</w:t>
      </w:r>
    </w:p>
    <w:p>
      <w:pPr>
        <w:pStyle w:val="Compact"/>
        <w:numPr>
          <w:ilvl w:val="0"/>
          <w:numId w:val="1228"/>
        </w:numPr>
      </w:pPr>
      <w:r>
        <w:t xml:space="preserve">Quarterly review prompt: revisit budget targets — are they still right for the client’s growth?</w:t>
      </w:r>
    </w:p>
    <w:bookmarkEnd w:id="365"/>
    <w:bookmarkStart w:id="366" w:name="sla-budget-tuning-during-onboarding"/>
    <w:p>
      <w:pPr>
        <w:pStyle w:val="Heading2"/>
      </w:pPr>
      <w:r>
        <w:t xml:space="preserve">21.8 SLA budget tuning during onboarding</w:t>
      </w:r>
    </w:p>
    <w:p>
      <w:pPr>
        <w:pStyle w:val="Compact"/>
        <w:numPr>
          <w:ilvl w:val="0"/>
          <w:numId w:val="1229"/>
        </w:numPr>
      </w:pPr>
      <w:r>
        <w:t xml:space="preserve">Default budgets ship as part of the parent app fixtures</w:t>
      </w:r>
    </w:p>
    <w:p>
      <w:pPr>
        <w:pStyle w:val="Compact"/>
        <w:numPr>
          <w:ilvl w:val="0"/>
          <w:numId w:val="1229"/>
        </w:numPr>
      </w:pPr>
      <w:r>
        <w:t xml:space="preserve">FDE reviews and tunes during onboarding based on client’s expectations and observed baseline</w:t>
      </w:r>
    </w:p>
    <w:p>
      <w:pPr>
        <w:pStyle w:val="Compact"/>
        <w:numPr>
          <w:ilvl w:val="0"/>
          <w:numId w:val="1229"/>
        </w:numPr>
      </w:pPr>
      <w:r>
        <w:t xml:space="preserve">Tunings recorded in Configuration Audit</w:t>
      </w:r>
    </w:p>
    <w:p>
      <w:pPr>
        <w:pStyle w:val="Compact"/>
        <w:numPr>
          <w:ilvl w:val="0"/>
          <w:numId w:val="1229"/>
        </w:numPr>
      </w:pPr>
      <w:r>
        <w:t xml:space="preserve">Methodology team reviews tunings quarterly across the FDE fleet — outliers indicate either client-specific patterns worth standardising or FDE practices worth correcting</w:t>
      </w:r>
    </w:p>
    <w:bookmarkEnd w:id="366"/>
    <w:bookmarkEnd w:id="367"/>
    <w:bookmarkStart w:id="379"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8"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30"/>
        </w:numPr>
      </w:pPr>
      <w:r>
        <w:t xml:space="preserve">Brand house: 5-15 sub-brands, each its own legal entity for tax efficiency, sharing warehouses and ops teams</w:t>
      </w:r>
    </w:p>
    <w:p>
      <w:pPr>
        <w:pStyle w:val="Compact"/>
        <w:numPr>
          <w:ilvl w:val="0"/>
          <w:numId w:val="1230"/>
        </w:numPr>
      </w:pPr>
      <w:r>
        <w:t xml:space="preserve">Multi-marketplace seller: separate entity per marketplace category (electronics on one entity, apparel on another) for risk isolation</w:t>
      </w:r>
    </w:p>
    <w:p>
      <w:pPr>
        <w:pStyle w:val="Compact"/>
        <w:numPr>
          <w:ilvl w:val="0"/>
          <w:numId w:val="1230"/>
        </w:numPr>
      </w:pPr>
      <w:r>
        <w:t xml:space="preserve">Geographic aggregation: per-state entities for GST simplicity</w:t>
      </w:r>
    </w:p>
    <w:p>
      <w:pPr>
        <w:pStyle w:val="Compact"/>
        <w:numPr>
          <w:ilvl w:val="0"/>
          <w:numId w:val="123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8"/>
    <w:bookmarkStart w:id="369" w:name="when-cross-company-views-activate"/>
    <w:p>
      <w:pPr>
        <w:pStyle w:val="Heading2"/>
      </w:pPr>
      <w:r>
        <w:t xml:space="preserve">22.2 When cross-Company views activate</w:t>
      </w:r>
    </w:p>
    <w:p>
      <w:pPr>
        <w:pStyle w:val="Compact"/>
        <w:numPr>
          <w:ilvl w:val="0"/>
          <w:numId w:val="1231"/>
        </w:numPr>
      </w:pPr>
      <w:r>
        <w:t xml:space="preserve">Cross-Company views activate automatically when the deployment resolves to more than one Frappe Company (see Section 14.8).</w:t>
      </w:r>
    </w:p>
    <w:p>
      <w:pPr>
        <w:pStyle w:val="Compact"/>
        <w:numPr>
          <w:ilvl w:val="0"/>
          <w:numId w:val="1231"/>
        </w:numPr>
      </w:pPr>
      <w:r>
        <w:t xml:space="preserve">When the deployment resolves to a single Company, these views stay hidden — the UI stays uncluttered for single-entity clients.</w:t>
      </w:r>
    </w:p>
    <w:p>
      <w:pPr>
        <w:pStyle w:val="Compact"/>
        <w:numPr>
          <w:ilvl w:val="0"/>
          <w:numId w:val="1231"/>
        </w:numPr>
      </w:pPr>
      <w:r>
        <w:t xml:space="preserve">Per-user preference: an FDE managing one Company within a multi-Company deployment can opt out of cross-Company views for their own session.</w:t>
      </w:r>
    </w:p>
    <w:bookmarkEnd w:id="369"/>
    <w:bookmarkStart w:id="374"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70" w:name="top-row"/>
    <w:p>
      <w:pPr>
        <w:pStyle w:val="Heading3"/>
      </w:pPr>
      <w:r>
        <w:t xml:space="preserve">22.3.1 Top row</w:t>
      </w:r>
    </w:p>
    <w:p>
      <w:pPr>
        <w:pStyle w:val="Compact"/>
        <w:numPr>
          <w:ilvl w:val="0"/>
          <w:numId w:val="1232"/>
        </w:numPr>
      </w:pPr>
      <w:r>
        <w:t xml:space="preserve">Per-Company status grid: each managed Company as a tile with status dot, last-sync, open-discrepancy count</w:t>
      </w:r>
    </w:p>
    <w:p>
      <w:pPr>
        <w:pStyle w:val="Compact"/>
        <w:numPr>
          <w:ilvl w:val="0"/>
          <w:numId w:val="1232"/>
        </w:numPr>
      </w:pPr>
      <w:r>
        <w:t xml:space="preserve">Aggregate kill-switch: pause syncs across all managed Companies (separate from per-Company kill-switches)</w:t>
      </w:r>
    </w:p>
    <w:p>
      <w:pPr>
        <w:pStyle w:val="Compact"/>
        <w:numPr>
          <w:ilvl w:val="0"/>
          <w:numId w:val="1232"/>
        </w:numPr>
      </w:pPr>
      <w:r>
        <w:t xml:space="preserve">Aggregate connection status: green only if every Company is green</w:t>
      </w:r>
    </w:p>
    <w:bookmarkEnd w:id="370"/>
    <w:bookmarkStart w:id="371" w:name="number-cards-1"/>
    <w:p>
      <w:pPr>
        <w:pStyle w:val="Heading3"/>
      </w:pPr>
      <w:r>
        <w:t xml:space="preserve">22.3.2 Number Cards</w:t>
      </w:r>
    </w:p>
    <w:p>
      <w:pPr>
        <w:pStyle w:val="Compact"/>
        <w:numPr>
          <w:ilvl w:val="0"/>
          <w:numId w:val="1233"/>
        </w:numPr>
      </w:pPr>
      <w:r>
        <w:t xml:space="preserve">Total open Discrepancies across all Companies</w:t>
      </w:r>
    </w:p>
    <w:p>
      <w:pPr>
        <w:pStyle w:val="Compact"/>
        <w:numPr>
          <w:ilvl w:val="0"/>
          <w:numId w:val="1233"/>
        </w:numPr>
      </w:pPr>
      <w:r>
        <w:t xml:space="preserve">Worst-performing Company today (lowest API success rate)</w:t>
      </w:r>
    </w:p>
    <w:p>
      <w:pPr>
        <w:pStyle w:val="Compact"/>
        <w:numPr>
          <w:ilvl w:val="0"/>
          <w:numId w:val="1233"/>
        </w:numPr>
      </w:pPr>
      <w:r>
        <w:t xml:space="preserve">Aggregate API call volume last 1h</w:t>
      </w:r>
    </w:p>
    <w:p>
      <w:pPr>
        <w:pStyle w:val="Compact"/>
        <w:numPr>
          <w:ilvl w:val="0"/>
          <w:numId w:val="1233"/>
        </w:numPr>
      </w:pPr>
      <w:r>
        <w:t xml:space="preserve">Aggregate webhook receipt rate</w:t>
      </w:r>
    </w:p>
    <w:p>
      <w:pPr>
        <w:pStyle w:val="Compact"/>
        <w:numPr>
          <w:ilvl w:val="0"/>
          <w:numId w:val="1233"/>
        </w:numPr>
      </w:pPr>
      <w:r>
        <w:t xml:space="preserve">Aggregate Queue Job depth</w:t>
      </w:r>
    </w:p>
    <w:p>
      <w:pPr>
        <w:pStyle w:val="Compact"/>
        <w:numPr>
          <w:ilvl w:val="0"/>
          <w:numId w:val="1233"/>
        </w:numPr>
      </w:pPr>
      <w:r>
        <w:t xml:space="preserve">SLA breaches across all Companies last 24h</w:t>
      </w:r>
    </w:p>
    <w:bookmarkEnd w:id="371"/>
    <w:bookmarkStart w:id="372" w:name="charts"/>
    <w:p>
      <w:pPr>
        <w:pStyle w:val="Heading3"/>
      </w:pPr>
      <w:r>
        <w:t xml:space="preserve">22.3.3 Charts</w:t>
      </w:r>
    </w:p>
    <w:p>
      <w:pPr>
        <w:pStyle w:val="Compact"/>
        <w:numPr>
          <w:ilvl w:val="0"/>
          <w:numId w:val="1234"/>
        </w:numPr>
      </w:pPr>
      <w:r>
        <w:t xml:space="preserve">API success rate per Company over last 7d (small multiples — one tile per Company)</w:t>
      </w:r>
    </w:p>
    <w:p>
      <w:pPr>
        <w:pStyle w:val="Compact"/>
        <w:numPr>
          <w:ilvl w:val="0"/>
          <w:numId w:val="1234"/>
        </w:numPr>
      </w:pPr>
      <w:r>
        <w:t xml:space="preserve">Discrepancy financial impact rollup, stacked per Company over last 30d</w:t>
      </w:r>
    </w:p>
    <w:p>
      <w:pPr>
        <w:pStyle w:val="Compact"/>
        <w:numPr>
          <w:ilvl w:val="0"/>
          <w:numId w:val="1234"/>
        </w:numPr>
      </w:pPr>
      <w:r>
        <w:t xml:space="preserve">Cross-Company variance: which Companies are diverging from the group baseline</w:t>
      </w:r>
    </w:p>
    <w:bookmarkEnd w:id="372"/>
    <w:bookmarkStart w:id="373"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35"/>
        </w:numPr>
      </w:pPr>
      <w:r>
        <w:t xml:space="preserve">Per-flow per-Company table: pick a flow, see compliance % per Company side-by-side</w:t>
      </w:r>
    </w:p>
    <w:p>
      <w:pPr>
        <w:pStyle w:val="Compact"/>
        <w:numPr>
          <w:ilvl w:val="0"/>
          <w:numId w:val="1235"/>
        </w:numPr>
      </w:pPr>
      <w:r>
        <w:t xml:space="preserve">Sort by deviation from group median</w:t>
      </w:r>
    </w:p>
    <w:p>
      <w:pPr>
        <w:pStyle w:val="Compact"/>
        <w:numPr>
          <w:ilvl w:val="0"/>
          <w:numId w:val="1235"/>
        </w:numPr>
      </w:pPr>
      <w:r>
        <w:t>Drill down to the worst Company’s recent failures This is the FDE’s ‘11pm Saturday’ view — when something feels off across the group, this shows which Company to focus on first.</w:t>
      </w:r>
    </w:p>
    <w:bookmarkEnd w:id="373"/>
    <w:bookmarkEnd w:id="374"/>
    <w:bookmarkStart w:id="375" w:name="cross-company-reports"/>
    <w:p>
      <w:pPr>
        <w:pStyle w:val="Heading2"/>
      </w:pPr>
      <w:r>
        <w:t xml:space="preserve">22.4 Cross-Company Reports</w:t>
      </w:r>
    </w:p>
    <w:p>
      <w:pPr>
        <w:pStyle w:val="Compact"/>
        <w:numPr>
          <w:ilvl w:val="0"/>
          <w:numId w:val="1236"/>
        </w:numPr>
      </w:pPr>
      <w:r>
        <w:t xml:space="preserve">Cross-Company Health Rollup — every metric from per-Company Daily Sync Health, side-by-side</w:t>
      </w:r>
    </w:p>
    <w:p>
      <w:pPr>
        <w:pStyle w:val="Compact"/>
        <w:numPr>
          <w:ilvl w:val="0"/>
          <w:numId w:val="1236"/>
        </w:numPr>
      </w:pPr>
      <w:r>
        <w:t xml:space="preserve">Aggregator Discrepancy Rollup — open Discrepancies across all Companies, with financial impact roll-up</w:t>
      </w:r>
    </w:p>
    <w:p>
      <w:pPr>
        <w:pStyle w:val="Compact"/>
        <w:numPr>
          <w:ilvl w:val="0"/>
          <w:numId w:val="1236"/>
        </w:numPr>
      </w:pPr>
      <w:r>
        <w:t xml:space="preserve">Aggregator SLA Compliance — per flow per Company per week, with group rollup</w:t>
      </w:r>
    </w:p>
    <w:p>
      <w:pPr>
        <w:pStyle w:val="Compact"/>
        <w:numPr>
          <w:ilvl w:val="0"/>
          <w:numId w:val="1236"/>
        </w:numPr>
      </w:pPr>
      <w:r>
        <w:t xml:space="preserve">Aggregator Configuration Drift — Field Mapping rulesets and Settings differing across Companies (when they should usually match)</w:t>
      </w:r>
    </w:p>
    <w:p>
      <w:pPr>
        <w:pStyle w:val="Compact"/>
        <w:numPr>
          <w:ilvl w:val="0"/>
          <w:numId w:val="1236"/>
        </w:numPr>
      </w:pPr>
      <w:r>
        <w:t xml:space="preserve">Aggregator Master Sync Health — Item / Customer / Supplier sync state across Companies</w:t>
      </w:r>
    </w:p>
    <w:bookmarkEnd w:id="375"/>
    <w:bookmarkStart w:id="376"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7"/>
        </w:numPr>
      </w:pPr>
      <w:r>
        <w:t xml:space="preserve">Periodic comparison of Field Mapping rulesets across Companies</w:t>
      </w:r>
    </w:p>
    <w:p>
      <w:pPr>
        <w:pStyle w:val="Compact"/>
        <w:numPr>
          <w:ilvl w:val="0"/>
          <w:numId w:val="1237"/>
        </w:numPr>
      </w:pPr>
      <w:r>
        <w:t xml:space="preserve">Periodic comparison of EasyEcom Account and per-Company settings (excluding credentials and per-Company-by-design fields)</w:t>
      </w:r>
    </w:p>
    <w:p>
      <w:pPr>
        <w:pStyle w:val="Compact"/>
        <w:numPr>
          <w:ilvl w:val="0"/>
          <w:numId w:val="1237"/>
        </w:numPr>
      </w:pPr>
      <w:r>
        <w:t xml:space="preserve">Periodic comparison of Source-of-Truth Map patterns</w:t>
      </w:r>
    </w:p>
    <w:p>
      <w:pPr>
        <w:pStyle w:val="Compact"/>
        <w:numPr>
          <w:ilvl w:val="0"/>
          <w:numId w:val="1237"/>
        </w:numPr>
      </w:pPr>
      <w:r>
        <w:t xml:space="preserve">Drift detected: Integration Discrepancy raised with severity Info; FDE reviews</w:t>
      </w:r>
    </w:p>
    <w:p>
      <w:pPr>
        <w:pStyle w:val="Compact"/>
        <w:numPr>
          <w:ilvl w:val="0"/>
          <w:numId w:val="1237"/>
        </w:numPr>
      </w:pPr>
      <w:r>
        <w:t>FDE can mark detected drift as ‘expected’ (recorded as decision in Configuration Audit) to suppress future alerts on the same drift</w:t>
      </w:r>
    </w:p>
    <w:bookmarkEnd w:id="376"/>
    <w:bookmarkStart w:id="377"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8"/>
        </w:numPr>
      </w:pPr>
      <w:r>
        <w:t xml:space="preserve">FDE workload metric: per FDE, count of Companies managed × open-discrepancy-weight</w:t>
      </w:r>
    </w:p>
    <w:p>
      <w:pPr>
        <w:pStyle w:val="Compact"/>
        <w:numPr>
          <w:ilvl w:val="0"/>
          <w:numId w:val="1238"/>
        </w:numPr>
      </w:pPr>
      <w:r>
        <w:t xml:space="preserve">Workload imbalance alerts when an FDE’s workload exceeds 1.5× the team median</w:t>
      </w:r>
    </w:p>
    <w:p>
      <w:pPr>
        <w:pStyle w:val="Compact"/>
        <w:numPr>
          <w:ilvl w:val="0"/>
          <w:numId w:val="1238"/>
        </w:numPr>
      </w:pPr>
      <w:r>
        <w:t xml:space="preserve">Per-Company assigned-FDE field for clear ownership</w:t>
      </w:r>
    </w:p>
    <w:p>
      <w:pPr>
        <w:pStyle w:val="Compact"/>
        <w:numPr>
          <w:ilvl w:val="0"/>
          <w:numId w:val="1238"/>
        </w:numPr>
      </w:pPr>
      <w:r>
        <w:t xml:space="preserve">Discrepancy auto-routing based on assigned FDE per Company</w:t>
      </w:r>
    </w:p>
    <w:bookmarkEnd w:id="377"/>
    <w:bookmarkStart w:id="378"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9"/>
        </w:numPr>
      </w:pPr>
      <w:r>
        <w:t xml:space="preserve">Item / Customer / Supplier are shared records across Companies in ERPNext</w:t>
      </w:r>
    </w:p>
    <w:p>
      <w:pPr>
        <w:pStyle w:val="Compact"/>
        <w:numPr>
          <w:ilvl w:val="0"/>
          <w:numId w:val="1239"/>
        </w:numPr>
      </w:pPr>
      <w:r>
        <w:t xml:space="preserve">The integration shows ecs_easyecom_mappings (the per-Company per-location mapping rows) as a clear table on the Item / Customer / Supplier detail page</w:t>
      </w:r>
    </w:p>
    <w:p>
      <w:pPr>
        <w:pStyle w:val="Compact"/>
        <w:numPr>
          <w:ilvl w:val="0"/>
          <w:numId w:val="1239"/>
        </w:numPr>
      </w:pPr>
      <w:r>
        <w:t xml:space="preserve">Aggregator FDEs can see all Company mappings for a master at once</w:t>
      </w:r>
    </w:p>
    <w:p>
      <w:pPr>
        <w:pStyle w:val="Compact"/>
        <w:numPr>
          <w:ilvl w:val="0"/>
          <w:numId w:val="1239"/>
        </w:numPr>
      </w:pPr>
      <w:r>
        <w:t xml:space="preserve">Single-Company FDEs see only their Company’s mappings (filtered automatically)</w:t>
      </w:r>
    </w:p>
    <w:p>
      <w:pPr>
        <w:pStyle w:val="Compact"/>
        <w:numPr>
          <w:ilvl w:val="0"/>
          <w:numId w:val="1239"/>
        </w:numPr>
      </w:pPr>
      <w:r>
        <w:t>Action: ‘Force Resync to All Companies’ on Item / Customer / Supplier detail (System Manager only)</w:t>
      </w:r>
    </w:p>
    <w:bookmarkEnd w:id="378"/>
    <w:bookmarkEnd w:id="379"/>
    <w:bookmarkStart w:id="389"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80" w:name="X05896488efeafd0a796d623d87594aebced4716"/>
    <w:p>
      <w:pPr>
        <w:pStyle w:val="Heading2"/>
      </w:pPr>
      <w:r>
        <w:t xml:space="preserve">23.1 Why financial impact at the alert level matters</w:t>
      </w:r>
    </w:p>
    <w:p>
      <w:pPr>
        <w:pStyle w:val="Compact"/>
        <w:numPr>
          <w:ilvl w:val="0"/>
          <w:numId w:val="1240"/>
        </w:numPr>
      </w:pPr>
      <w:r>
        <w:t xml:space="preserve">Triage by impact, not by chronology — a missed manifest worth ₹4L matters more than a Item sync failure worth zero</w:t>
      </w:r>
    </w:p>
    <w:p>
      <w:pPr>
        <w:pStyle w:val="Compact"/>
        <w:numPr>
          <w:ilvl w:val="0"/>
          <w:numId w:val="1240"/>
        </w:numPr>
      </w:pPr>
      <w:r>
        <w:t>Conversation with finance — when an alert says ₹4L exposure, the finance team cares; when it says ‘sync_record_47 failed’, they don’t</w:t>
      </w:r>
    </w:p>
    <w:p>
      <w:pPr>
        <w:pStyle w:val="Compact"/>
        <w:numPr>
          <w:ilvl w:val="0"/>
          <w:numId w:val="1240"/>
        </w:numPr>
      </w:pPr>
      <w:r>
        <w:t xml:space="preserve">Demonstrable ROI — every recovered alert has a measurable saving; cumulative alert value over time becomes the product’s proven value to the client</w:t>
      </w:r>
    </w:p>
    <w:p>
      <w:pPr>
        <w:pStyle w:val="Compact"/>
        <w:numPr>
          <w:ilvl w:val="0"/>
          <w:numId w:val="1240"/>
        </w:numPr>
      </w:pPr>
      <w:r>
        <w:t xml:space="preserve">Methodology embodiment — the methodology team’s view of what each kind of failure costs is encoded in the impact computation, not buried in a checklist</w:t>
      </w:r>
    </w:p>
    <w:bookmarkEnd w:id="380"/>
    <w:bookmarkStart w:id="381"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81"/>
    <w:bookmarkStart w:id="382"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82"/>
    <w:bookmarkStart w:id="383"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41"/>
        </w:numPr>
      </w:pPr>
      <w:r>
        <w:t xml:space="preserve">Take the failing record (Sync Record / Discrepancy / SLA Breach) as input</w:t>
      </w:r>
    </w:p>
    <w:p>
      <w:pPr>
        <w:pStyle w:val="Compact"/>
        <w:numPr>
          <w:ilvl w:val="0"/>
          <w:numId w:val="1241"/>
        </w:numPr>
      </w:pPr>
      <w:r>
        <w:t xml:space="preserve">Have access to the recon engine’s data (Sales Invoices, Purchase Receipts, Settlement Forecasts) for context</w:t>
      </w:r>
    </w:p>
    <w:p>
      <w:pPr>
        <w:pStyle w:val="Compact"/>
        <w:numPr>
          <w:ilvl w:val="0"/>
          <w:numId w:val="1241"/>
        </w:numPr>
      </w:pPr>
      <w:r>
        <w:t xml:space="preserve">Return: estimate (currency), basis (string), confidence (enum), human-readable computation</w:t>
      </w:r>
    </w:p>
    <w:p>
      <w:pPr>
        <w:pStyle w:val="Compact"/>
        <w:numPr>
          <w:ilvl w:val="0"/>
          <w:numId w:val="1241"/>
        </w:numPr>
      </w:pPr>
      <w:r>
        <w:t xml:space="preserve">Are versioned and audited — methodology team owns the calculator definitions</w:t>
      </w:r>
    </w:p>
    <w:p>
      <w:pPr>
        <w:pStyle w:val="Compact"/>
        <w:numPr>
          <w:ilvl w:val="0"/>
          <w:numId w:val="1241"/>
        </w:numPr>
      </w:pPr>
      <w:r>
        <w:t xml:space="preserve">Run in a sandboxed context (no arbitrary I/O, no permission-bypassing queries)</w:t>
      </w:r>
    </w:p>
    <w:bookmarkEnd w:id="383"/>
    <w:bookmarkStart w:id="384" w:name="impact-recovery-tracking"/>
    <w:p>
      <w:pPr>
        <w:pStyle w:val="Heading2"/>
      </w:pPr>
      <w:r>
        <w:t xml:space="preserve">23.5 Impact recovery tracking</w:t>
      </w:r>
    </w:p>
    <w:p>
      <w:pPr>
        <w:pStyle w:val="Compact"/>
        <w:numPr>
          <w:ilvl w:val="0"/>
          <w:numId w:val="1242"/>
        </w:numPr>
      </w:pPr>
      <w:r>
        <w:t xml:space="preserve">When an alert / discrepancy is resolved, the financial_impact_recovered field captures the actual recovered amount</w:t>
      </w:r>
    </w:p>
    <w:p>
      <w:pPr>
        <w:pStyle w:val="Compact"/>
        <w:numPr>
          <w:ilvl w:val="0"/>
          <w:numId w:val="1242"/>
        </w:numPr>
      </w:pPr>
      <w:r>
        <w:t xml:space="preserve">Recovered may equal the estimate (full recovery) or less (partial recovery — e.g., a settlement claim partially won) or zero (failed recovery)</w:t>
      </w:r>
    </w:p>
    <w:p>
      <w:pPr>
        <w:pStyle w:val="Compact"/>
        <w:numPr>
          <w:ilvl w:val="0"/>
          <w:numId w:val="1242"/>
        </w:numPr>
      </w:pPr>
      <w:r>
        <w:t>The delta is the realised loss — feeds the methodology’s ‘leakage by category’ metric</w:t>
      </w:r>
    </w:p>
    <w:p>
      <w:pPr>
        <w:pStyle w:val="Compact"/>
        <w:numPr>
          <w:ilvl w:val="0"/>
          <w:numId w:val="1242"/>
        </w:numPr>
      </w:pPr>
      <w:r>
        <w:t>Quarterly aggregate: ‘integration prevented ₹X recovery vs. ₹Y realised loss’ — the product’s cumulative impact metric</w:t>
      </w:r>
    </w:p>
    <w:bookmarkEnd w:id="384"/>
    <w:bookmarkStart w:id="385" w:name="alert-routing-by-impact"/>
    <w:p>
      <w:pPr>
        <w:pStyle w:val="Heading2"/>
      </w:pPr>
      <w:r>
        <w:t xml:space="preserve">23.6 Alert routing by impact</w:t>
      </w:r>
    </w:p>
    <w:p>
      <w:pPr>
        <w:pStyle w:val="Compact"/>
        <w:numPr>
          <w:ilvl w:val="0"/>
          <w:numId w:val="1243"/>
        </w:numPr>
      </w:pPr>
      <w:r>
        <w:t xml:space="preserve">Low-impact (&lt; ₹10k): routes per the standard severity rules in Section 18</w:t>
      </w:r>
    </w:p>
    <w:p>
      <w:pPr>
        <w:pStyle w:val="Compact"/>
        <w:numPr>
          <w:ilvl w:val="0"/>
          <w:numId w:val="1243"/>
        </w:numPr>
      </w:pPr>
      <w:r>
        <w:t xml:space="preserve">Medium-impact (₹10k - ₹100k): elevates one severity level (Warning becomes Error, Error becomes Critical)</w:t>
      </w:r>
    </w:p>
    <w:p>
      <w:pPr>
        <w:pStyle w:val="Compact"/>
        <w:numPr>
          <w:ilvl w:val="0"/>
          <w:numId w:val="1243"/>
        </w:numPr>
      </w:pPr>
      <w:r>
        <w:t xml:space="preserve">High-impact (&gt; ₹100k): always Critical, regardless of underlying error type</w:t>
      </w:r>
    </w:p>
    <w:p>
      <w:pPr>
        <w:pStyle w:val="Compact"/>
        <w:numPr>
          <w:ilvl w:val="0"/>
          <w:numId w:val="1243"/>
        </w:numPr>
      </w:pPr>
      <w:r>
        <w:t xml:space="preserve">Very-high-impact (&gt; ₹1L): Critical + automatic escalation to client’s finance leadership (configurable per Marketplace Account)</w:t>
      </w:r>
    </w:p>
    <w:p>
      <w:pPr>
        <w:pStyle w:val="Compact"/>
        <w:numPr>
          <w:ilvl w:val="0"/>
          <w:numId w:val="1243"/>
        </w:numPr>
      </w:pPr>
      <w:r>
        <w:t xml:space="preserve">Per-Company impact thresholds configurable; defaults are reasonable for SME clients</w:t>
      </w:r>
    </w:p>
    <w:bookmarkEnd w:id="385"/>
    <w:bookmarkStart w:id="386"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6"/>
    <w:bookmarkStart w:id="387"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44"/>
        </w:numPr>
      </w:pPr>
      <w:r>
        <w:t>Cumulative since deployment: ‘Integration has surfaced ₹X exposure, ₹Y recovered, ₹Z realised loss’</w:t>
      </w:r>
    </w:p>
    <w:p>
      <w:pPr>
        <w:pStyle w:val="Compact"/>
        <w:numPr>
          <w:ilvl w:val="0"/>
          <w:numId w:val="1244"/>
        </w:numPr>
      </w:pPr>
      <w:r>
        <w:t xml:space="preserve">Trended monthly</w:t>
      </w:r>
    </w:p>
    <w:p>
      <w:pPr>
        <w:pStyle w:val="Compact"/>
        <w:numPr>
          <w:ilvl w:val="0"/>
          <w:numId w:val="1244"/>
        </w:numPr>
      </w:pPr>
      <w:r>
        <w:t xml:space="preserve">Top recovery categories (which kinds of failures contributed most)</w:t>
      </w:r>
    </w:p>
    <w:p>
      <w:pPr>
        <w:pStyle w:val="Compact"/>
        <w:numPr>
          <w:ilvl w:val="0"/>
          <w:numId w:val="1244"/>
        </w:numPr>
      </w:pPr>
      <w:r>
        <w:t>Current open exposure (sum of estimated impact on unresolved alerts) This is the most important dashboard in the product. Client renewals and expansion are won here.</w:t>
      </w:r>
    </w:p>
    <w:bookmarkEnd w:id="387"/>
    <w:bookmarkStart w:id="388" w:name="limits-and-caveats"/>
    <w:p>
      <w:pPr>
        <w:pStyle w:val="Heading2"/>
      </w:pPr>
      <w:r>
        <w:t xml:space="preserve">23.9 Limits and caveats</w:t>
      </w:r>
    </w:p>
    <w:p>
      <w:pPr>
        <w:pStyle w:val="Compact"/>
        <w:numPr>
          <w:ilvl w:val="0"/>
          <w:numId w:val="1245"/>
        </w:numPr>
      </w:pPr>
      <w:r>
        <w:t xml:space="preserve">Estimates are estimates — the calculators err on the side of slight over-estimation to ensure the FDE pays attention</w:t>
      </w:r>
    </w:p>
    <w:p>
      <w:pPr>
        <w:pStyle w:val="Compact"/>
        <w:numPr>
          <w:ilvl w:val="0"/>
          <w:numId w:val="1245"/>
        </w:numPr>
      </w:pPr>
      <w:r>
        <w:t>Confidence labels are honest — ‘Estimated’ means we’re inferring; ‘Likely’ means we have direct data; ‘Confirmed’ means a settlement event has confirmed the loss</w:t>
      </w:r>
    </w:p>
    <w:p>
      <w:pPr>
        <w:pStyle w:val="Compact"/>
        <w:numPr>
          <w:ilvl w:val="0"/>
          <w:numId w:val="124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45"/>
        </w:numPr>
      </w:pPr>
      <w:r>
        <w:t xml:space="preserve">Cumulative impact metrics should not be used for client billing or commission — they’re directional, not audit-grade</w:t>
      </w:r>
    </w:p>
    <w:p>
      <w:pPr>
        <w:pStyle w:val="Compact"/>
        <w:numPr>
          <w:ilvl w:val="0"/>
          <w:numId w:val="1245"/>
        </w:numPr>
      </w:pPr>
      <w:r>
        <w:t xml:space="preserve">Methodology team reviews calculator outputs quarterly against actual settlement data to validate accuracy</w:t>
      </w:r>
    </w:p>
    <w:bookmarkEnd w:id="388"/>
    <w:bookmarkEnd w:id="389"/>
    <w:bookmarkStart w:id="400"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90" w:name="why-this-is-its-own-surface"/>
    <w:p>
      <w:pPr>
        <w:pStyle w:val="Heading2"/>
      </w:pPr>
      <w:r>
        <w:t xml:space="preserve">24.1 Why this is its own surface</w:t>
      </w:r>
    </w:p>
    <w:p>
      <w:pPr>
        <w:pStyle w:val="Compact"/>
        <w:numPr>
          <w:ilvl w:val="0"/>
          <w:numId w:val="1246"/>
        </w:numPr>
      </w:pPr>
      <w:r>
        <w:t xml:space="preserve">Lists are forensic, not directive — they show what happened, not what to do</w:t>
      </w:r>
    </w:p>
    <w:p>
      <w:pPr>
        <w:pStyle w:val="Compact"/>
        <w:numPr>
          <w:ilvl w:val="0"/>
          <w:numId w:val="1246"/>
        </w:numPr>
      </w:pPr>
      <w:r>
        <w:t xml:space="preserve">Dashboards are diagnostic, not directive — they help analyse, not act</w:t>
      </w:r>
    </w:p>
    <w:p>
      <w:pPr>
        <w:pStyle w:val="Compact"/>
        <w:numPr>
          <w:ilvl w:val="0"/>
          <w:numId w:val="1246"/>
        </w:numPr>
      </w:pPr>
      <w:r>
        <w:t>The FDE’s morning question is ‘what should I work on today?’ — neither lists nor dashboards answer this directly</w:t>
      </w:r>
    </w:p>
    <w:p>
      <w:pPr>
        <w:pStyle w:val="Compact"/>
        <w:numPr>
          <w:ilvl w:val="0"/>
          <w:numId w:val="1246"/>
        </w:numPr>
      </w:pPr>
      <w:r>
        <w:t xml:space="preserve">A Morning Brief that ranks issues by impact and surfaces the 3-5 things worth time today turns the integration from a passive system into an actively helpful coworker</w:t>
      </w:r>
    </w:p>
    <w:p>
      <w:pPr>
        <w:pStyle w:val="Compact"/>
        <w:numPr>
          <w:ilvl w:val="0"/>
          <w:numId w:val="1246"/>
        </w:numPr>
      </w:pPr>
      <w:r>
        <w:t>This view is the core demo: ‘open this on Monday morning, this is your day’s plan’</w:t>
      </w:r>
    </w:p>
    <w:bookmarkEnd w:id="390"/>
    <w:bookmarkStart w:id="391"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91"/>
    <w:bookmarkStart w:id="392"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7"/>
        </w:numPr>
      </w:pPr>
      <w:r>
        <w:t xml:space="preserve">Each item: title, severity, financial impact, age, suggested next action with one-click route</w:t>
      </w:r>
    </w:p>
    <w:p>
      <w:pPr>
        <w:pStyle w:val="Compact"/>
        <w:numPr>
          <w:ilvl w:val="0"/>
          <w:numId w:val="1247"/>
        </w:numPr>
      </w:pPr>
      <w:r>
        <w:t xml:space="preserve">Selection algorithm: ranks all open Critical and Error alerts plus all open Discrepancies by impact_score = financial_impact * age_decay * (1 - estimated_difficulty)</w:t>
      </w:r>
    </w:p>
    <w:p>
      <w:pPr>
        <w:pStyle w:val="Compact"/>
        <w:numPr>
          <w:ilvl w:val="0"/>
          <w:numId w:val="1247"/>
        </w:numPr>
      </w:pPr>
      <w:r>
        <w:t xml:space="preserve">age_decay: 1.0 for items &lt; 6h old, 0.8 for 6-24h, 0.6 for &gt; 24h (acknowledging that older items may be in someone’s queue already)</w:t>
      </w:r>
    </w:p>
    <w:p>
      <w:pPr>
        <w:pStyle w:val="Compact"/>
        <w:numPr>
          <w:ilvl w:val="0"/>
          <w:numId w:val="1247"/>
        </w:numPr>
      </w:pPr>
      <w:r>
        <w:t xml:space="preserve">estimated_difficulty: 0 for items with one-click resolution path, 0.3 for replay-with-override, 0.6 for custom investigation</w:t>
      </w:r>
    </w:p>
    <w:p>
      <w:pPr>
        <w:pStyle w:val="Compact"/>
        <w:numPr>
          <w:ilvl w:val="0"/>
          <w:numId w:val="1247"/>
        </w:numPr>
      </w:pPr>
      <w:r>
        <w:t xml:space="preserve">Ties broken by: financial impact, then by age</w:t>
      </w:r>
    </w:p>
    <w:p>
      <w:pPr>
        <w:pStyle w:val="Compact"/>
        <w:numPr>
          <w:ilvl w:val="0"/>
          <w:numId w:val="124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92"/>
    <w:bookmarkStart w:id="393"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8"/>
        </w:numPr>
      </w:pPr>
      <w:r>
        <w:t>Volume anomalies: ‘B2C order volume yesterday was 67% of 7-day average — confirm Amazon listing health’</w:t>
      </w:r>
    </w:p>
    <w:p>
      <w:pPr>
        <w:pStyle w:val="Compact"/>
        <w:numPr>
          <w:ilvl w:val="0"/>
          <w:numId w:val="1248"/>
        </w:numPr>
      </w:pPr>
      <w:r>
        <w:t>Latency anomalies: ‘API p95 latency on /orders/V2/getAllOrders trending up; 850ms today vs 320ms baseline’</w:t>
      </w:r>
    </w:p>
    <w:p>
      <w:pPr>
        <w:pStyle w:val="Compact"/>
        <w:numPr>
          <w:ilvl w:val="0"/>
          <w:numId w:val="1248"/>
        </w:numPr>
      </w:pPr>
      <w:r>
        <w:t>Pattern anomalies: ‘Sync Records for Customer entity have a 12% retry rate today vs 2% baseline’</w:t>
      </w:r>
    </w:p>
    <w:p>
      <w:pPr>
        <w:pStyle w:val="Compact"/>
        <w:numPr>
          <w:ilvl w:val="0"/>
          <w:numId w:val="1248"/>
        </w:numPr>
      </w:pPr>
      <w:r>
        <w:t>New error patterns: ‘New translated error key EE_ORDER_DUPLICATE_REJECT seen 8 times today; not in error library’</w:t>
      </w:r>
    </w:p>
    <w:p>
      <w:pPr>
        <w:pStyle w:val="Compact"/>
        <w:numPr>
          <w:ilvl w:val="0"/>
          <w:numId w:val="1248"/>
        </w:numPr>
      </w:pPr>
      <w:r>
        <w:t>Inventory drift trends: ‘Drift between EE and ERPNext stock has grown for 3 consecutive days for 14 SKUs’</w:t>
      </w:r>
    </w:p>
    <w:bookmarkEnd w:id="393"/>
    <w:bookmarkStart w:id="394"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9"/>
        </w:numPr>
      </w:pPr>
      <w:r>
        <w:t xml:space="preserve">Discrepancies open &gt; 3 days: count + sum of impact</w:t>
      </w:r>
    </w:p>
    <w:p>
      <w:pPr>
        <w:pStyle w:val="Compact"/>
        <w:numPr>
          <w:ilvl w:val="0"/>
          <w:numId w:val="1249"/>
        </w:numPr>
      </w:pPr>
      <w:r>
        <w:t xml:space="preserve">Sync Records failed &gt; 7 days with no resolution: count</w:t>
      </w:r>
    </w:p>
    <w:p>
      <w:pPr>
        <w:pStyle w:val="Compact"/>
        <w:numPr>
          <w:ilvl w:val="0"/>
          <w:numId w:val="1249"/>
        </w:numPr>
      </w:pPr>
      <w:r>
        <w:t xml:space="preserve">Replay Plans drafted but never committed &gt; 5 days old: count</w:t>
      </w:r>
    </w:p>
    <w:p>
      <w:pPr>
        <w:pStyle w:val="Compact"/>
        <w:numPr>
          <w:ilvl w:val="0"/>
          <w:numId w:val="1249"/>
        </w:numPr>
      </w:pPr>
      <w:r>
        <w:t>Schema drifts unblessed &gt; 30 days: count Each item linked. The point is to surface the easily-ignored — the things that don’t fire alerts but slowly erode integration health.</w:t>
      </w:r>
    </w:p>
    <w:bookmarkEnd w:id="394"/>
    <w:bookmarkStart w:id="395"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50"/>
        </w:numPr>
      </w:pPr>
      <w:r>
        <w:t xml:space="preserve">Master sync success rate: 99.4% this week vs 98.9% last week (↑)</w:t>
      </w:r>
    </w:p>
    <w:p>
      <w:pPr>
        <w:pStyle w:val="Compact"/>
        <w:numPr>
          <w:ilvl w:val="0"/>
          <w:numId w:val="1250"/>
        </w:numPr>
      </w:pPr>
      <w:r>
        <w:t xml:space="preserve">B2C SI creation success rate: 99.1% this week vs 99.7% last week (↓)</w:t>
      </w:r>
    </w:p>
    <w:p>
      <w:pPr>
        <w:pStyle w:val="Compact"/>
        <w:numPr>
          <w:ilvl w:val="0"/>
          <w:numId w:val="1250"/>
        </w:numPr>
      </w:pPr>
      <w:r>
        <w:t xml:space="preserve">GRN ingestion success rate: 97.8% this week vs 96.2% last week (↑)</w:t>
      </w:r>
    </w:p>
    <w:p>
      <w:pPr>
        <w:pStyle w:val="Compact"/>
        <w:numPr>
          <w:ilvl w:val="0"/>
          <w:numId w:val="1250"/>
        </w:numPr>
      </w:pPr>
      <w:r>
        <w:t xml:space="preserve">Webhook receipt rate: 98.2% this week vs 99.1% last week (↓ — investigate)</w:t>
      </w:r>
    </w:p>
    <w:p>
      <w:pPr>
        <w:pStyle w:val="Compact"/>
        <w:numPr>
          <w:ilvl w:val="0"/>
          <w:numId w:val="1250"/>
        </w:numPr>
      </w:pPr>
      <w:r>
        <w:t>Average API success rate: 99.3% vs 99.5% (≈) Arrows are directional indicators (↑ better, ↓ worse, ≈ similar). Significant deteriorations (&gt;1% drop) get an Investigate badge.</w:t>
      </w:r>
    </w:p>
    <w:bookmarkEnd w:id="395"/>
    <w:bookmarkStart w:id="396"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6"/>
    <w:bookmarkStart w:id="397" w:name="distribution"/>
    <w:p>
      <w:pPr>
        <w:pStyle w:val="Heading2"/>
      </w:pPr>
      <w:r>
        <w:t xml:space="preserve">24.8 Distribution</w:t>
      </w:r>
    </w:p>
    <w:p>
      <w:pPr>
        <w:pStyle w:val="Compact"/>
        <w:numPr>
          <w:ilvl w:val="0"/>
          <w:numId w:val="1251"/>
        </w:numPr>
      </w:pPr>
      <w:r>
        <w:t xml:space="preserve">Email delivery to digest_recipients at 09:00 IST per Company</w:t>
      </w:r>
    </w:p>
    <w:p>
      <w:pPr>
        <w:pStyle w:val="Compact"/>
        <w:numPr>
          <w:ilvl w:val="0"/>
          <w:numId w:val="1251"/>
        </w:numPr>
      </w:pPr>
      <w:r>
        <w:t xml:space="preserve">Slack message to alert channel at the same time</w:t>
      </w:r>
    </w:p>
    <w:p>
      <w:pPr>
        <w:pStyle w:val="Compact"/>
        <w:numPr>
          <w:ilvl w:val="0"/>
          <w:numId w:val="1251"/>
        </w:numPr>
      </w:pPr>
      <w:r>
        <w:t xml:space="preserve">In-desk view always available; FDE can refresh on demand</w:t>
      </w:r>
    </w:p>
    <w:p>
      <w:pPr>
        <w:pStyle w:val="Compact"/>
        <w:numPr>
          <w:ilvl w:val="0"/>
          <w:numId w:val="1251"/>
        </w:numPr>
      </w:pPr>
      <w:r>
        <w:t xml:space="preserve">Aggregator-mode includes a multi-Company brief (one section per Company, plus a group summary)</w:t>
      </w:r>
    </w:p>
    <w:bookmarkEnd w:id="397"/>
    <w:bookmarkStart w:id="398" w:name="generation"/>
    <w:p>
      <w:pPr>
        <w:pStyle w:val="Heading2"/>
      </w:pPr>
      <w:r>
        <w:t xml:space="preserve">24.9 Generation</w:t>
      </w:r>
    </w:p>
    <w:p>
      <w:pPr>
        <w:pStyle w:val="Compact"/>
        <w:numPr>
          <w:ilvl w:val="0"/>
          <w:numId w:val="1252"/>
        </w:numPr>
      </w:pPr>
      <w:r>
        <w:t xml:space="preserve">Cron at 06:00 IST per Company; the Morning Brief is computed as a snapshot for that day</w:t>
      </w:r>
    </w:p>
    <w:p>
      <w:pPr>
        <w:pStyle w:val="Compact"/>
        <w:numPr>
          <w:ilvl w:val="0"/>
          <w:numId w:val="1252"/>
        </w:numPr>
      </w:pPr>
      <w:r>
        <w:t xml:space="preserve">Delivery (email, Slack) cron at 09:00, reads the snapshot generated 3 hours earlier</w:t>
      </w:r>
    </w:p>
    <w:p>
      <w:pPr>
        <w:pStyle w:val="Compact"/>
        <w:numPr>
          <w:ilvl w:val="0"/>
          <w:numId w:val="1252"/>
        </w:numPr>
      </w:pPr>
      <w:r>
        <w:t xml:space="preserve">Snapshot persisted; an FDE can browse historical snapshots for retrospectives</w:t>
      </w:r>
    </w:p>
    <w:p>
      <w:pPr>
        <w:pStyle w:val="Compact"/>
        <w:numPr>
          <w:ilvl w:val="0"/>
          <w:numId w:val="1252"/>
        </w:numPr>
      </w:pPr>
      <w:r>
        <w:t xml:space="preserve">Recomputation can be triggered on-demand by an FDE if needed</w:t>
      </w:r>
    </w:p>
    <w:bookmarkEnd w:id="398"/>
    <w:bookmarkStart w:id="399"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9"/>
    <w:bookmarkEnd w:id="400"/>
    <w:bookmarkStart w:id="413"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401"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401"/>
    <w:bookmarkStart w:id="406" w:name="matcher-types"/>
    <w:p>
      <w:pPr>
        <w:pStyle w:val="Heading2"/>
      </w:pPr>
      <w:r>
        <w:t xml:space="preserve">25.2 Matcher types</w:t>
      </w:r>
    </w:p>
    <w:bookmarkStart w:id="402"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402"/>
    <w:bookmarkStart w:id="403"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3"/>
    <w:bookmarkStart w:id="404"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4"/>
    <w:bookmarkStart w:id="405" w:name="compound"/>
    <w:p>
      <w:pPr>
        <w:pStyle w:val="Heading3"/>
      </w:pPr>
      <w:r>
        <w:t xml:space="preserve">25.2.4 Compound</w:t>
      </w:r>
    </w:p>
    <w:p>
      <w:pPr>
        <w:pStyle w:val="FirstParagraph"/>
      </w:pPr>
      <w:r>
        <w:t xml:space="preserve">Combines multiple matchers (AND/OR) for nuanced cases.</w:t>
      </w:r>
    </w:p>
    <w:bookmarkEnd w:id="405"/>
    <w:bookmarkEnd w:id="406"/>
    <w:bookmarkStart w:id="407"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53"/>
        </w:numPr>
      </w:pPr>
      <w:r>
        <w:t xml:space="preserve">EE_HSN_NOT_FOUND, EE_HSN_INVALID, EE_HSN_RATE_MISMATCH</w:t>
      </w:r>
    </w:p>
    <w:p>
      <w:pPr>
        <w:pStyle w:val="Compact"/>
        <w:numPr>
          <w:ilvl w:val="0"/>
          <w:numId w:val="1253"/>
        </w:numPr>
      </w:pPr>
      <w:r>
        <w:t xml:space="preserve">EE_ITEM_NOT_FOUND, EE_ITEM_INACTIVE, EE_ITEM_DUPLICATE_SKU</w:t>
      </w:r>
    </w:p>
    <w:p>
      <w:pPr>
        <w:pStyle w:val="Compact"/>
        <w:numPr>
          <w:ilvl w:val="0"/>
          <w:numId w:val="1253"/>
        </w:numPr>
      </w:pPr>
      <w:r>
        <w:t xml:space="preserve">EE_VENDOR_NOT_FOUND, EE_VENDOR_GSTIN_INVALID</w:t>
      </w:r>
    </w:p>
    <w:p>
      <w:pPr>
        <w:pStyle w:val="Compact"/>
        <w:numPr>
          <w:ilvl w:val="0"/>
          <w:numId w:val="1253"/>
        </w:numPr>
      </w:pPr>
      <w:r>
        <w:t xml:space="preserve">EE_CUSTOMER_NOT_FOUND, EE_CUSTOMER_GSTIN_INVALID</w:t>
      </w:r>
    </w:p>
    <w:p>
      <w:pPr>
        <w:pStyle w:val="Compact"/>
        <w:numPr>
          <w:ilvl w:val="0"/>
          <w:numId w:val="1253"/>
        </w:numPr>
      </w:pPr>
      <w:r>
        <w:t xml:space="preserve">EE_LOCATION_INACTIVE, EE_LOCATION_NOT_FOUND</w:t>
      </w:r>
    </w:p>
    <w:p>
      <w:pPr>
        <w:pStyle w:val="Compact"/>
        <w:numPr>
          <w:ilvl w:val="0"/>
          <w:numId w:val="1253"/>
        </w:numPr>
      </w:pPr>
      <w:r>
        <w:t xml:space="preserve">EE_RATE_LIMITED, EE_AUTH_EXPIRED, EE_AUTH_INVALID</w:t>
      </w:r>
    </w:p>
    <w:p>
      <w:pPr>
        <w:pStyle w:val="Compact"/>
        <w:numPr>
          <w:ilvl w:val="0"/>
          <w:numId w:val="1253"/>
        </w:numPr>
      </w:pPr>
      <w:r>
        <w:t xml:space="preserve">EE_DUPLICATE_ORDER, EE_DUPLICATE_GRN, EE_DUPLICATE_PO</w:t>
      </w:r>
    </w:p>
    <w:p>
      <w:pPr>
        <w:pStyle w:val="Compact"/>
        <w:numPr>
          <w:ilvl w:val="0"/>
          <w:numId w:val="1253"/>
        </w:numPr>
      </w:pPr>
      <w:r>
        <w:t xml:space="preserve">EE_INSUFFICIENT_INVENTORY, EE_LOCATION_MISMATCH</w:t>
      </w:r>
    </w:p>
    <w:p>
      <w:pPr>
        <w:pStyle w:val="Compact"/>
        <w:numPr>
          <w:ilvl w:val="0"/>
          <w:numId w:val="1253"/>
        </w:numPr>
      </w:pPr>
      <w:r>
        <w:t xml:space="preserve">EE_BATCH_REQUIRED, EE_SERIAL_REQUIRED, EE_EXPIRY_REQUIRED</w:t>
      </w:r>
    </w:p>
    <w:p>
      <w:pPr>
        <w:pStyle w:val="Compact"/>
        <w:numPr>
          <w:ilvl w:val="0"/>
          <w:numId w:val="1253"/>
        </w:numPr>
      </w:pPr>
      <w:r>
        <w:t xml:space="preserve">EE_TAX_MISMATCH, EE_TAX_CATEGORY_NOT_MAPPED</w:t>
      </w:r>
    </w:p>
    <w:p>
      <w:pPr>
        <w:pStyle w:val="Compact"/>
        <w:numPr>
          <w:ilvl w:val="0"/>
          <w:numId w:val="1253"/>
        </w:numPr>
      </w:pPr>
      <w:r>
        <w:t xml:space="preserve">EE_PAYLOAD_VALIDATION_FAILED (catch-all for malformed payloads)</w:t>
      </w:r>
    </w:p>
    <w:p>
      <w:pPr>
        <w:pStyle w:val="Compact"/>
        <w:numPr>
          <w:ilvl w:val="0"/>
          <w:numId w:val="1253"/>
        </w:numPr>
      </w:pPr>
      <w:r>
        <w:t xml:space="preserve">EE_INTERNAL_SERVER_ERROR (5xx catch-all)</w:t>
      </w:r>
    </w:p>
    <w:p>
      <w:pPr>
        <w:pStyle w:val="Compact"/>
        <w:numPr>
          <w:ilvl w:val="0"/>
          <w:numId w:val="1253"/>
        </w:numPr>
      </w:pPr>
      <w:r>
        <w:t>EE_TIMEOUT (network timeout catch-all) Target: 50+ entries at v0.1, growing to 200+ by v1.0 as the FDE fleet contributes.</w:t>
      </w:r>
    </w:p>
    <w:bookmarkEnd w:id="407"/>
    <w:bookmarkStart w:id="408" w:name="translation-execution"/>
    <w:p>
      <w:pPr>
        <w:pStyle w:val="Heading2"/>
      </w:pPr>
      <w:r>
        <w:t xml:space="preserve">25.4 Translation execution</w:t>
      </w:r>
    </w:p>
    <w:p>
      <w:pPr>
        <w:pStyle w:val="Compact"/>
        <w:numPr>
          <w:ilvl w:val="0"/>
          <w:numId w:val="1254"/>
        </w:numPr>
      </w:pPr>
      <w:r>
        <w:t xml:space="preserve">Every Failed Sync Record / Failed Queue Job / Failed Webhook Event triggers translation lookup</w:t>
      </w:r>
    </w:p>
    <w:p>
      <w:pPr>
        <w:pStyle w:val="Compact"/>
        <w:numPr>
          <w:ilvl w:val="0"/>
          <w:numId w:val="1254"/>
        </w:numPr>
      </w:pPr>
      <w:r>
        <w:t xml:space="preserve">Matchers evaluated in priority order; first match wins</w:t>
      </w:r>
    </w:p>
    <w:p>
      <w:pPr>
        <w:pStyle w:val="Compact"/>
        <w:numPr>
          <w:ilvl w:val="0"/>
          <w:numId w:val="1254"/>
        </w:numPr>
      </w:pPr>
      <w:r>
        <w:t xml:space="preserve">Matched translation populates: translated_title, translated_explanation, translated_actions, suspected_root_cause</w:t>
      </w:r>
    </w:p>
    <w:p>
      <w:pPr>
        <w:pStyle w:val="Compact"/>
        <w:numPr>
          <w:ilvl w:val="0"/>
          <w:numId w:val="1254"/>
        </w:numPr>
      </w:pPr>
      <w:r>
        <w:t xml:space="preserve">Match recorded — match_count and last_matched_at on the Translation entry are incremented</w:t>
      </w:r>
    </w:p>
    <w:p>
      <w:pPr>
        <w:pStyle w:val="Compact"/>
        <w:numPr>
          <w:ilvl w:val="0"/>
          <w:numId w:val="1254"/>
        </w:numPr>
      </w:pPr>
      <w:r>
        <w:t xml:space="preserve">Unmatched errors get translation_status = Untranslated and are queued for FDE labelling (see 27.5)</w:t>
      </w:r>
    </w:p>
    <w:bookmarkEnd w:id="408"/>
    <w:bookmarkStart w:id="409" w:name="auto-clustering-of-untranslated-errors"/>
    <w:p>
      <w:pPr>
        <w:pStyle w:val="Heading2"/>
      </w:pPr>
      <w:r>
        <w:t xml:space="preserve">25.5 Auto-clustering of untranslated errors</w:t>
      </w:r>
    </w:p>
    <w:p>
      <w:pPr>
        <w:pStyle w:val="Compact"/>
        <w:numPr>
          <w:ilvl w:val="0"/>
          <w:numId w:val="1255"/>
        </w:numPr>
      </w:pPr>
      <w:r>
        <w:t xml:space="preserve">Periodic cron clusters Untranslated errors by similarity (TF-IDF + cosine similarity on the error text)</w:t>
      </w:r>
    </w:p>
    <w:p>
      <w:pPr>
        <w:pStyle w:val="Compact"/>
        <w:numPr>
          <w:ilvl w:val="0"/>
          <w:numId w:val="1255"/>
        </w:numPr>
      </w:pPr>
      <w:r>
        <w:t xml:space="preserve">Clusters surfaced in the Translation Library admin view</w:t>
      </w:r>
    </w:p>
    <w:p>
      <w:pPr>
        <w:pStyle w:val="Compact"/>
        <w:numPr>
          <w:ilvl w:val="0"/>
          <w:numId w:val="1255"/>
        </w:numPr>
      </w:pPr>
      <w:r>
        <w:t xml:space="preserve">FDE can: review a cluster, create a Translation entry from a representative example, the entry then auto-classifies the rest of the cluster</w:t>
      </w:r>
    </w:p>
    <w:p>
      <w:pPr>
        <w:pStyle w:val="Compact"/>
        <w:numPr>
          <w:ilvl w:val="0"/>
          <w:numId w:val="1255"/>
        </w:numPr>
      </w:pPr>
      <w:r>
        <w:t xml:space="preserve">Clusters with &gt;10 instances and no Translation entry trigger an Info alert to the FDE</w:t>
      </w:r>
    </w:p>
    <w:bookmarkEnd w:id="409"/>
    <w:bookmarkStart w:id="410"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56"/>
        </w:numPr>
      </w:pPr>
      <w:r>
        <w:t xml:space="preserve">Top translations by match count (which errors fire most)</w:t>
      </w:r>
    </w:p>
    <w:p>
      <w:pPr>
        <w:pStyle w:val="Compact"/>
        <w:numPr>
          <w:ilvl w:val="0"/>
          <w:numId w:val="1256"/>
        </w:numPr>
      </w:pPr>
      <w:r>
        <w:t xml:space="preserve">Translations matched 0 times in last 30 days (candidates for retirement)</w:t>
      </w:r>
    </w:p>
    <w:p>
      <w:pPr>
        <w:pStyle w:val="Compact"/>
        <w:numPr>
          <w:ilvl w:val="0"/>
          <w:numId w:val="1256"/>
        </w:numPr>
      </w:pPr>
      <w:r>
        <w:t xml:space="preserve">Untranslated cluster count and size</w:t>
      </w:r>
    </w:p>
    <w:p>
      <w:pPr>
        <w:pStyle w:val="Compact"/>
        <w:numPr>
          <w:ilvl w:val="0"/>
          <w:numId w:val="1256"/>
        </w:numPr>
      </w:pPr>
      <w:r>
        <w:t xml:space="preserve">Translation coverage % (matched / total failed events)</w:t>
      </w:r>
    </w:p>
    <w:p>
      <w:pPr>
        <w:pStyle w:val="Compact"/>
        <w:numPr>
          <w:ilvl w:val="0"/>
          <w:numId w:val="1256"/>
        </w:numPr>
      </w:pPr>
      <w:r>
        <w:t>Time-to-resolve by translation_key (which translated errors are hard to fix) Coverage % is itself a methodology KPI — methodology team targets &gt; 90% coverage on production-deployed clients.</w:t>
      </w:r>
    </w:p>
    <w:bookmarkEnd w:id="410"/>
    <w:bookmarkStart w:id="411" w:name="per-company-customisation"/>
    <w:p>
      <w:pPr>
        <w:pStyle w:val="Heading2"/>
      </w:pPr>
      <w:r>
        <w:t xml:space="preserve">25.7 Per-Company customisation</w:t>
      </w:r>
    </w:p>
    <w:p>
      <w:pPr>
        <w:pStyle w:val="Compact"/>
        <w:numPr>
          <w:ilvl w:val="0"/>
          <w:numId w:val="1257"/>
        </w:numPr>
      </w:pPr>
      <w:r>
        <w:t xml:space="preserve">Translation entries are global by default (the standard library)</w:t>
      </w:r>
    </w:p>
    <w:p>
      <w:pPr>
        <w:pStyle w:val="Compact"/>
        <w:numPr>
          <w:ilvl w:val="0"/>
          <w:numId w:val="1257"/>
        </w:numPr>
      </w:pPr>
      <w:r>
        <w:t xml:space="preserve">FDE can mark entries as Company-specific overrides</w:t>
      </w:r>
    </w:p>
    <w:p>
      <w:pPr>
        <w:pStyle w:val="Compact"/>
        <w:numPr>
          <w:ilvl w:val="0"/>
          <w:numId w:val="1257"/>
        </w:numPr>
      </w:pPr>
      <w:r>
        <w:t xml:space="preserve">Company-specific overrides take priority over global entries with the same matcher</w:t>
      </w:r>
    </w:p>
    <w:p>
      <w:pPr>
        <w:pStyle w:val="Compact"/>
        <w:numPr>
          <w:ilvl w:val="0"/>
          <w:numId w:val="1257"/>
        </w:numPr>
      </w:pPr>
      <w:r>
        <w:t xml:space="preserve">Useful when a client has unusual EE configuration that produces non-standard errors</w:t>
      </w:r>
    </w:p>
    <w:bookmarkEnd w:id="411"/>
    <w:bookmarkStart w:id="412" w:name="quality-control"/>
    <w:p>
      <w:pPr>
        <w:pStyle w:val="Heading2"/>
      </w:pPr>
      <w:r>
        <w:t xml:space="preserve">25.8 Quality control</w:t>
      </w:r>
    </w:p>
    <w:p>
      <w:pPr>
        <w:pStyle w:val="Compact"/>
        <w:numPr>
          <w:ilvl w:val="0"/>
          <w:numId w:val="1258"/>
        </w:numPr>
      </w:pPr>
      <w:r>
        <w:t xml:space="preserve">Translations have a confidence field (Confirmed / Likely / Speculative)</w:t>
      </w:r>
    </w:p>
    <w:p>
      <w:pPr>
        <w:pStyle w:val="Compact"/>
        <w:numPr>
          <w:ilvl w:val="0"/>
          <w:numId w:val="1258"/>
        </w:numPr>
      </w:pPr>
      <w:r>
        <w:t>Speculative translations are flagged in the alert template (‘our best guess — verify’)</w:t>
      </w:r>
    </w:p>
    <w:p>
      <w:pPr>
        <w:pStyle w:val="Compact"/>
        <w:numPr>
          <w:ilvl w:val="0"/>
          <w:numId w:val="1258"/>
        </w:numPr>
      </w:pPr>
      <w:r>
        <w:t xml:space="preserve">Methodology team reviews new translations from FDE contributions before promoting from Speculative to Likely or Confirmed</w:t>
      </w:r>
    </w:p>
    <w:p>
      <w:pPr>
        <w:pStyle w:val="Compact"/>
        <w:numPr>
          <w:ilvl w:val="0"/>
          <w:numId w:val="1258"/>
        </w:numPr>
      </w:pPr>
      <w:r>
        <w:t xml:space="preserve">Translation accuracy reviewed quarterly: are the suggested actions actually working? Do they get checked-off as resolutions?</w:t>
      </w:r>
    </w:p>
    <w:bookmarkEnd w:id="412"/>
    <w:bookmarkEnd w:id="413"/>
    <w:bookmarkStart w:id="427"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4" w:name="what-is-captured-for-time-travel"/>
    <w:p>
      <w:pPr>
        <w:pStyle w:val="Heading2"/>
      </w:pPr>
      <w:r>
        <w:t xml:space="preserve">26.1 What is captured for time travel</w:t>
      </w:r>
    </w:p>
    <w:p>
      <w:pPr>
        <w:pStyle w:val="Compact"/>
        <w:numPr>
          <w:ilvl w:val="0"/>
          <w:numId w:val="1259"/>
        </w:numPr>
      </w:pPr>
      <w:r>
        <w:t xml:space="preserve">Every EasyEcom Account and per-Company settings change (per Section 3) — full before/after snapshot</w:t>
      </w:r>
    </w:p>
    <w:p>
      <w:pPr>
        <w:pStyle w:val="Compact"/>
        <w:numPr>
          <w:ilvl w:val="0"/>
          <w:numId w:val="1259"/>
        </w:numPr>
      </w:pPr>
      <w:r>
        <w:t xml:space="preserve">Every Field Mapping ruleset save — entire ruleset versioned</w:t>
      </w:r>
    </w:p>
    <w:p>
      <w:pPr>
        <w:pStyle w:val="Compact"/>
        <w:numPr>
          <w:ilvl w:val="0"/>
          <w:numId w:val="1259"/>
        </w:numPr>
      </w:pPr>
      <w:r>
        <w:t xml:space="preserve">Every Source-of-Truth Map row change</w:t>
      </w:r>
    </w:p>
    <w:p>
      <w:pPr>
        <w:pStyle w:val="Compact"/>
        <w:numPr>
          <w:ilvl w:val="0"/>
          <w:numId w:val="1259"/>
        </w:numPr>
      </w:pPr>
      <w:r>
        <w:t xml:space="preserve">Every Marketplace Account / Marketplace (channel) / Tax Mapping configuration change</w:t>
      </w:r>
    </w:p>
    <w:p>
      <w:pPr>
        <w:pStyle w:val="Compact"/>
        <w:numPr>
          <w:ilvl w:val="0"/>
          <w:numId w:val="1259"/>
        </w:numPr>
      </w:pPr>
      <w:r>
        <w:t xml:space="preserve">Every cache clear (which cache, who, when, why)</w:t>
      </w:r>
    </w:p>
    <w:p>
      <w:pPr>
        <w:pStyle w:val="Compact"/>
        <w:numPr>
          <w:ilvl w:val="0"/>
          <w:numId w:val="1259"/>
        </w:numPr>
      </w:pPr>
      <w:r>
        <w:t xml:space="preserve">Every alert configuration change (recipients, thresholds, channel routing)</w:t>
      </w:r>
    </w:p>
    <w:p>
      <w:pPr>
        <w:pStyle w:val="Compact"/>
        <w:numPr>
          <w:ilvl w:val="0"/>
          <w:numId w:val="1259"/>
        </w:numPr>
      </w:pPr>
      <w:r>
        <w:t xml:space="preserve">Every Replay Plan execution (the plan itself plus the dry-run results plus the commit results)</w:t>
      </w:r>
    </w:p>
    <w:p>
      <w:pPr>
        <w:pStyle w:val="Compact"/>
        <w:numPr>
          <w:ilvl w:val="0"/>
          <w:numId w:val="125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4"/>
    <w:bookmarkStart w:id="415"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5"/>
    <w:bookmarkStart w:id="416" w:name="field-mapping-version-doctype"/>
    <w:p>
      <w:pPr>
        <w:pStyle w:val="Heading2"/>
      </w:pPr>
      <w:r>
        <w:t xml:space="preserve">26.3 Field Mapping Version DocType</w:t>
      </w:r>
    </w:p>
    <w:p>
      <w:pPr>
        <w:pStyle w:val="Compact"/>
        <w:numPr>
          <w:ilvl w:val="0"/>
          <w:numId w:val="1260"/>
        </w:numPr>
      </w:pPr>
      <w:r>
        <w:t xml:space="preserve">Created automatically on every Field Mapping save</w:t>
      </w:r>
    </w:p>
    <w:p>
      <w:pPr>
        <w:pStyle w:val="Compact"/>
        <w:numPr>
          <w:ilvl w:val="0"/>
          <w:numId w:val="1260"/>
        </w:numPr>
      </w:pPr>
      <w:r>
        <w:t xml:space="preserve">Stores the entire ruleset state at that version</w:t>
      </w:r>
    </w:p>
    <w:p>
      <w:pPr>
        <w:pStyle w:val="Compact"/>
        <w:numPr>
          <w:ilvl w:val="0"/>
          <w:numId w:val="1260"/>
        </w:numPr>
      </w:pPr>
      <w:r>
        <w:t xml:space="preserve">Indefinite retention; bounded payload</w:t>
      </w:r>
    </w:p>
    <w:p>
      <w:pPr>
        <w:pStyle w:val="Compact"/>
        <w:numPr>
          <w:ilvl w:val="0"/>
          <w:numId w:val="1260"/>
        </w:numPr>
      </w:pPr>
      <w:r>
        <w:t xml:space="preserve">Browseable from the Field Mapping detail’s Change History tab</w:t>
      </w:r>
    </w:p>
    <w:p>
      <w:pPr>
        <w:pStyle w:val="Compact"/>
        <w:numPr>
          <w:ilvl w:val="0"/>
          <w:numId w:val="1260"/>
        </w:numPr>
      </w:pPr>
      <w:r>
        <w:t xml:space="preserve">Diff against any prior version via the Diff Against Version action</w:t>
      </w:r>
    </w:p>
    <w:p>
      <w:pPr>
        <w:pStyle w:val="Compact"/>
        <w:numPr>
          <w:ilvl w:val="0"/>
          <w:numId w:val="1260"/>
        </w:numPr>
      </w:pPr>
      <w:r>
        <w:t xml:space="preserve">Rollback to any prior version (creates a new version)</w:t>
      </w:r>
    </w:p>
    <w:bookmarkEnd w:id="416"/>
    <w:bookmarkStart w:id="419"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7" w:name="what-works"/>
    <w:p>
      <w:pPr>
        <w:pStyle w:val="Heading3"/>
      </w:pPr>
      <w:r>
        <w:t xml:space="preserve">26.4.1 What works</w:t>
      </w:r>
    </w:p>
    <w:p>
      <w:pPr>
        <w:pStyle w:val="Compact"/>
        <w:numPr>
          <w:ilvl w:val="0"/>
          <w:numId w:val="1261"/>
        </w:numPr>
      </w:pPr>
      <w:r>
        <w:t xml:space="preserve">EasyEcom Account and per-Company settings — full state at any past time</w:t>
      </w:r>
    </w:p>
    <w:p>
      <w:pPr>
        <w:pStyle w:val="Compact"/>
        <w:numPr>
          <w:ilvl w:val="0"/>
          <w:numId w:val="1261"/>
        </w:numPr>
      </w:pPr>
      <w:r>
        <w:t xml:space="preserve">EasyEcom Field Mapping — full ruleset at any past time (via Field Mapping Version snapshots)</w:t>
      </w:r>
    </w:p>
    <w:p>
      <w:pPr>
        <w:pStyle w:val="Compact"/>
        <w:numPr>
          <w:ilvl w:val="0"/>
          <w:numId w:val="1261"/>
        </w:numPr>
      </w:pPr>
      <w:r>
        <w:t xml:space="preserve">Source-of-Truth Map — per-row historical state</w:t>
      </w:r>
    </w:p>
    <w:p>
      <w:pPr>
        <w:pStyle w:val="Compact"/>
        <w:numPr>
          <w:ilvl w:val="0"/>
          <w:numId w:val="1261"/>
        </w:numPr>
      </w:pPr>
      <w:r>
        <w:t xml:space="preserve">Marketplace Account / Channel / Tax Mapping — historical state</w:t>
      </w:r>
    </w:p>
    <w:p>
      <w:pPr>
        <w:pStyle w:val="Compact"/>
        <w:numPr>
          <w:ilvl w:val="0"/>
          <w:numId w:val="1261"/>
        </w:numPr>
      </w:pPr>
      <w:r>
        <w:t xml:space="preserve">Sync Cursor positions — what had we pulled by what timestamp</w:t>
      </w:r>
    </w:p>
    <w:p>
      <w:pPr>
        <w:pStyle w:val="Compact"/>
        <w:numPr>
          <w:ilvl w:val="0"/>
          <w:numId w:val="1261"/>
        </w:numPr>
      </w:pPr>
      <w:r>
        <w:t xml:space="preserve">Cache state — what was in cache at past time (for clearings, with cache_state_at)</w:t>
      </w:r>
    </w:p>
    <w:bookmarkEnd w:id="417"/>
    <w:bookmarkStart w:id="418" w:name="limits"/>
    <w:p>
      <w:pPr>
        <w:pStyle w:val="Heading3"/>
      </w:pPr>
      <w:r>
        <w:t xml:space="preserve">26.4.2 Limits</w:t>
      </w:r>
    </w:p>
    <w:p>
      <w:pPr>
        <w:pStyle w:val="Compact"/>
        <w:numPr>
          <w:ilvl w:val="0"/>
          <w:numId w:val="1262"/>
        </w:numPr>
      </w:pPr>
      <w:r>
        <w:t xml:space="preserve">ERPNext core records (Sales Invoice, Purchase Receipt) are NOT time-traveled by this integration — Frappe’s native version history applies, separate scope</w:t>
      </w:r>
    </w:p>
    <w:p>
      <w:pPr>
        <w:pStyle w:val="Compact"/>
        <w:numPr>
          <w:ilvl w:val="0"/>
          <w:numId w:val="1262"/>
        </w:numPr>
      </w:pPr>
      <w:r>
        <w:t xml:space="preserve">Granularity is to the second; sub-second precision not preserved</w:t>
      </w:r>
    </w:p>
    <w:p>
      <w:pPr>
        <w:pStyle w:val="Compact"/>
        <w:numPr>
          <w:ilvl w:val="0"/>
          <w:numId w:val="1262"/>
        </w:numPr>
      </w:pPr>
      <w:r>
        <w:t xml:space="preserve">Performance: point-in-time is O(log n) on indexed timestamp; should be fast for any reasonable history depth</w:t>
      </w:r>
    </w:p>
    <w:bookmarkEnd w:id="418"/>
    <w:bookmarkEnd w:id="419"/>
    <w:bookmarkStart w:id="423" w:name="time-travel-ui-affordances"/>
    <w:p>
      <w:pPr>
        <w:pStyle w:val="Heading2"/>
      </w:pPr>
      <w:r>
        <w:t xml:space="preserve">26.5 Time-travel UI affordances</w:t>
      </w:r>
    </w:p>
    <w:bookmarkStart w:id="420" w:name="configuration-audit-list-view"/>
    <w:p>
      <w:pPr>
        <w:pStyle w:val="Heading3"/>
      </w:pPr>
      <w:r>
        <w:t xml:space="preserve">26.5.1 Configuration Audit list view</w:t>
      </w:r>
    </w:p>
    <w:p>
      <w:pPr>
        <w:pStyle w:val="Compact"/>
        <w:numPr>
          <w:ilvl w:val="0"/>
          <w:numId w:val="1263"/>
        </w:numPr>
      </w:pPr>
      <w:r>
        <w:t xml:space="preserve">Default view: chronological, last 7 days</w:t>
      </w:r>
    </w:p>
    <w:p>
      <w:pPr>
        <w:pStyle w:val="Compact"/>
        <w:numPr>
          <w:ilvl w:val="0"/>
          <w:numId w:val="1263"/>
        </w:numPr>
      </w:pPr>
      <w:r>
        <w:t xml:space="preserve">Filters: actor, company, target_doctype, target_name, change_type, time range</w:t>
      </w:r>
    </w:p>
    <w:p>
      <w:pPr>
        <w:pStyle w:val="Compact"/>
        <w:numPr>
          <w:ilvl w:val="0"/>
          <w:numId w:val="1263"/>
        </w:numPr>
      </w:pPr>
      <w:r>
        <w:t xml:space="preserve">Search: free text on diff_summary, change_reason</w:t>
      </w:r>
    </w:p>
    <w:p>
      <w:pPr>
        <w:pStyle w:val="Compact"/>
        <w:numPr>
          <w:ilvl w:val="0"/>
          <w:numId w:val="1263"/>
        </w:numPr>
      </w:pPr>
      <w:r>
        <w:t xml:space="preserve">Group by: actor (per-user activity log) / target_doctype (per-system change log) / company</w:t>
      </w:r>
    </w:p>
    <w:bookmarkEnd w:id="420"/>
    <w:bookmarkStart w:id="421" w:name="time-travel-inspector"/>
    <w:p>
      <w:pPr>
        <w:pStyle w:val="Heading3"/>
      </w:pPr>
      <w:r>
        <w:t xml:space="preserve">26.5.2 Time-travel inspector</w:t>
      </w:r>
    </w:p>
    <w:p>
      <w:pPr>
        <w:pStyle w:val="Compact"/>
        <w:numPr>
          <w:ilvl w:val="0"/>
          <w:numId w:val="1264"/>
        </w:numPr>
      </w:pPr>
      <w:r>
        <w:t xml:space="preserve">Form: target DocType, target name, datetime</w:t>
      </w:r>
    </w:p>
    <w:p>
      <w:pPr>
        <w:pStyle w:val="Compact"/>
        <w:numPr>
          <w:ilvl w:val="0"/>
          <w:numId w:val="1264"/>
        </w:numPr>
      </w:pPr>
      <w:r>
        <w:t xml:space="preserve">Output: rendered DocType form showing the state at the requested time</w:t>
      </w:r>
    </w:p>
    <w:p>
      <w:pPr>
        <w:pStyle w:val="Compact"/>
        <w:numPr>
          <w:ilvl w:val="0"/>
          <w:numId w:val="1264"/>
        </w:numPr>
      </w:pPr>
      <w:r>
        <w:t>‘Compare to current’ button: shows diff between past state and current state</w:t>
      </w:r>
    </w:p>
    <w:p>
      <w:pPr>
        <w:pStyle w:val="Compact"/>
        <w:numPr>
          <w:ilvl w:val="0"/>
          <w:numId w:val="1264"/>
        </w:numPr>
      </w:pPr>
      <w:r>
        <w:t>‘Show all changes since’ button: lists every Configuration Audit row touching this record since the requested time</w:t>
      </w:r>
    </w:p>
    <w:bookmarkEnd w:id="421"/>
    <w:bookmarkStart w:id="422" w:name="diff-viewer"/>
    <w:p>
      <w:pPr>
        <w:pStyle w:val="Heading3"/>
      </w:pPr>
      <w:r>
        <w:t xml:space="preserve">26.5.3 Diff viewer</w:t>
      </w:r>
    </w:p>
    <w:p>
      <w:pPr>
        <w:pStyle w:val="Compact"/>
        <w:numPr>
          <w:ilvl w:val="0"/>
          <w:numId w:val="1265"/>
        </w:numPr>
      </w:pPr>
      <w:r>
        <w:t xml:space="preserve">Side-by-side or unified-diff JSON view</w:t>
      </w:r>
    </w:p>
    <w:p>
      <w:pPr>
        <w:pStyle w:val="Compact"/>
        <w:numPr>
          <w:ilvl w:val="0"/>
          <w:numId w:val="1265"/>
        </w:numPr>
      </w:pPr>
      <w:r>
        <w:t xml:space="preserve">Field-level highlighting: added (green), removed (red), modified (yellow)</w:t>
      </w:r>
    </w:p>
    <w:p>
      <w:pPr>
        <w:pStyle w:val="Compact"/>
        <w:numPr>
          <w:ilvl w:val="0"/>
          <w:numId w:val="1265"/>
        </w:numPr>
      </w:pPr>
      <w:r>
        <w:t xml:space="preserve">Collapses unchanged sections</w:t>
      </w:r>
    </w:p>
    <w:p>
      <w:pPr>
        <w:pStyle w:val="Compact"/>
        <w:numPr>
          <w:ilvl w:val="0"/>
          <w:numId w:val="1265"/>
        </w:numPr>
      </w:pPr>
      <w:r>
        <w:t xml:space="preserve">Copy buttons for each side</w:t>
      </w:r>
    </w:p>
    <w:bookmarkEnd w:id="422"/>
    <w:bookmarkEnd w:id="423"/>
    <w:bookmarkStart w:id="424"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66"/>
        </w:numPr>
      </w:pPr>
      <w:r>
        <w:t xml:space="preserve">Given a failing Sync Record + the timestamp of failure onset</w:t>
      </w:r>
    </w:p>
    <w:p>
      <w:pPr>
        <w:pStyle w:val="Compact"/>
        <w:numPr>
          <w:ilvl w:val="0"/>
          <w:numId w:val="1266"/>
        </w:numPr>
      </w:pPr>
      <w:r>
        <w:t xml:space="preserve">Surface every Configuration Audit row in the previous 24h that touched any DocType referenced by the Sync Record’s flow</w:t>
      </w:r>
    </w:p>
    <w:p>
      <w:pPr>
        <w:pStyle w:val="Compact"/>
        <w:numPr>
          <w:ilvl w:val="0"/>
          <w:numId w:val="1266"/>
        </w:numPr>
      </w:pPr>
      <w:r>
        <w:t xml:space="preserve">Ranked by relevance (touches the same Field Mapping ruleset &gt; touches the Settings → touches unrelated config)</w:t>
      </w:r>
    </w:p>
    <w:p>
      <w:pPr>
        <w:pStyle w:val="Compact"/>
        <w:numPr>
          <w:ilvl w:val="0"/>
          <w:numId w:val="1266"/>
        </w:numPr>
      </w:pPr>
      <w:r>
        <w:t xml:space="preserve">Direct link from any Sync Record’s Failed-since timestamp to this query</w:t>
      </w:r>
    </w:p>
    <w:bookmarkEnd w:id="424"/>
    <w:bookmarkStart w:id="425" w:name="audit-retention-and-compliance"/>
    <w:p>
      <w:pPr>
        <w:pStyle w:val="Heading2"/>
      </w:pPr>
      <w:r>
        <w:t xml:space="preserve">26.7 Audit retention and compliance</w:t>
      </w:r>
    </w:p>
    <w:p>
      <w:pPr>
        <w:pStyle w:val="Compact"/>
        <w:numPr>
          <w:ilvl w:val="0"/>
          <w:numId w:val="1267"/>
        </w:numPr>
      </w:pPr>
      <w:r>
        <w:t xml:space="preserve">Configuration Audit retention: indefinite by default; configurable lower bound 7 years for compliance-driven clients</w:t>
      </w:r>
    </w:p>
    <w:p>
      <w:pPr>
        <w:pStyle w:val="Compact"/>
        <w:numPr>
          <w:ilvl w:val="0"/>
          <w:numId w:val="1267"/>
        </w:numPr>
      </w:pPr>
      <w:r>
        <w:t xml:space="preserve">Field Mapping Version retention: indefinite (bounded payload)</w:t>
      </w:r>
    </w:p>
    <w:p>
      <w:pPr>
        <w:pStyle w:val="Compact"/>
        <w:numPr>
          <w:ilvl w:val="0"/>
          <w:numId w:val="1267"/>
        </w:numPr>
      </w:pPr>
      <w:r>
        <w:t xml:space="preserve">Audit records cannot be deleted by any user — even System Manager</w:t>
      </w:r>
    </w:p>
    <w:p>
      <w:pPr>
        <w:pStyle w:val="Compact"/>
        <w:numPr>
          <w:ilvl w:val="0"/>
          <w:numId w:val="1267"/>
        </w:numPr>
      </w:pPr>
      <w:r>
        <w:t xml:space="preserve">Audit records cannot be edited</w:t>
      </w:r>
    </w:p>
    <w:p>
      <w:pPr>
        <w:pStyle w:val="Compact"/>
        <w:numPr>
          <w:ilvl w:val="0"/>
          <w:numId w:val="1267"/>
        </w:numPr>
      </w:pPr>
      <w:r>
        <w:t xml:space="preserve">Audit records are queryable for compliance reporting</w:t>
      </w:r>
    </w:p>
    <w:bookmarkEnd w:id="425"/>
    <w:bookmarkStart w:id="426" w:name="what-time-travel-does-not-solve"/>
    <w:p>
      <w:pPr>
        <w:pStyle w:val="Heading2"/>
      </w:pPr>
      <w:r>
        <w:t xml:space="preserve">26.8 What time travel does NOT solve</w:t>
      </w:r>
    </w:p>
    <w:p>
      <w:pPr>
        <w:pStyle w:val="Compact"/>
        <w:numPr>
          <w:ilvl w:val="0"/>
          <w:numId w:val="1268"/>
        </w:numPr>
      </w:pPr>
      <w:r>
        <w:t xml:space="preserve">Doesn’t replay history — you can see what was configured but not how data flowed</w:t>
      </w:r>
    </w:p>
    <w:p>
      <w:pPr>
        <w:pStyle w:val="Compact"/>
        <w:numPr>
          <w:ilvl w:val="0"/>
          <w:numId w:val="1268"/>
        </w:numPr>
      </w:pPr>
      <w:r>
        <w:t xml:space="preserve">Doesn’t time-travel the EasyEcom side — we can see what we knew, not what they knew</w:t>
      </w:r>
    </w:p>
    <w:p>
      <w:pPr>
        <w:pStyle w:val="Compact"/>
        <w:numPr>
          <w:ilvl w:val="0"/>
          <w:numId w:val="1268"/>
        </w:numPr>
      </w:pPr>
      <w:r>
        <w:t xml:space="preserve">Doesn’t time-travel ERPNext core records — Frappe’s version history is the tool for that</w:t>
      </w:r>
    </w:p>
    <w:p>
      <w:pPr>
        <w:pStyle w:val="Compact"/>
        <w:numPr>
          <w:ilvl w:val="0"/>
          <w:numId w:val="1268"/>
        </w:numPr>
      </w:pPr>
      <w:r>
        <w:t xml:space="preserve">Doesn’t preserve performance metrics over years — separate retention policy applies to API Call records (default 90 days, configurable)</w:t>
      </w:r>
    </w:p>
    <w:bookmarkEnd w:id="426"/>
    <w:bookmarkEnd w:id="427"/>
    <w:bookmarkStart w:id="428"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8"/>
    <w:bookmarkStart w:id="432"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9"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9"/>
    <w:bookmarkStart w:id="430"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9"/>
        </w:numPr>
      </w:pPr>
      <w:r>
        <w:t xml:space="preserve">Every B2C marketplace order will produce a Sales Invoice with ecs_marketplace_order_id, ecs_marketplace (flat channel), ecs_marketplace_account populated</w:t>
      </w:r>
    </w:p>
    <w:p>
      <w:pPr>
        <w:pStyle w:val="Compact"/>
        <w:numPr>
          <w:ilvl w:val="0"/>
          <w:numId w:val="1269"/>
        </w:numPr>
      </w:pPr>
      <w:r>
        <w:t xml:space="preserve">Every Sales Invoice will have a Marketplace Order Map record at creation time</w:t>
      </w:r>
    </w:p>
    <w:p>
      <w:pPr>
        <w:pStyle w:val="Compact"/>
        <w:numPr>
          <w:ilvl w:val="0"/>
          <w:numId w:val="1269"/>
        </w:numPr>
      </w:pPr>
      <w:r>
        <w:t xml:space="preserve">Every Settlement Forecast will be created concurrently with the SI</w:t>
      </w:r>
    </w:p>
    <w:p>
      <w:pPr>
        <w:pStyle w:val="Compact"/>
        <w:numPr>
          <w:ilvl w:val="0"/>
          <w:numId w:val="1269"/>
        </w:numPr>
      </w:pPr>
      <w:r>
        <w:t xml:space="preserve">Every Purchase Receipt from EE GRN will have correct tax lines, ITC eligibility, and HSN — usable directly for fee Purchase Invoice posting</w:t>
      </w:r>
    </w:p>
    <w:p>
      <w:pPr>
        <w:pStyle w:val="Compact"/>
        <w:numPr>
          <w:ilvl w:val="0"/>
          <w:numId w:val="1269"/>
        </w:numPr>
      </w:pPr>
      <w:r>
        <w:t xml:space="preserve">Every cancellation/return will produce a Credit Note or Sales Return with ecs_original_sales_invoice and ecs_easyecom_event_id</w:t>
      </w:r>
    </w:p>
    <w:p>
      <w:pPr>
        <w:pStyle w:val="Compact"/>
        <w:numPr>
          <w:ilvl w:val="0"/>
          <w:numId w:val="1269"/>
        </w:numPr>
      </w:pPr>
      <w:r>
        <w:t xml:space="preserve">Every Stock Movement (transfer, adjustment) will carry ecs_easyecom_source_event for traceability</w:t>
      </w:r>
    </w:p>
    <w:p>
      <w:pPr>
        <w:pStyle w:val="Compact"/>
        <w:numPr>
          <w:ilvl w:val="0"/>
          <w:numId w:val="1269"/>
        </w:numPr>
      </w:pPr>
      <w:r>
        <w:t xml:space="preserve">Webhook + polling reliability ensures these artefacts exist within tolerable lag of the EE event</w:t>
      </w:r>
    </w:p>
    <w:bookmarkEnd w:id="430"/>
    <w:bookmarkStart w:id="431"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70"/>
        </w:numPr>
      </w:pPr>
      <w:r>
        <w:t xml:space="preserve">Sales Invoices missing for orders → Order-to-Settlement recon flags entire orders as Unmatched. Cumulative across many missing SIs, recon is meaningless</w:t>
      </w:r>
    </w:p>
    <w:p>
      <w:pPr>
        <w:pStyle w:val="Compact"/>
        <w:numPr>
          <w:ilvl w:val="0"/>
          <w:numId w:val="1270"/>
        </w:numPr>
      </w:pPr>
      <w:r>
        <w:t xml:space="preserve">Purchase Receipts with wrong tax lines → Fee Purchase Invoice ITC postings are wrong → ITC vs GSTR-2B reconciliation always fails</w:t>
      </w:r>
    </w:p>
    <w:p>
      <w:pPr>
        <w:pStyle w:val="Compact"/>
        <w:numPr>
          <w:ilvl w:val="0"/>
          <w:numId w:val="1270"/>
        </w:numPr>
      </w:pPr>
      <w:r>
        <w:t xml:space="preserve">Stock movements missing → Inventory variance recon falsely reports drift</w:t>
      </w:r>
    </w:p>
    <w:p>
      <w:pPr>
        <w:pStyle w:val="Compact"/>
        <w:numPr>
          <w:ilvl w:val="0"/>
          <w:numId w:val="1270"/>
        </w:numPr>
      </w:pPr>
      <w:r>
        <w:t xml:space="preserve">Cancellation/return artefacts missing → Settlement Refund events flag as Unmatched → claim queue swells with false-positive Discrepancies</w:t>
      </w:r>
    </w:p>
    <w:p>
      <w:pPr>
        <w:pStyle w:val="Compact"/>
        <w:numPr>
          <w:ilvl w:val="0"/>
          <w:numId w:val="1270"/>
        </w:numPr>
      </w:pPr>
      <w:r>
        <w:t xml:space="preserve">In short: integration brokenness destroys recon engine usefulness. The integration is not optional plumbing; it is the primary product surface</w:t>
      </w:r>
    </w:p>
    <w:bookmarkEnd w:id="431"/>
    <w:bookmarkEnd w:id="432"/>
    <w:bookmarkStart w:id="441"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3"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3"/>
    <w:bookmarkStart w:id="434" w:name="ee-sandbox-account-requirement"/>
    <w:p>
      <w:pPr>
        <w:pStyle w:val="Heading2"/>
      </w:pPr>
      <w:r>
        <w:t xml:space="preserve">28.2 EE sandbox account requirement</w:t>
      </w:r>
    </w:p>
    <w:p>
      <w:pPr>
        <w:pStyle w:val="Compact"/>
        <w:numPr>
          <w:ilvl w:val="0"/>
          <w:numId w:val="1271"/>
        </w:numPr>
      </w:pPr>
      <w:r>
        <w:t xml:space="preserve">EasyEcom must provide a sandbox account for pilot and ongoing development</w:t>
      </w:r>
    </w:p>
    <w:p>
      <w:pPr>
        <w:pStyle w:val="Compact"/>
        <w:numPr>
          <w:ilvl w:val="0"/>
          <w:numId w:val="1271"/>
        </w:numPr>
      </w:pPr>
      <w:r>
        <w:t xml:space="preserve">Sandbox provides full API surface but with isolated data (not affecting production)</w:t>
      </w:r>
    </w:p>
    <w:p>
      <w:pPr>
        <w:pStyle w:val="Compact"/>
        <w:numPr>
          <w:ilvl w:val="0"/>
          <w:numId w:val="1271"/>
        </w:numPr>
      </w:pPr>
      <w:r>
        <w:t xml:space="preserve">Sandbox credentials separate from production; never mixed</w:t>
      </w:r>
    </w:p>
    <w:p>
      <w:pPr>
        <w:pStyle w:val="Compact"/>
        <w:numPr>
          <w:ilvl w:val="0"/>
          <w:numId w:val="1271"/>
        </w:numPr>
      </w:pPr>
      <w:r>
        <w:t xml:space="preserve">If sandbox not available: limited to mock-server testing; flag this as material risk</w:t>
      </w:r>
    </w:p>
    <w:bookmarkEnd w:id="434"/>
    <w:bookmarkStart w:id="435"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5"/>
    <w:bookmarkStart w:id="436" w:name="test-categories"/>
    <w:p>
      <w:pPr>
        <w:pStyle w:val="Heading2"/>
      </w:pPr>
      <w:r>
        <w:t xml:space="preserve">28.4 Test categories</w:t>
      </w:r>
    </w:p>
    <w:p>
      <w:pPr>
        <w:pStyle w:val="Compact"/>
        <w:numPr>
          <w:ilvl w:val="0"/>
          <w:numId w:val="1272"/>
        </w:numPr>
      </w:pPr>
      <w:r>
        <w:t xml:space="preserve">Happy path — normal flow, all preconditions met</w:t>
      </w:r>
    </w:p>
    <w:p>
      <w:pPr>
        <w:pStyle w:val="Compact"/>
        <w:numPr>
          <w:ilvl w:val="0"/>
          <w:numId w:val="1272"/>
        </w:numPr>
      </w:pPr>
      <w:r>
        <w:t xml:space="preserve">Precondition failures — Item not synced, Vendor missing, etc.</w:t>
      </w:r>
    </w:p>
    <w:p>
      <w:pPr>
        <w:pStyle w:val="Compact"/>
        <w:numPr>
          <w:ilvl w:val="0"/>
          <w:numId w:val="1272"/>
        </w:numPr>
      </w:pPr>
      <w:r>
        <w:t xml:space="preserve">Idempotency — same event processed twice, replay safety</w:t>
      </w:r>
    </w:p>
    <w:p>
      <w:pPr>
        <w:pStyle w:val="Compact"/>
        <w:numPr>
          <w:ilvl w:val="0"/>
          <w:numId w:val="1272"/>
        </w:numPr>
      </w:pPr>
      <w:r>
        <w:t xml:space="preserve">Out-of-order — downstream event before upstream</w:t>
      </w:r>
    </w:p>
    <w:p>
      <w:pPr>
        <w:pStyle w:val="Compact"/>
        <w:numPr>
          <w:ilvl w:val="0"/>
          <w:numId w:val="1272"/>
        </w:numPr>
      </w:pPr>
      <w:r>
        <w:t xml:space="preserve">Webhook-vs-poll convergence — ensure both paths produce same result</w:t>
      </w:r>
    </w:p>
    <w:p>
      <w:pPr>
        <w:pStyle w:val="Compact"/>
        <w:numPr>
          <w:ilvl w:val="0"/>
          <w:numId w:val="1272"/>
        </w:numPr>
      </w:pPr>
      <w:r>
        <w:t xml:space="preserve">Multi-company isolation — Company A user blocked from Company B data</w:t>
      </w:r>
    </w:p>
    <w:p>
      <w:pPr>
        <w:pStyle w:val="Compact"/>
        <w:numPr>
          <w:ilvl w:val="0"/>
          <w:numId w:val="1272"/>
        </w:numPr>
      </w:pPr>
      <w:r>
        <w:t xml:space="preserve">Master conflict resolution — bidirectional conflicts resolved per ownership matrix</w:t>
      </w:r>
    </w:p>
    <w:p>
      <w:pPr>
        <w:pStyle w:val="Compact"/>
        <w:numPr>
          <w:ilvl w:val="0"/>
          <w:numId w:val="1272"/>
        </w:numPr>
      </w:pPr>
      <w:r>
        <w:t xml:space="preserve">Failure injection — random API errors, retries within tolerance</w:t>
      </w:r>
    </w:p>
    <w:p>
      <w:pPr>
        <w:pStyle w:val="Compact"/>
        <w:numPr>
          <w:ilvl w:val="0"/>
          <w:numId w:val="1272"/>
        </w:numPr>
      </w:pPr>
      <w:r>
        <w:t xml:space="preserve">Replay — Reverse-and-Replay produces clean state</w:t>
      </w:r>
    </w:p>
    <w:p>
      <w:pPr>
        <w:pStyle w:val="Compact"/>
        <w:numPr>
          <w:ilvl w:val="0"/>
          <w:numId w:val="1272"/>
        </w:numPr>
      </w:pPr>
      <w:r>
        <w:t xml:space="preserve">Field Mapping rule failure — rule raises with correct exception class and rule ID</w:t>
      </w:r>
    </w:p>
    <w:p>
      <w:pPr>
        <w:pStyle w:val="Compact"/>
        <w:numPr>
          <w:ilvl w:val="0"/>
          <w:numId w:val="1272"/>
        </w:numPr>
      </w:pPr>
      <w:r>
        <w:t xml:space="preserve">Schema drift detection — new shape triggers Drift alert with correct similarity scoring</w:t>
      </w:r>
    </w:p>
    <w:p>
      <w:pPr>
        <w:pStyle w:val="Compact"/>
        <w:numPr>
          <w:ilvl w:val="0"/>
          <w:numId w:val="1272"/>
        </w:numPr>
      </w:pPr>
      <w:r>
        <w:t xml:space="preserve">SLA breach detection — slow flow triggers correct breach record</w:t>
      </w:r>
    </w:p>
    <w:p>
      <w:pPr>
        <w:pStyle w:val="Compact"/>
        <w:numPr>
          <w:ilvl w:val="0"/>
          <w:numId w:val="1272"/>
        </w:numPr>
      </w:pPr>
      <w:r>
        <w:t xml:space="preserve">Permission boundaries — each role’s read/write scope is correctly enforced</w:t>
      </w:r>
    </w:p>
    <w:bookmarkEnd w:id="436"/>
    <w:bookmarkStart w:id="437"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7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7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73"/>
        </w:numPr>
      </w:pPr>
      <w:r>
        <w:rPr>
          <w:rStyle w:val="VerbatimChar"/>
        </w:rPr>
        <w:t xml:space="preserve">tests/cassettes/</w:t>
      </w:r>
      <w:r>
        <w:t xml:space="preserve"> stores VCR.py cassettes per (test_module, test_function) — records of EE API exchanges</w:t>
      </w:r>
    </w:p>
    <w:p>
      <w:pPr>
        <w:pStyle w:val="Compact"/>
        <w:numPr>
          <w:ilvl w:val="0"/>
          <w:numId w:val="1273"/>
        </w:numPr>
      </w:pPr>
      <w:r>
        <w:rPr>
          <w:rStyle w:val="VerbatimChar"/>
        </w:rPr>
        <w:t xml:space="preserve">tests/sample_payloads/</w:t>
      </w:r>
      <w:r>
        <w:t xml:space="preserve"> stores representative redacted EE payloads — used for Field Mapping and schema drift tests</w:t>
      </w:r>
    </w:p>
    <w:bookmarkEnd w:id="437"/>
    <w:bookmarkStart w:id="438" w:name="multi-company-test-fixtures"/>
    <w:p>
      <w:pPr>
        <w:pStyle w:val="Heading2"/>
      </w:pPr>
      <w:r>
        <w:t xml:space="preserve">28.6 Multi-company test fixtures</w:t>
      </w:r>
    </w:p>
    <w:p>
      <w:pPr>
        <w:pStyle w:val="Compact"/>
        <w:numPr>
          <w:ilvl w:val="0"/>
          <w:numId w:val="1274"/>
        </w:numPr>
      </w:pPr>
      <w:r>
        <w:t xml:space="preserve">Test site with 3 Companies: standalone, aggregator-of-3, single-with-multiple-locations</w:t>
      </w:r>
    </w:p>
    <w:p>
      <w:pPr>
        <w:pStyle w:val="Compact"/>
        <w:numPr>
          <w:ilvl w:val="0"/>
          <w:numId w:val="1274"/>
        </w:numPr>
      </w:pPr>
      <w:r>
        <w:t xml:space="preserve">Each Company with its own EE sandbox account (or scoped sandbox)</w:t>
      </w:r>
    </w:p>
    <w:p>
      <w:pPr>
        <w:pStyle w:val="Compact"/>
        <w:numPr>
          <w:ilvl w:val="0"/>
          <w:numId w:val="1274"/>
        </w:numPr>
      </w:pPr>
      <w:r>
        <w:t xml:space="preserve">Cross-Company isolation tests run on every regression cycle</w:t>
      </w:r>
    </w:p>
    <w:p>
      <w:pPr>
        <w:pStyle w:val="Compact"/>
        <w:numPr>
          <w:ilvl w:val="0"/>
          <w:numId w:val="1274"/>
        </w:numPr>
      </w:pPr>
      <w:r>
        <w:t xml:space="preserve">Aggregator-specific tests for the 5-Companies-in-one-site case</w:t>
      </w:r>
    </w:p>
    <w:bookmarkEnd w:id="438"/>
    <w:bookmarkStart w:id="439"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75"/>
        </w:numPr>
      </w:pPr>
      <w:r>
        <w:t xml:space="preserve">EasyEcom Account configured with valid credentials</w:t>
      </w:r>
    </w:p>
    <w:p>
      <w:pPr>
        <w:pStyle w:val="Compact"/>
        <w:numPr>
          <w:ilvl w:val="0"/>
          <w:numId w:val="1275"/>
        </w:numPr>
      </w:pPr>
      <w:r>
        <w:t xml:space="preserve">All EasyEcom Locations created and mapped to Frappe Warehouses</w:t>
      </w:r>
    </w:p>
    <w:p>
      <w:pPr>
        <w:pStyle w:val="Compact"/>
        <w:numPr>
          <w:ilvl w:val="0"/>
          <w:numId w:val="1275"/>
        </w:numPr>
      </w:pPr>
      <w:r>
        <w:t xml:space="preserve">Source-of-Truth Map populated for every relevant Warehouse</w:t>
      </w:r>
    </w:p>
    <w:p>
      <w:pPr>
        <w:pStyle w:val="Compact"/>
        <w:numPr>
          <w:ilvl w:val="0"/>
          <w:numId w:val="1275"/>
        </w:numPr>
      </w:pPr>
      <w:r>
        <w:t xml:space="preserve">Marketplace (flat channel list) synced from EasyEcom and classified by the FDE</w:t>
      </w:r>
    </w:p>
    <w:p>
      <w:pPr>
        <w:pStyle w:val="Compact"/>
        <w:numPr>
          <w:ilvl w:val="0"/>
          <w:numId w:val="1275"/>
        </w:numPr>
      </w:pPr>
      <w:r>
        <w:t xml:space="preserve">Marketplace Account configured per (Company, Marketplace) in use</w:t>
      </w:r>
    </w:p>
    <w:p>
      <w:pPr>
        <w:pStyle w:val="Compact"/>
        <w:numPr>
          <w:ilvl w:val="0"/>
          <w:numId w:val="1275"/>
        </w:numPr>
      </w:pPr>
      <w:r>
        <w:t xml:space="preserve">All marketplace-relevant Items synced (push status = Synced)</w:t>
      </w:r>
    </w:p>
    <w:p>
      <w:pPr>
        <w:pStyle w:val="Compact"/>
        <w:numPr>
          <w:ilvl w:val="0"/>
          <w:numId w:val="1275"/>
        </w:numPr>
      </w:pPr>
      <w:r>
        <w:t xml:space="preserve">All Customers (including pseudo-customers) synced</w:t>
      </w:r>
    </w:p>
    <w:p>
      <w:pPr>
        <w:pStyle w:val="Compact"/>
        <w:numPr>
          <w:ilvl w:val="0"/>
          <w:numId w:val="1275"/>
        </w:numPr>
      </w:pPr>
      <w:r>
        <w:t xml:space="preserve">All Suppliers synced</w:t>
      </w:r>
    </w:p>
    <w:p>
      <w:pPr>
        <w:pStyle w:val="Compact"/>
        <w:numPr>
          <w:ilvl w:val="0"/>
          <w:numId w:val="1275"/>
        </w:numPr>
      </w:pPr>
      <w:r>
        <w:t xml:space="preserve">Tax Category mappings configured</w:t>
      </w:r>
    </w:p>
    <w:p>
      <w:pPr>
        <w:pStyle w:val="Compact"/>
        <w:numPr>
          <w:ilvl w:val="0"/>
          <w:numId w:val="1275"/>
        </w:numPr>
      </w:pPr>
      <w:r>
        <w:t xml:space="preserve">HSN-to-Item-Tax-Template fixture loaded; FDE has reviewed coverage for client’s catalogue</w:t>
      </w:r>
    </w:p>
    <w:p>
      <w:pPr>
        <w:pStyle w:val="Compact"/>
        <w:numPr>
          <w:ilvl w:val="0"/>
          <w:numId w:val="1275"/>
        </w:numPr>
      </w:pPr>
      <w:r>
        <w:t xml:space="preserve">Account Role Map (per PRD Section 8.6) configured by client’s CA</w:t>
      </w:r>
    </w:p>
    <w:p>
      <w:pPr>
        <w:pStyle w:val="Compact"/>
        <w:numPr>
          <w:ilvl w:val="0"/>
          <w:numId w:val="1275"/>
        </w:numPr>
      </w:pPr>
      <w:r>
        <w:t xml:space="preserve">Webhook endpoint registered with EasyEcom; webhook_token matched</w:t>
      </w:r>
    </w:p>
    <w:p>
      <w:pPr>
        <w:pStyle w:val="Compact"/>
        <w:numPr>
          <w:ilvl w:val="0"/>
          <w:numId w:val="1275"/>
        </w:numPr>
      </w:pPr>
      <w:r>
        <w:t xml:space="preserve">Field Mapping rulesets active for all 10 flows; Show Computed Mapping reviewed by FDE</w:t>
      </w:r>
    </w:p>
    <w:p>
      <w:pPr>
        <w:pStyle w:val="Compact"/>
        <w:numPr>
          <w:ilvl w:val="0"/>
          <w:numId w:val="1275"/>
        </w:numPr>
      </w:pPr>
      <w:r>
        <w:t xml:space="preserve">SLA Budgets configured per Company per flow</w:t>
      </w:r>
    </w:p>
    <w:p>
      <w:pPr>
        <w:pStyle w:val="Compact"/>
        <w:numPr>
          <w:ilvl w:val="0"/>
          <w:numId w:val="1275"/>
        </w:numPr>
      </w:pPr>
      <w:r>
        <w:t xml:space="preserve">Alert recipients configured per Company per severity</w:t>
      </w:r>
    </w:p>
    <w:p>
      <w:pPr>
        <w:pStyle w:val="Compact"/>
        <w:numPr>
          <w:ilvl w:val="0"/>
          <w:numId w:val="1275"/>
        </w:numPr>
      </w:pPr>
      <w:r>
        <w:t xml:space="preserve">Connection Health dashboard shows green for all Companies</w:t>
      </w:r>
    </w:p>
    <w:p>
      <w:pPr>
        <w:pStyle w:val="Compact"/>
        <w:numPr>
          <w:ilvl w:val="0"/>
          <w:numId w:val="1275"/>
        </w:numPr>
      </w:pPr>
      <w:r>
        <w:t xml:space="preserve">End-to-end smoke test: 1 PO + 1 GRN + 1 B2C order + 1 cancellation + 1 return — all flow through cleanly</w:t>
      </w:r>
    </w:p>
    <w:p>
      <w:pPr>
        <w:pStyle w:val="Compact"/>
        <w:numPr>
          <w:ilvl w:val="0"/>
          <w:numId w:val="1275"/>
        </w:numPr>
      </w:pPr>
      <w:r>
        <w:t xml:space="preserve">Methodology v0 Defaults loaded; client CA has reviewed and accepted</w:t>
      </w:r>
    </w:p>
    <w:p>
      <w:pPr>
        <w:pStyle w:val="Compact"/>
        <w:numPr>
          <w:ilvl w:val="0"/>
          <w:numId w:val="1275"/>
        </w:numPr>
      </w:pPr>
      <w:r>
        <w:t xml:space="preserve">FDE has signed off on the pre-flight checklist before client go-live</w:t>
      </w:r>
    </w:p>
    <w:bookmarkEnd w:id="439"/>
    <w:bookmarkStart w:id="440" w:name="test-data-lifecycle"/>
    <w:p>
      <w:pPr>
        <w:pStyle w:val="Heading2"/>
      </w:pPr>
      <w:r>
        <w:t xml:space="preserve">28.8 Test data lifecycle</w:t>
      </w:r>
    </w:p>
    <w:p>
      <w:pPr>
        <w:pStyle w:val="Compact"/>
        <w:numPr>
          <w:ilvl w:val="0"/>
          <w:numId w:val="1276"/>
        </w:numPr>
      </w:pPr>
      <w:r>
        <w:t xml:space="preserve">Test site rebuilt nightly from fixtures (no accumulating state)</w:t>
      </w:r>
    </w:p>
    <w:p>
      <w:pPr>
        <w:pStyle w:val="Compact"/>
        <w:numPr>
          <w:ilvl w:val="0"/>
          <w:numId w:val="1276"/>
        </w:numPr>
      </w:pPr>
      <w:r>
        <w:t xml:space="preserve">Sandbox EE account state managed via teardown hooks (every test cleans up its own EE-side records)</w:t>
      </w:r>
    </w:p>
    <w:p>
      <w:pPr>
        <w:pStyle w:val="Compact"/>
        <w:numPr>
          <w:ilvl w:val="0"/>
          <w:numId w:val="1276"/>
        </w:numPr>
      </w:pPr>
      <w:r>
        <w:t xml:space="preserve">Performance and load tests run on dedicated test sites; never against pilot or production</w:t>
      </w:r>
    </w:p>
    <w:p>
      <w:pPr>
        <w:pStyle w:val="Compact"/>
        <w:numPr>
          <w:ilvl w:val="0"/>
          <w:numId w:val="1276"/>
        </w:numPr>
      </w:pPr>
      <w:r>
        <w:t xml:space="preserve">Test data never includes PII from real clients (synthetic data only)</w:t>
      </w:r>
    </w:p>
    <w:bookmarkEnd w:id="440"/>
    <w:bookmarkEnd w:id="441"/>
    <w:bookmarkStart w:id="447"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42" w:name="phasing-model"/>
    <w:p>
      <w:pPr>
        <w:pStyle w:val="Heading2"/>
      </w:pPr>
      <w:r>
        <w:t xml:space="preserve">29.1 Phasing model</w:t>
      </w:r>
    </w:p>
    <w:p>
      <w:pPr>
        <w:pStyle w:val="FirstParagraph"/>
      </w:pPr>
      <w:r>
        <w:t xml:space="preserve">Within v0.1 there are two release tiers:</w:t>
      </w:r>
    </w:p>
    <w:p>
      <w:pPr>
        <w:pStyle w:val="Compact"/>
        <w:numPr>
          <w:ilvl w:val="0"/>
          <w:numId w:val="127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7"/>
        </w:numPr>
      </w:pPr>
      <w:r>
        <w:t xml:space="preserve">v0.1 (week 46) — alpha plus the remaining six operational directions (queryable analytics, replay tooling, schema drift, SLA tracking, cross-Company ops, time travel). Generally available to FDE team.</w:t>
      </w:r>
    </w:p>
    <w:bookmarkEnd w:id="442"/>
    <w:bookmarkStart w:id="443"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3"/>
    <w:bookmarkStart w:id="444"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8"/>
        </w:numPr>
      </w:pPr>
      <w:r>
        <w:t xml:space="preserve">Weeks 1-12: recon engine team builds the rate-card library, forecasting engine, and Settlement Forecast DocType (parallelizable since it doesn’t need integration outputs yet)</w:t>
      </w:r>
    </w:p>
    <w:p>
      <w:pPr>
        <w:pStyle w:val="Compact"/>
        <w:numPr>
          <w:ilvl w:val="0"/>
          <w:numId w:val="1278"/>
        </w:numPr>
      </w:pPr>
      <w:r>
        <w:t xml:space="preserve">Weeks 13-24: recon engine builds the five reconciliations, with the integration delivering test data per flow as it lands</w:t>
      </w:r>
    </w:p>
    <w:p>
      <w:pPr>
        <w:pStyle w:val="Compact"/>
        <w:numPr>
          <w:ilvl w:val="0"/>
          <w:numId w:val="127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8"/>
        </w:numPr>
      </w:pPr>
      <w:r>
        <w:t xml:space="preserve">Weeks 25-32: integrated end-to-end testing across integration + recon + AI</w:t>
      </w:r>
    </w:p>
    <w:p>
      <w:pPr>
        <w:pStyle w:val="Compact"/>
        <w:numPr>
          <w:ilvl w:val="0"/>
          <w:numId w:val="1278"/>
        </w:numPr>
      </w:pPr>
      <w:r>
        <w:t xml:space="preserve">Weeks 33-46: continuing alongside Phase 2 operational-surface work — recon engine fees Section 23 alerts and Section 21 SLA breach financial impact</w:t>
      </w:r>
    </w:p>
    <w:bookmarkEnd w:id="444"/>
    <w:bookmarkStart w:id="445" w:name="v0.5-integration-deliverables"/>
    <w:p>
      <w:pPr>
        <w:pStyle w:val="Heading2"/>
      </w:pPr>
      <w:r>
        <w:t xml:space="preserve">29.4 v0.5 integration deliverables</w:t>
      </w:r>
    </w:p>
    <w:p>
      <w:pPr>
        <w:pStyle w:val="Compact"/>
        <w:numPr>
          <w:ilvl w:val="0"/>
          <w:numId w:val="1279"/>
        </w:numPr>
      </w:pPr>
      <w:r>
        <w:t xml:space="preserve">Settlement Templates for at least 4 marketplaces shipped as fixtures</w:t>
      </w:r>
    </w:p>
    <w:p>
      <w:pPr>
        <w:pStyle w:val="Compact"/>
        <w:numPr>
          <w:ilvl w:val="0"/>
          <w:numId w:val="1279"/>
        </w:numPr>
      </w:pPr>
      <w:r>
        <w:t xml:space="preserve">Rate Card Library entries for top marketplaces</w:t>
      </w:r>
    </w:p>
    <w:p>
      <w:pPr>
        <w:pStyle w:val="Compact"/>
        <w:numPr>
          <w:ilvl w:val="0"/>
          <w:numId w:val="1279"/>
        </w:numPr>
      </w:pPr>
      <w:r>
        <w:t xml:space="preserve">Multi-marketplace settlement ingestion at scale</w:t>
      </w:r>
    </w:p>
    <w:p>
      <w:pPr>
        <w:pStyle w:val="Compact"/>
        <w:numPr>
          <w:ilvl w:val="0"/>
          <w:numId w:val="1279"/>
        </w:numPr>
      </w:pPr>
      <w:r>
        <w:t xml:space="preserve">Aggregator topology validated with one real client</w:t>
      </w:r>
    </w:p>
    <w:p>
      <w:pPr>
        <w:pStyle w:val="Compact"/>
        <w:numPr>
          <w:ilvl w:val="0"/>
          <w:numId w:val="1279"/>
        </w:numPr>
      </w:pPr>
      <w:r>
        <w:t xml:space="preserve">Cross-Company Discrepancy reporting</w:t>
      </w:r>
    </w:p>
    <w:p>
      <w:pPr>
        <w:pStyle w:val="Compact"/>
        <w:numPr>
          <w:ilvl w:val="0"/>
          <w:numId w:val="1279"/>
        </w:numPr>
      </w:pPr>
      <w:r>
        <w:t xml:space="preserve">Performance hardening to v0.5 scale targets</w:t>
      </w:r>
    </w:p>
    <w:bookmarkEnd w:id="445"/>
    <w:bookmarkStart w:id="446" w:name="v1.0-integration-deliverables"/>
    <w:p>
      <w:pPr>
        <w:pStyle w:val="Heading2"/>
      </w:pPr>
      <w:r>
        <w:t xml:space="preserve">29.5 v1.0 integration deliverables</w:t>
      </w:r>
    </w:p>
    <w:p>
      <w:pPr>
        <w:pStyle w:val="Compact"/>
        <w:numPr>
          <w:ilvl w:val="0"/>
          <w:numId w:val="1280"/>
        </w:numPr>
      </w:pPr>
      <w:r>
        <w:t xml:space="preserve">Aggregator topology supporting 10+ Companies in one site</w:t>
      </w:r>
    </w:p>
    <w:p>
      <w:pPr>
        <w:pStyle w:val="Compact"/>
        <w:numPr>
          <w:ilvl w:val="0"/>
          <w:numId w:val="1280"/>
        </w:numPr>
      </w:pPr>
      <w:r>
        <w:t xml:space="preserve">Self-service onboarding wizard for non-FDE-led integration setup</w:t>
      </w:r>
    </w:p>
    <w:p>
      <w:pPr>
        <w:pStyle w:val="Compact"/>
        <w:numPr>
          <w:ilvl w:val="0"/>
          <w:numId w:val="1280"/>
        </w:numPr>
      </w:pPr>
      <w:r>
        <w:t xml:space="preserve">Performance hardening to v1.0 scale targets (100k orders/month)</w:t>
      </w:r>
    </w:p>
    <w:p>
      <w:pPr>
        <w:pStyle w:val="Compact"/>
        <w:numPr>
          <w:ilvl w:val="0"/>
          <w:numId w:val="1280"/>
        </w:numPr>
      </w:pPr>
      <w:r>
        <w:t xml:space="preserve">Frappe Cloud Marketplace listing of the parent app</w:t>
      </w:r>
    </w:p>
    <w:p>
      <w:pPr>
        <w:pStyle w:val="Compact"/>
        <w:numPr>
          <w:ilvl w:val="0"/>
          <w:numId w:val="1280"/>
        </w:numPr>
      </w:pPr>
      <w:r>
        <w:t xml:space="preserve">Documented partner-FDE certification for the integration setup</w:t>
      </w:r>
    </w:p>
    <w:bookmarkEnd w:id="446"/>
    <w:bookmarkEnd w:id="447"/>
    <w:bookmarkStart w:id="453" w:name="open-questions-and-v2-candidates"/>
    <w:p>
      <w:pPr>
        <w:pStyle w:val="Heading1"/>
      </w:pPr>
      <w:r>
        <w:t xml:space="preserve">30. Open Questions and v2 Candidates</w:t>
      </w:r>
    </w:p>
    <w:bookmarkStart w:id="448" w:name="deferred-to-v0.5"/>
    <w:p>
      <w:pPr>
        <w:pStyle w:val="Heading2"/>
      </w:pPr>
      <w:r>
        <w:t xml:space="preserve">30.1 Deferred to v0.5</w:t>
      </w:r>
    </w:p>
    <w:p>
      <w:pPr>
        <w:pStyle w:val="Compact"/>
        <w:numPr>
          <w:ilvl w:val="0"/>
          <w:numId w:val="128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81"/>
        </w:numPr>
      </w:pPr>
      <w:r>
        <w:t xml:space="preserve">EasyEcom B2B Invoice Generation API — for clients who prefer EE to generate B2B invoices instead of ERPNext (current default is ERPNext). Trivial to add when needed.</w:t>
      </w:r>
    </w:p>
    <w:p>
      <w:pPr>
        <w:pStyle w:val="Compact"/>
        <w:numPr>
          <w:ilvl w:val="0"/>
          <w:numId w:val="128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81"/>
        </w:numPr>
      </w:pPr>
      <w:r>
        <w:t xml:space="preserve">Self-service master sync UI — currently FDE-driven; v0.5 will add a self-service onboarding wizard</w:t>
      </w:r>
    </w:p>
    <w:p>
      <w:pPr>
        <w:pStyle w:val="Compact"/>
        <w:numPr>
          <w:ilvl w:val="0"/>
          <w:numId w:val="1281"/>
        </w:numPr>
      </w:pPr>
      <w:r>
        <w:t xml:space="preserve">Translation Library admin contributions from non-Anthropic FDEs (governance and review process needed)</w:t>
      </w:r>
    </w:p>
    <w:p>
      <w:pPr>
        <w:pStyle w:val="Compact"/>
        <w:numPr>
          <w:ilvl w:val="0"/>
          <w:numId w:val="1281"/>
        </w:numPr>
      </w:pPr>
      <w:r>
        <w:t xml:space="preserve">Cross-tenant translation library sharing (with privacy guarantees) — could become a network effect</w:t>
      </w:r>
    </w:p>
    <w:p>
      <w:pPr>
        <w:pStyle w:val="Compact"/>
        <w:numPr>
          <w:ilvl w:val="0"/>
          <w:numId w:val="1281"/>
        </w:numPr>
      </w:pPr>
      <w:r>
        <w:t xml:space="preserve">Inventory variance recon — separately scoped post-v0.1 enhancement to the recon engine</w:t>
      </w:r>
    </w:p>
    <w:bookmarkEnd w:id="448"/>
    <w:bookmarkStart w:id="449" w:name="deferred-to-v1.0"/>
    <w:p>
      <w:pPr>
        <w:pStyle w:val="Heading2"/>
      </w:pPr>
      <w:r>
        <w:t xml:space="preserve">30.2 Deferred to v1.0</w:t>
      </w:r>
    </w:p>
    <w:p>
      <w:pPr>
        <w:pStyle w:val="Compact"/>
        <w:numPr>
          <w:ilvl w:val="0"/>
          <w:numId w:val="1282"/>
        </w:numPr>
      </w:pPr>
      <w:r>
        <w:t xml:space="preserve">Multi-currency support — orders, settlements, invoices in non-INR. Not v0.5 scope either</w:t>
      </w:r>
    </w:p>
    <w:p>
      <w:pPr>
        <w:pStyle w:val="Compact"/>
        <w:numPr>
          <w:ilvl w:val="0"/>
          <w:numId w:val="128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82"/>
        </w:numPr>
      </w:pPr>
      <w:r>
        <w:t xml:space="preserve">ML-based root cause inference for Untranslated errors — v0.1 uses TF-IDF clustering; ML would be more accurate but heavier infrastructure</w:t>
      </w:r>
    </w:p>
    <w:p>
      <w:pPr>
        <w:pStyle w:val="Compact"/>
        <w:numPr>
          <w:ilvl w:val="0"/>
          <w:numId w:val="1282"/>
        </w:numPr>
      </w:pPr>
      <w:r>
        <w:t xml:space="preserve">Predictive alerting (alert before failures occur based on patterns) — requires established baseline; depends on enough production data</w:t>
      </w:r>
    </w:p>
    <w:p>
      <w:pPr>
        <w:pStyle w:val="Compact"/>
        <w:numPr>
          <w:ilvl w:val="0"/>
          <w:numId w:val="1282"/>
        </w:numPr>
      </w:pPr>
      <w:r>
        <w:t xml:space="preserve">Causal graph visualisation for time-travel queries</w:t>
      </w:r>
    </w:p>
    <w:p>
      <w:pPr>
        <w:pStyle w:val="Compact"/>
        <w:numPr>
          <w:ilvl w:val="0"/>
          <w:numId w:val="1282"/>
        </w:numPr>
      </w:pPr>
      <w:r>
        <w:t xml:space="preserve">Frappe Cloud Marketplace listing of the parent app — requires tenant isolation hardening beyond v0.1 scope</w:t>
      </w:r>
    </w:p>
    <w:bookmarkEnd w:id="449"/>
    <w:bookmarkStart w:id="450" w:name="X591ee1a6920a2c7076ee3e256ee90abe6553783"/>
    <w:p>
      <w:pPr>
        <w:pStyle w:val="Heading2"/>
      </w:pPr>
      <w:r>
        <w:t xml:space="preserve">30.3 Currently uncertain — to validate during v0.1 build</w:t>
      </w:r>
    </w:p>
    <w:p>
      <w:pPr>
        <w:pStyle w:val="Compact"/>
        <w:numPr>
          <w:ilvl w:val="0"/>
          <w:numId w:val="128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83"/>
        </w:numPr>
      </w:pPr>
      <w:r>
        <w:t xml:space="preserve">Webhook reliability — will measure actual delivery rate against polling-detected events; informs whether webhook-as-optimization is worth the configuration cost</w:t>
      </w:r>
    </w:p>
    <w:p>
      <w:pPr>
        <w:pStyle w:val="Compact"/>
        <w:numPr>
          <w:ilvl w:val="0"/>
          <w:numId w:val="128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83"/>
        </w:numPr>
      </w:pPr>
      <w:r>
        <w:t xml:space="preserve">e-waybill auto-generation latency — IRP API responsiveness in production volumes</w:t>
      </w:r>
    </w:p>
    <w:p>
      <w:pPr>
        <w:pStyle w:val="Compact"/>
        <w:numPr>
          <w:ilvl w:val="0"/>
          <w:numId w:val="128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83"/>
        </w:numPr>
      </w:pPr>
      <w:r>
        <w:t xml:space="preserve">Field Mapping engine performance overhead — declarative engine has compile-time + runtime cost vs. hardcoded; need to characterise on production-shaped payloads</w:t>
      </w:r>
    </w:p>
    <w:p>
      <w:pPr>
        <w:pStyle w:val="Compact"/>
        <w:numPr>
          <w:ilvl w:val="0"/>
          <w:numId w:val="1283"/>
        </w:numPr>
      </w:pPr>
      <w:r>
        <w:t xml:space="preserve">Schema drift false-positive rate — too sensitive and the FDE gets noise; too lenient and we miss real drift</w:t>
      </w:r>
    </w:p>
    <w:bookmarkEnd w:id="450"/>
    <w:bookmarkStart w:id="451" w:name="key-design-decisions-and-rationale"/>
    <w:p>
      <w:pPr>
        <w:pStyle w:val="Heading2"/>
      </w:pPr>
      <w:r>
        <w:t xml:space="preserve">30.4 Key design decisions and rationale</w:t>
      </w:r>
    </w:p>
    <w:p>
      <w:pPr>
        <w:pStyle w:val="Compact"/>
        <w:numPr>
          <w:ilvl w:val="0"/>
          <w:numId w:val="1284"/>
        </w:numPr>
      </w:pPr>
      <w:r>
        <w:t xml:space="preserve">Build our own integration rather than depend on erpnext_easyecom — accepted increased engineering scope for control</w:t>
      </w:r>
    </w:p>
    <w:p>
      <w:pPr>
        <w:pStyle w:val="Compact"/>
        <w:numPr>
          <w:ilvl w:val="0"/>
          <w:numId w:val="1284"/>
        </w:numPr>
      </w:pPr>
      <w:r>
        <w:t xml:space="preserve">ERPNext v16 only — chose feature reliance over backwards compatibility</w:t>
      </w:r>
    </w:p>
    <w:p>
      <w:pPr>
        <w:pStyle w:val="Compact"/>
        <w:numPr>
          <w:ilvl w:val="0"/>
          <w:numId w:val="1284"/>
        </w:numPr>
      </w:pPr>
      <w:r>
        <w:t xml:space="preserve">Polling-first, webhooks as optimization — chose deterministic catch-up over minimum latency</w:t>
      </w:r>
    </w:p>
    <w:p>
      <w:pPr>
        <w:pStyle w:val="Compact"/>
        <w:numPr>
          <w:ilvl w:val="0"/>
          <w:numId w:val="1284"/>
        </w:numPr>
      </w:pPr>
      <w:r>
        <w:t xml:space="preserve">Bidirectional Item master with field-level ownership matrix — chose explicit conflict resolution over picking a single direction</w:t>
      </w:r>
    </w:p>
    <w:p>
      <w:pPr>
        <w:pStyle w:val="Compact"/>
        <w:numPr>
          <w:ilvl w:val="0"/>
          <w:numId w:val="1284"/>
        </w:numPr>
      </w:pPr>
      <w:r>
        <w:t xml:space="preserve">Path-based Field Mapping engine — chose configurability over hardcoded simplicity</w:t>
      </w:r>
    </w:p>
    <w:p>
      <w:pPr>
        <w:pStyle w:val="Compact"/>
        <w:numPr>
          <w:ilvl w:val="0"/>
          <w:numId w:val="1284"/>
        </w:numPr>
      </w:pPr>
      <w:r>
        <w:t xml:space="preserve">Three-log model (Sync Record + API Call + Webhook Event) — chose separation of concerns over unified log</w:t>
      </w:r>
    </w:p>
    <w:p>
      <w:pPr>
        <w:pStyle w:val="Compact"/>
        <w:numPr>
          <w:ilvl w:val="0"/>
          <w:numId w:val="1284"/>
        </w:numPr>
      </w:pPr>
      <w:r>
        <w:t>Recon-aware alerts with financial impact — chose product wedge over standard ‘thing failed’ alerts</w:t>
      </w:r>
    </w:p>
    <w:p>
      <w:pPr>
        <w:pStyle w:val="Compact"/>
        <w:numPr>
          <w:ilvl w:val="0"/>
          <w:numId w:val="1284"/>
        </w:numPr>
      </w:pPr>
      <w:r>
        <w:t xml:space="preserve">Morning Brief as a first-class deliverable — chose directive UX over diagnostic UX</w:t>
      </w:r>
    </w:p>
    <w:p>
      <w:pPr>
        <w:pStyle w:val="Compact"/>
        <w:numPr>
          <w:ilvl w:val="0"/>
          <w:numId w:val="1284"/>
        </w:numPr>
      </w:pPr>
      <w:r>
        <w:t xml:space="preserve">Error Translation Library — chose plain-English over raw error pass-through</w:t>
      </w:r>
    </w:p>
    <w:p>
      <w:pPr>
        <w:pStyle w:val="Compact"/>
        <w:numPr>
          <w:ilvl w:val="0"/>
          <w:numId w:val="1284"/>
        </w:numPr>
      </w:pPr>
      <w:r>
        <w:t xml:space="preserve">Time travel via Configuration Audit + Field Mapping Versions — chose forensic capability over storage minimization</w:t>
      </w:r>
    </w:p>
    <w:p>
      <w:pPr>
        <w:pStyle w:val="Compact"/>
        <w:numPr>
          <w:ilvl w:val="0"/>
          <w:numId w:val="1284"/>
        </w:numPr>
      </w:pPr>
      <w:r>
        <w:t xml:space="preserve">All 10 flows in v0.1 plus full operational surface — chose product completeness over time-to-pilot. Resulting v0.1 timeline: 38-46 weeks</w:t>
      </w:r>
    </w:p>
    <w:p>
      <w:pPr>
        <w:pStyle w:val="Compact"/>
        <w:numPr>
          <w:ilvl w:val="0"/>
          <w:numId w:val="1284"/>
        </w:numPr>
      </w:pPr>
      <w:r>
        <w:t xml:space="preserve">EasyEcom Account (account-level) and EasyEcom Company Settings (per-Company) — chose an account-scoped credential boundary with location-resolved Companies</w:t>
      </w:r>
    </w:p>
    <w:bookmarkEnd w:id="451"/>
    <w:bookmarkStart w:id="452"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52"/>
    <w:bookmarkEnd w:id="453"/>
    <w:bookmarkStart w:id="517"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7"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4"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4"/>
    <w:bookmarkStart w:id="455"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85"/>
        </w:numPr>
      </w:pPr>
      <w:r>
        <w:t xml:space="preserve">Custom DocTypes specific to this client (rare; usually the parent app suffices)</w:t>
      </w:r>
    </w:p>
    <w:p>
      <w:pPr>
        <w:pStyle w:val="Compact"/>
        <w:numPr>
          <w:ilvl w:val="0"/>
          <w:numId w:val="1285"/>
        </w:numPr>
      </w:pPr>
      <w:r>
        <w:t xml:space="preserve">Per-client Field Mapping fixtures (overrides to global rulesets)</w:t>
      </w:r>
    </w:p>
    <w:p>
      <w:pPr>
        <w:pStyle w:val="Compact"/>
        <w:numPr>
          <w:ilvl w:val="0"/>
          <w:numId w:val="1285"/>
        </w:numPr>
      </w:pPr>
      <w:r>
        <w:t xml:space="preserve">Per-client Error Translation entries (Company-scoped overrides)</w:t>
      </w:r>
    </w:p>
    <w:p>
      <w:pPr>
        <w:pStyle w:val="Compact"/>
        <w:numPr>
          <w:ilvl w:val="0"/>
          <w:numId w:val="1285"/>
        </w:numPr>
      </w:pPr>
      <w:r>
        <w:t xml:space="preserve">Per-client SLA Budget fixtures</w:t>
      </w:r>
    </w:p>
    <w:p>
      <w:pPr>
        <w:pStyle w:val="Compact"/>
        <w:numPr>
          <w:ilvl w:val="0"/>
          <w:numId w:val="1285"/>
        </w:numPr>
      </w:pPr>
      <w:r>
        <w:t xml:space="preserve">Per-client Methodology defaults (Account Role Map adjustments, etc.)</w:t>
      </w:r>
    </w:p>
    <w:p>
      <w:pPr>
        <w:pStyle w:val="Compact"/>
        <w:numPr>
          <w:ilvl w:val="0"/>
          <w:numId w:val="1285"/>
        </w:numPr>
      </w:pPr>
      <w:r>
        <w:t xml:space="preserve">Client-specific tests (e2e tests against the client’s actual EE sandbox)</w:t>
      </w:r>
    </w:p>
    <w:bookmarkEnd w:id="455"/>
    <w:bookmarkStart w:id="456"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86"/>
        </w:numPr>
      </w:pPr>
      <w:r>
        <w:t xml:space="preserve">doc_events for Sales Order, Sales Invoice, Purchase Order, Purchase Receipt, Stock Entry, Item, Customer, Supplier — drives push hooks</w:t>
      </w:r>
    </w:p>
    <w:p>
      <w:pPr>
        <w:pStyle w:val="Compact"/>
        <w:numPr>
          <w:ilvl w:val="0"/>
          <w:numId w:val="1286"/>
        </w:numPr>
      </w:pPr>
      <w:r>
        <w:t xml:space="preserve">scheduler_events for periodic pulls and Morning Brief generation</w:t>
      </w:r>
    </w:p>
    <w:p>
      <w:pPr>
        <w:pStyle w:val="Compact"/>
        <w:numPr>
          <w:ilvl w:val="0"/>
          <w:numId w:val="1286"/>
        </w:numPr>
      </w:pPr>
      <w:r>
        <w:t xml:space="preserve">permission_query_conditions for Company-scoped data isolation</w:t>
      </w:r>
    </w:p>
    <w:p>
      <w:pPr>
        <w:pStyle w:val="Compact"/>
        <w:numPr>
          <w:ilvl w:val="0"/>
          <w:numId w:val="1286"/>
        </w:numPr>
      </w:pPr>
      <w:r>
        <w:t xml:space="preserve">has_permission for cross-Company permission rules</w:t>
      </w:r>
    </w:p>
    <w:p>
      <w:pPr>
        <w:pStyle w:val="Compact"/>
        <w:numPr>
          <w:ilvl w:val="0"/>
          <w:numId w:val="1286"/>
        </w:numPr>
      </w:pPr>
      <w:r>
        <w:t xml:space="preserve">override_doctype_class for ERPNext core DocType extensions (rare)</w:t>
      </w:r>
    </w:p>
    <w:p>
      <w:pPr>
        <w:pStyle w:val="Compact"/>
        <w:numPr>
          <w:ilvl w:val="0"/>
          <w:numId w:val="1286"/>
        </w:numPr>
      </w:pPr>
      <w:r>
        <w:t xml:space="preserve">after_install for first-run setup (creating default Roles, loading initial fixtures)</w:t>
      </w:r>
    </w:p>
    <w:bookmarkEnd w:id="456"/>
    <w:bookmarkEnd w:id="457"/>
    <w:bookmarkStart w:id="482"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8"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8"/>
    <w:bookmarkStart w:id="459"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9"/>
    <w:bookmarkStart w:id="460"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60"/>
    <w:bookmarkStart w:id="461"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61"/>
    <w:bookmarkStart w:id="462"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62"/>
    <w:bookmarkStart w:id="463"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3"/>
    <w:bookmarkStart w:id="464" w:name="easyecom-queue-job"/>
    <w:p>
      <w:pPr>
        <w:pStyle w:val="Heading3"/>
      </w:pPr>
      <w:r>
        <w:t xml:space="preserve">31.2.6 EasyEcom Queue Job</w:t>
      </w:r>
    </w:p>
    <w:p>
      <w:pPr>
        <w:pStyle w:val="FirstParagraph"/>
      </w:pPr>
      <w:r>
        <w:t xml:space="preserve">See Section 6.3.2 for the full schema (already specified there).</w:t>
      </w:r>
    </w:p>
    <w:bookmarkEnd w:id="464"/>
    <w:bookmarkStart w:id="465"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5"/>
    <w:bookmarkStart w:id="466"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6"/>
    <w:bookmarkStart w:id="467"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7"/>
    <w:bookmarkStart w:id="468" w:name="easyecom-replay-plan"/>
    <w:p>
      <w:pPr>
        <w:pStyle w:val="Heading3"/>
      </w:pPr>
      <w:r>
        <w:t xml:space="preserve">31.2.10 EasyEcom Replay Plan</w:t>
      </w:r>
    </w:p>
    <w:p>
      <w:pPr>
        <w:pStyle w:val="FirstParagraph"/>
      </w:pPr>
      <w:r>
        <w:t xml:space="preserve">See Section 19.1 for the full schema (already specified there).</w:t>
      </w:r>
    </w:p>
    <w:bookmarkEnd w:id="468"/>
    <w:bookmarkStart w:id="469" w:name="easyecom-schema-snapshot"/>
    <w:p>
      <w:pPr>
        <w:pStyle w:val="Heading3"/>
      </w:pPr>
      <w:r>
        <w:t xml:space="preserve">31.2.11 EasyEcom Schema Snapshot</w:t>
      </w:r>
    </w:p>
    <w:p>
      <w:pPr>
        <w:pStyle w:val="FirstParagraph"/>
      </w:pPr>
      <w:r>
        <w:t xml:space="preserve">See Section 20.2 for the full schema (already specified there).</w:t>
      </w:r>
    </w:p>
    <w:bookmarkEnd w:id="469"/>
    <w:bookmarkStart w:id="470" w:name="easyecom-payload-sample"/>
    <w:p>
      <w:pPr>
        <w:pStyle w:val="Heading3"/>
      </w:pPr>
      <w:r>
        <w:t xml:space="preserve">31.2.12 EasyEcom Payload Sample</w:t>
      </w:r>
    </w:p>
    <w:p>
      <w:pPr>
        <w:pStyle w:val="FirstParagraph"/>
      </w:pPr>
      <w:r>
        <w:t xml:space="preserve">See Section 20.3.</w:t>
      </w:r>
    </w:p>
    <w:bookmarkEnd w:id="470"/>
    <w:bookmarkStart w:id="471" w:name="easyecom-error-translation"/>
    <w:p>
      <w:pPr>
        <w:pStyle w:val="Heading3"/>
      </w:pPr>
      <w:r>
        <w:t xml:space="preserve">31.2.13 EasyEcom Error Translation</w:t>
      </w:r>
    </w:p>
    <w:p>
      <w:pPr>
        <w:pStyle w:val="FirstParagraph"/>
      </w:pPr>
      <w:r>
        <w:t xml:space="preserve">See Section 25.1.</w:t>
      </w:r>
    </w:p>
    <w:bookmarkEnd w:id="471"/>
    <w:bookmarkStart w:id="472" w:name="easyecom-sla-budget"/>
    <w:p>
      <w:pPr>
        <w:pStyle w:val="Heading3"/>
      </w:pPr>
      <w:r>
        <w:t xml:space="preserve">31.2.14 EasyEcom SLA Budget</w:t>
      </w:r>
    </w:p>
    <w:p>
      <w:pPr>
        <w:pStyle w:val="FirstParagraph"/>
      </w:pPr>
      <w:r>
        <w:t xml:space="preserve">See Section 21.1.</w:t>
      </w:r>
    </w:p>
    <w:bookmarkEnd w:id="472"/>
    <w:bookmarkStart w:id="473" w:name="easyecom-sla-breach"/>
    <w:p>
      <w:pPr>
        <w:pStyle w:val="Heading3"/>
      </w:pPr>
      <w:r>
        <w:t xml:space="preserve">31.2.15 EasyEcom SLA Breach</w:t>
      </w:r>
    </w:p>
    <w:p>
      <w:pPr>
        <w:pStyle w:val="FirstParagraph"/>
      </w:pPr>
      <w:r>
        <w:t xml:space="preserve">See Section 21.4.</w:t>
      </w:r>
    </w:p>
    <w:bookmarkEnd w:id="473"/>
    <w:bookmarkStart w:id="474"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4"/>
    <w:bookmarkStart w:id="475" w:name="easyecom-morning-brief-snapshot"/>
    <w:p>
      <w:pPr>
        <w:pStyle w:val="Heading3"/>
      </w:pPr>
      <w:r>
        <w:t xml:space="preserve">31.2.17 EasyEcom Morning Brief Snapshot</w:t>
      </w:r>
    </w:p>
    <w:p>
      <w:pPr>
        <w:pStyle w:val="FirstParagraph"/>
      </w:pPr>
      <w:r>
        <w:t xml:space="preserve">See Section 24.2.</w:t>
      </w:r>
    </w:p>
    <w:bookmarkEnd w:id="475"/>
    <w:bookmarkStart w:id="476"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6"/>
    <w:bookmarkStart w:id="477"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7"/>
    <w:bookmarkStart w:id="478"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8"/>
    <w:bookmarkStart w:id="479"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9"/>
    <w:bookmarkStart w:id="480"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80"/>
    <w:bookmarkStart w:id="481"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81"/>
    <w:bookmarkEnd w:id="482"/>
    <w:bookmarkStart w:id="490"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3"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3"/>
    <w:bookmarkStart w:id="484"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4"/>
    <w:bookmarkStart w:id="485"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5"/>
    <w:bookmarkStart w:id="486"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6"/>
    <w:bookmarkStart w:id="487"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7"/>
    <w:bookmarkStart w:id="488"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8"/>
    <w:bookmarkStart w:id="489"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9"/>
    <w:bookmarkEnd w:id="490"/>
    <w:bookmarkStart w:id="500"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91"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91"/>
    <w:bookmarkStart w:id="492"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92"/>
    <w:bookmarkStart w:id="493"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3"/>
    <w:bookmarkStart w:id="494"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4"/>
    <w:bookmarkStart w:id="495"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5"/>
    <w:bookmarkStart w:id="496"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6"/>
    <w:bookmarkStart w:id="497"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7"/>
    <w:bookmarkStart w:id="498"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8"/>
    <w:bookmarkStart w:id="499"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9"/>
    <w:bookmarkEnd w:id="500"/>
    <w:bookmarkStart w:id="501"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501"/>
    <w:bookmarkStart w:id="502"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502"/>
    <w:bookmarkStart w:id="508"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3"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3"/>
    <w:bookmarkStart w:id="504"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7"/>
        </w:numPr>
      </w:pPr>
      <w:r>
        <w:t xml:space="preserve">Marketplace (the flat channel list) — read by all integration roles; write by System Manager</w:t>
      </w:r>
    </w:p>
    <w:p>
      <w:pPr>
        <w:pStyle w:val="Compact"/>
        <w:numPr>
          <w:ilvl w:val="0"/>
          <w:numId w:val="1287"/>
        </w:numPr>
      </w:pPr>
      <w:r>
        <w:t xml:space="preserve">EasyEcom Field Mapping (when company_scope is empty) — read by all FDE roles; write by System Manager</w:t>
      </w:r>
    </w:p>
    <w:p>
      <w:pPr>
        <w:pStyle w:val="Compact"/>
        <w:numPr>
          <w:ilvl w:val="0"/>
          <w:numId w:val="1287"/>
        </w:numPr>
      </w:pPr>
      <w:r>
        <w:t xml:space="preserve">EasyEcom Error Translation (when not Company-scoped) — same</w:t>
      </w:r>
    </w:p>
    <w:bookmarkEnd w:id="504"/>
    <w:bookmarkStart w:id="505"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8"/>
        </w:numPr>
      </w:pPr>
      <w:r>
        <w:t xml:space="preserve">Other sections (Sync Window, Sync Tuning, GRN Policy, Alerts): Accounts Manager + System Manager</w:t>
      </w:r>
    </w:p>
    <w:bookmarkEnd w:id="505"/>
    <w:bookmarkStart w:id="506"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6"/>
    <w:bookmarkStart w:id="507"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7"/>
    <w:bookmarkEnd w:id="508"/>
    <w:bookmarkStart w:id="514" w:name="frappe-hooks-registry"/>
    <w:p>
      <w:pPr>
        <w:pStyle w:val="Heading2"/>
      </w:pPr>
      <w:r>
        <w:t xml:space="preserve">31.8 Frappe hooks registry</w:t>
      </w:r>
    </w:p>
    <w:p>
      <w:pPr>
        <w:pStyle w:val="FirstParagraph"/>
      </w:pPr>
      <w:r>
        <w:t xml:space="preserve">The parent app’s hooks.py registers the following hooks:</w:t>
      </w:r>
    </w:p>
    <w:bookmarkStart w:id="509"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9"/>
    <w:bookmarkStart w:id="510"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10"/>
    <w:bookmarkStart w:id="511"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11"/>
    <w:bookmarkStart w:id="512"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12"/>
    <w:bookmarkStart w:id="513"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3"/>
    <w:bookmarkEnd w:id="514"/>
    <w:bookmarkStart w:id="515"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9"/>
        </w:numPr>
      </w:pPr>
      <w:r>
        <w:t xml:space="preserve">Field Mapping engine: compiler, executor, transformers, exceptions, FDE editing UI</w:t>
      </w:r>
    </w:p>
    <w:p>
      <w:pPr>
        <w:pStyle w:val="Compact"/>
        <w:numPr>
          <w:ilvl w:val="0"/>
          <w:numId w:val="1289"/>
        </w:numPr>
      </w:pPr>
      <w:r>
        <w:t xml:space="preserve">Master sync (Item, Customer, Supplier, Warehouse, Tax Category, Channel) — uses Field Mapping engine; first real exercise of the integration</w:t>
      </w:r>
    </w:p>
    <w:p>
      <w:pPr>
        <w:pStyle w:val="Compact"/>
        <w:numPr>
          <w:ilvl w:val="0"/>
          <w:numId w:val="1289"/>
        </w:numPr>
      </w:pPr>
      <w:r>
        <w:t xml:space="preserve">Buying flow (PO push, GRN pull, PR creation)</w:t>
      </w:r>
    </w:p>
    <w:p>
      <w:pPr>
        <w:pStyle w:val="Compact"/>
        <w:numPr>
          <w:ilvl w:val="0"/>
          <w:numId w:val="1289"/>
        </w:numPr>
      </w:pPr>
      <w:r>
        <w:t xml:space="preserve">Stock transfers</w:t>
      </w:r>
    </w:p>
    <w:p>
      <w:pPr>
        <w:pStyle w:val="Compact"/>
        <w:numPr>
          <w:ilvl w:val="0"/>
          <w:numId w:val="1289"/>
        </w:numPr>
      </w:pPr>
      <w:r>
        <w:t xml:space="preserve">B2C sales (manifests, SI creation, Marketplace Order Map)</w:t>
      </w:r>
    </w:p>
    <w:p>
      <w:pPr>
        <w:pStyle w:val="Compact"/>
        <w:numPr>
          <w:ilvl w:val="0"/>
          <w:numId w:val="1289"/>
        </w:numPr>
      </w:pPr>
      <w:r>
        <w:t xml:space="preserve">B2B sales (SO push, Stock Reservation Entry mirror, B2B invoice flow)</w:t>
      </w:r>
    </w:p>
    <w:p>
      <w:pPr>
        <w:pStyle w:val="Compact"/>
        <w:numPr>
          <w:ilvl w:val="0"/>
          <w:numId w:val="1289"/>
        </w:numPr>
      </w:pPr>
      <w:r>
        <w:t xml:space="preserve">Returns and cancellations</w:t>
      </w:r>
    </w:p>
    <w:p>
      <w:pPr>
        <w:pStyle w:val="Compact"/>
        <w:numPr>
          <w:ilvl w:val="0"/>
          <w:numId w:val="1289"/>
        </w:numPr>
      </w:pPr>
      <w:r>
        <w:t xml:space="preserve">Must-have operational surface: Recon-Aware Alerts, Morning Brief, Error Translation library, Operational Workspace shell</w:t>
      </w:r>
    </w:p>
    <w:p>
      <w:pPr>
        <w:pStyle w:val="Compact"/>
        <w:numPr>
          <w:ilvl w:val="0"/>
          <w:numId w:val="1289"/>
        </w:numPr>
      </w:pPr>
      <w:r>
        <w:t xml:space="preserve">v0.1-alpha cut at week 32 — internal release</w:t>
      </w:r>
    </w:p>
    <w:p>
      <w:pPr>
        <w:pStyle w:val="Compact"/>
        <w:numPr>
          <w:ilvl w:val="0"/>
          <w:numId w:val="1289"/>
        </w:numPr>
      </w:pPr>
      <w:r>
        <w:t xml:space="preserve">Hardening + analytics layer (queryable analytics on logs)</w:t>
      </w:r>
    </w:p>
    <w:p>
      <w:pPr>
        <w:pStyle w:val="Compact"/>
        <w:numPr>
          <w:ilvl w:val="0"/>
          <w:numId w:val="1289"/>
        </w:numPr>
      </w:pPr>
      <w:r>
        <w:t xml:space="preserve">Replay tooling</w:t>
      </w:r>
    </w:p>
    <w:p>
      <w:pPr>
        <w:pStyle w:val="Compact"/>
        <w:numPr>
          <w:ilvl w:val="0"/>
          <w:numId w:val="1289"/>
        </w:numPr>
      </w:pPr>
      <w:r>
        <w:t xml:space="preserve">SLA tracking + Cross-Company ops</w:t>
      </w:r>
    </w:p>
    <w:p>
      <w:pPr>
        <w:pStyle w:val="Compact"/>
        <w:numPr>
          <w:ilvl w:val="0"/>
          <w:numId w:val="1289"/>
        </w:numPr>
      </w:pPr>
      <w:r>
        <w:t xml:space="preserve">Schema drift + Time travel</w:t>
      </w:r>
    </w:p>
    <w:p>
      <w:pPr>
        <w:pStyle w:val="Compact"/>
        <w:numPr>
          <w:ilvl w:val="0"/>
          <w:numId w:val="1289"/>
        </w:numPr>
      </w:pPr>
      <w:r>
        <w:t xml:space="preserve">v0.1 final hardening at week 46 — pilot-ready</w:t>
      </w:r>
    </w:p>
    <w:bookmarkEnd w:id="515"/>
    <w:bookmarkStart w:id="516"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90"/>
        </w:numPr>
      </w:pPr>
      <w:r>
        <w:t xml:space="preserve">Treat this section as the schema source of truth; treat earlier sections as the design rationale</w:t>
      </w:r>
    </w:p>
    <w:p>
      <w:pPr>
        <w:pStyle w:val="Compact"/>
        <w:numPr>
          <w:ilvl w:val="0"/>
          <w:numId w:val="1290"/>
        </w:numPr>
      </w:pPr>
      <w:r>
        <w:t xml:space="preserve">When in doubt about a field name or fieldtype, prefer the convention here over inventing new</w:t>
      </w:r>
    </w:p>
    <w:p>
      <w:pPr>
        <w:pStyle w:val="Compact"/>
        <w:numPr>
          <w:ilvl w:val="0"/>
          <w:numId w:val="1290"/>
        </w:numPr>
      </w:pPr>
      <w:r>
        <w:t xml:space="preserve">Implement DocTypes in the order specified in 31.9 — dependencies are real</w:t>
      </w:r>
    </w:p>
    <w:p>
      <w:pPr>
        <w:pStyle w:val="Compact"/>
        <w:numPr>
          <w:ilvl w:val="0"/>
          <w:numId w:val="1290"/>
        </w:numPr>
      </w:pPr>
      <w:r>
        <w:t xml:space="preserve">Always include the indexes specified in field schemas; index choices were made for query patterns the spec depends on</w:t>
      </w:r>
    </w:p>
    <w:p>
      <w:pPr>
        <w:pStyle w:val="Compact"/>
        <w:numPr>
          <w:ilvl w:val="0"/>
          <w:numId w:val="1290"/>
        </w:numPr>
      </w:pPr>
      <w:r>
        <w:t xml:space="preserve">Always raise the specific exception class from 31.5; do not raise generic Exception</w:t>
      </w:r>
    </w:p>
    <w:p>
      <w:pPr>
        <w:pStyle w:val="Compact"/>
        <w:numPr>
          <w:ilvl w:val="0"/>
          <w:numId w:val="1290"/>
        </w:numPr>
      </w:pPr>
      <w:r>
        <w:t xml:space="preserve">Always pass correlation_id through the call stack; do not generate new IDs at intermediate layers</w:t>
      </w:r>
    </w:p>
    <w:p>
      <w:pPr>
        <w:pStyle w:val="Compact"/>
        <w:numPr>
          <w:ilvl w:val="0"/>
          <w:numId w:val="1290"/>
        </w:numPr>
      </w:pPr>
      <w:r>
        <w:t>Always call the Field Mapping engine for translation; do not write hardcoded translations even if ‘simpler’</w:t>
      </w:r>
    </w:p>
    <w:p>
      <w:pPr>
        <w:pStyle w:val="Compact"/>
        <w:numPr>
          <w:ilvl w:val="0"/>
          <w:numId w:val="1290"/>
        </w:numPr>
      </w:pPr>
      <w:r>
        <w:t>Always call the Error Translation library for failed records; do not bypass it for ‘common’ errors</w:t>
      </w:r>
    </w:p>
    <w:p>
      <w:pPr>
        <w:pStyle w:val="Compact"/>
        <w:numPr>
          <w:ilvl w:val="0"/>
          <w:numId w:val="1290"/>
        </w:numPr>
      </w:pPr>
      <w:r>
        <w:t xml:space="preserve">Always include a test for every flow at the unit + integration tier minimum (Section 28.1)</w:t>
      </w:r>
    </w:p>
    <w:p>
      <w:pPr>
        <w:pStyle w:val="Compact"/>
        <w:numPr>
          <w:ilvl w:val="0"/>
          <w:numId w:val="1290"/>
        </w:numPr>
      </w:pPr>
      <w:r>
        <w:t>Always update the Configuration Audit log when modifying configuration; never skip the audit even for ‘small’ changes</w:t>
      </w:r>
    </w:p>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2026-05-26T02:33:17Z</dcterms:created>
  <dcterms:modified xsi:type="dcterms:W3CDTF">2026-05-26T02:33:17Z</dcterms:modified>
</cp:coreProperties>
</file>

<file path=docProps/custom.xml><?xml version="1.0" encoding="utf-8"?>
<Properties xmlns="http://schemas.openxmlformats.org/officeDocument/2006/custom-properties" xmlns:vt="http://schemas.openxmlformats.org/officeDocument/2006/docPropsVTypes"/>
</file>