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Stock Transfers — User Guide</w:t>
      </w:r>
    </w:p>
    <w:p>
      <w:r>
        <w:rPr>
          <w:i/>
          <w:iCs/>
        </w:rPr>
        <w:t xml:space="preserve">A guide for the ERPNext user who needs to move stock between warehouses. Plain language. Four scenarios. Textual flow for each.</w:t>
      </w:r>
    </w:p>
    <w:p>
      <w:r>
        <w:t xml:space="preserve">If you are an FDE or technical integrator, read FDE_PRIMER_section_10_stock_transfer.md instead — this guide deliberately leaves out the technical machinery.</w:t>
      </w:r>
    </w:p>
    <w:p>
      <w:pPr>
        <w:pStyle w:val="Heading3"/>
      </w:pPr>
      <w:r>
        <w:t xml:space="preserve">How the flow tables work</w:t>
      </w:r>
    </w:p>
    <w:p>
      <w:r>
        <w:t xml:space="preserve">Each scenario shows a step-by-step table. Read top to bottom. The middle column tells you who acts at that step: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YOU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EASYECOM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DECIDE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Your action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Integration automation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Happens in EasyEcom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Decision point</w:t>
            </w:r>
          </w:p>
        </w:tc>
        <w:tc>
          <w:tcPr>
            <w:tcW w:type="dxa" w:w="201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color w:val="424242"/>
                <w:sz w:val="18"/>
                <w:szCs w:val="18"/>
              </w:rPr>
              <w:t xml:space="preserve">Transfer complete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What this covers</w:t>
      </w:r>
    </w:p>
    <w:p>
      <w:r>
        <w:t xml:space="preserve">You have stock in one warehouse. You want it in another. The integration helps when at least one of the warehouses is connected to EasyEcom. This guide explains:</w:t>
      </w:r>
    </w:p>
    <w:p>
      <w:pPr>
        <w:pStyle w:val="ListParagraph"/>
        <w:numPr>
          <w:ilvl w:val="0"/>
          <w:numId w:val="2"/>
        </w:numPr>
      </w:pPr>
      <w:r>
        <w:t xml:space="preserve">The four scenarios you might be in.</w:t>
      </w:r>
    </w:p>
    <w:p>
      <w:pPr>
        <w:pStyle w:val="ListParagraph"/>
        <w:numPr>
          <w:ilvl w:val="0"/>
          <w:numId w:val="2"/>
        </w:numPr>
      </w:pPr>
      <w:r>
        <w:t xml:space="preserve">What you do, and what the system does automatically.</w:t>
      </w:r>
    </w:p>
    <w:p>
      <w:pPr>
        <w:pStyle w:val="ListParagraph"/>
        <w:numPr>
          <w:ilvl w:val="0"/>
          <w:numId w:val="2"/>
        </w:numPr>
      </w:pPr>
      <w:r>
        <w:t xml:space="preserve">What documents get created (and who submits them).</w:t>
      </w:r>
    </w:p>
    <w:p>
      <w:pPr>
        <w:pStyle w:val="ListParagraph"/>
        <w:numPr>
          <w:ilvl w:val="0"/>
          <w:numId w:val="2"/>
        </w:numPr>
      </w:pPr>
      <w:r>
        <w:t xml:space="preserve">What can go wrong and how you'll know.</w:t>
      </w:r>
    </w:p>
    <w:p>
      <w:r>
        <w:rPr>
          <w:b/>
          <w:bCs/>
        </w:rPr>
        <w:t xml:space="preserve">One rule above all others: </w:t>
      </w:r>
      <w:r>
        <w:t xml:space="preserve">the integration creates </w:t>
      </w:r>
      <w:r>
        <w:rPr>
          <w:i/>
          <w:iCs/>
        </w:rPr>
        <w:t xml:space="preserve">Draft</w:t>
      </w:r>
      <w:r>
        <w:t xml:space="preserve"> documents. </w:t>
      </w:r>
      <w:r>
        <w:rPr>
          <w:i/>
          <w:iCs/>
        </w:rPr>
        <w:t xml:space="preserve">You</w:t>
      </w:r>
      <w:r>
        <w:t xml:space="preserve"> submit them. The system never auto-submits a Sales Invoice, a Purchase Invoice, or a Debit Note on your behalf. This is deliberate — financial documents are your decision, not the integration's.</w:t>
      </w:r>
    </w:p>
    <w:p>
      <w:pPr>
        <w:pStyle w:val="Heading2"/>
      </w:pPr>
      <w:r>
        <w:t xml:space="preserve">The four scenarios at a glance</w:t>
      </w:r>
    </w:p>
    <w:p>
      <w:r>
        <w:t xml:space="preserve">The two questions that determine your scenario: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 the source warehouse connected to EasyEcom?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 the destination warehouse connected to EasyEcom?</w:t>
      </w:r>
    </w:p>
    <w:p>
      <w:r>
        <w:t xml:space="preserve">The four combinations: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980"/>
        <w:gridCol w:w="4000"/>
      </w:tblGrid>
      <w:tr>
        <w:trPr>
          <w:tblHeader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tcW w:type="dxa" w:w="29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you call it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 EE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 EE</w:t>
            </w:r>
          </w:p>
        </w:tc>
        <w:tc>
          <w:tcPr>
            <w:tcW w:type="dxa" w:w="29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Plain stock movement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Pure ERPNext. The integration is silent.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EE</w:t>
            </w:r>
          </w:p>
        </w:tc>
        <w:tc>
          <w:tcPr>
            <w:tcW w:type="dxa" w:w="29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Internal warehouse transfer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Integration pushes the transfer to EE. EE manages dispatch and receipt.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 EE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EE</w:t>
            </w:r>
          </w:p>
        </w:tc>
        <w:tc>
          <w:tcPr>
            <w:tcW w:type="dxa" w:w="29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Inward to EE warehouse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Integration creates a purchase order on the EE side so EE can receive goods.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Not EE</w:t>
            </w:r>
          </w:p>
        </w:tc>
        <w:tc>
          <w:tcPr>
            <w:tcW w:type="dxa" w:w="29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Dispatch from EE to outside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Integration tells EE about a B2B order; the receiving side is purely your ERPNext task.</w:t>
            </w:r>
          </w:p>
        </w:tc>
      </w:tr>
    </w:tbl>
    <w:p>
      <w:r>
        <w:t xml:space="preserve"> </w:t>
      </w:r>
    </w:p>
    <w:p>
      <w:r>
        <w:t xml:space="preserve">The next four sections cover each in detail.</w:t>
      </w:r>
    </w:p>
    <w:p>
      <w:r>
        <w:br w:type="page"/>
      </w:r>
    </w:p>
    <w:p>
      <w:pPr>
        <w:pStyle w:val="Heading2"/>
      </w:pPr>
      <w:r>
        <w:t xml:space="preserve">Scenario 1: Plain stock movement (neither warehouse is EE-connected)</w:t>
      </w:r>
    </w:p>
    <w:p>
      <w:r>
        <w:t xml:space="preserve">You're moving stock between two warehouses, neither of which is connected to EasyEcom.</w:t>
      </w:r>
    </w:p>
    <w:p>
      <w:pPr>
        <w:pStyle w:val="Heading3"/>
      </w:pPr>
      <w:r>
        <w:t xml:space="preserve">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 a Delivery Note in ERPNext from source to destination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Delivery Note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Stock moves source → destination in ERPNext (standard ERPNext mechanics)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(nothing happens — neither warehouse is in EasyEcom)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The integration is silent. No Transfer Map, no Sync Record.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When goods physically arrive at destination, record the receipt yourself (Stock Entry or similar)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Transfer complete — pure ERPNext flow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Who submits what:</w:t>
      </w:r>
      <w:r>
        <w:t xml:space="preserve"> you submit the DN. You record the receipt. That's it.</w:t>
      </w:r>
    </w:p>
    <w:p>
      <w:r>
        <w:br w:type="page"/>
      </w:r>
    </w:p>
    <w:p>
      <w:pPr>
        <w:pStyle w:val="Heading2"/>
      </w:pPr>
      <w:r>
        <w:t xml:space="preserve">Scenario 2: Internal warehouse transfer (both warehouses are EE-connected)</w:t>
      </w:r>
    </w:p>
    <w:p>
      <w:r>
        <w:t xml:space="preserve">The most common §10 scenario. Both source and destination are EE-managed warehouses. Goods will travel between them.</w:t>
      </w:r>
    </w:p>
    <w:p>
      <w:r>
        <w:t xml:space="preserve">Two cases inside this scenario: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Same GSTIN</w:t>
      </w:r>
      <w:r>
        <w:t xml:space="preserve"> (intra-Company, or same legal entity even across Companies): pure stock movement, no GST consequence.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Different GSTIN</w:t>
      </w:r>
      <w:r>
        <w:t xml:space="preserve"> (inter-Company across legal entities, or inter-state in a multi-state Company): legal supply, GST applies.</w:t>
      </w:r>
    </w:p>
    <w:p>
      <w:pPr>
        <w:pStyle w:val="Heading3"/>
      </w:pPr>
      <w:r>
        <w:t xml:space="preserve">Scenario 2A — Same GSTIN</w:t>
      </w:r>
    </w:p>
    <w:p>
      <w:r>
        <w:t xml:space="preserve">No Sales Invoice or Purchase Invoice needed — same legal entity, no inter-Company GST consequences. Just stock movement, with EasyEcom managing the physical flow.</w:t>
      </w:r>
    </w:p>
    <w:p>
      <w:pPr>
        <w:pStyle w:val="Heading4"/>
      </w:pPr>
      <w:r>
        <w:t xml:space="preserve">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 an Internal-Customer Delivery Note (source EE warehouse → destination EE warehouse)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DN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Creates a Transfer Map record for tracking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Pushes a Stock Transfer Order (STN) to EasyEcom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Stock parks in your Goods-in-Transit (GIT) warehouse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Receives goods at destination warehouse (mark GRN-Complete in EasyEcom)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Auto-creates and submits Internal Purchase Receipt (IPR). Stock moves GIT → destination warehouse.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Transfer complete — Transfer Map status: Fully-Received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What you do after:</w:t>
      </w:r>
      <w:r>
        <w:t xml:space="preserve"> nothing. The same-GSTIN flow needs no further action from you. The transfer is complete.</w:t>
      </w:r>
    </w:p>
    <w:p>
      <w:r>
        <w:br w:type="page"/>
      </w:r>
    </w:p>
    <w:p>
      <w:pPr>
        <w:pStyle w:val="Heading3"/>
      </w:pPr>
      <w:r>
        <w:t xml:space="preserve">Scenario 2B — Different GSTIN</w:t>
      </w:r>
    </w:p>
    <w:p>
      <w:r>
        <w:t xml:space="preserve">Same as 2A, but the system now also produces GST documents because the transfer crosses a GSTIN boundary. This is where things get more involved.</w:t>
      </w:r>
    </w:p>
    <w:p>
      <w:pPr>
        <w:pStyle w:val="Heading4"/>
      </w:pPr>
      <w:r>
        <w:t xml:space="preserve">Phase 1 — At DN submit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 an Internal-Customer DN (source EE → destination EE, different GSTINs)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DN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Creates a Transfer Map record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Auto-drafts a Sales Invoice (full dispatched quantity) — stays in DRAFT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You'll submit this when ready — see Phase 2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Pushes Stock Transfer Order (STN) to EasyEcom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Stock parks in your Goods-in-Transit (GIT) warehouse</w:t>
            </w:r>
          </w:p>
        </w:tc>
      </w:tr>
    </w:tbl>
    <w:p>
      <w:r>
        <w:t xml:space="preserve"> </w:t>
      </w:r>
    </w:p>
    <w:p>
      <w:pPr>
        <w:pStyle w:val="Heading4"/>
      </w:pPr>
      <w:r>
        <w:t xml:space="preserve">Phase 2 — When EasyEcom reports receipt</w:t>
      </w:r>
    </w:p>
    <w:p>
      <w:r>
        <w:t xml:space="preserve">This phase depends on whether you've submitted the SI yet.</w:t>
      </w:r>
    </w:p>
    <w:p>
      <w:r>
        <w:rPr>
          <w:b/>
          <w:bCs/>
        </w:rPr>
        <w:t xml:space="preserve">Case A — You have already submitted the SI: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Receives goods at destination (mark GRN-Complete in EasyEcom)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Auto-submits the Internal Purchase Receipt (IPR). Stock moves GIT → destination warehouse.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9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Auto-drafts an Internal Purchase Invoice (IPI) sized to the SI's full dispatched quantity (for full Input Tax Credit)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DECIDE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Did EasyEcom receive fewer units than dispatched?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YES: auto-drafts a Debit Note (gap-sized lines) to reverse proportional ITC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Case B — You haven't submitted the SI yet: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Receives goods at destination (mark GRN-Complete in EasyEcom)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Creates the IPR but holds it in DRAFT (cannot auto-submit until SI is submitted)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ToDo appears on the IPR for you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9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Find the drafted SI → review it → submit it (when ready)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Automatically retries: submits the held IPR. Stock moves GIT → destination.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Auto-drafts the IPI and (if applicable) Debit Note — same as Case A from step 9 onwards</w:t>
            </w:r>
          </w:p>
        </w:tc>
      </w:tr>
    </w:tbl>
    <w:p>
      <w:r>
        <w:t xml:space="preserve"> </w:t>
      </w:r>
    </w:p>
    <w:p>
      <w:pPr>
        <w:pStyle w:val="Heading4"/>
      </w:pPr>
      <w:r>
        <w:t xml:space="preserve">Phase 3 — Closing out the GST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Find the auto-drafted IPI → review it → submit it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a Debit Note was drafted: review it → submit it (this acknowledges the loss and reverses the proportional ITC)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Transfer complete — Transfer Map status: Fully-Received (or DN-Submitted-Locked if a DN was submitted)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What you do after, in order:</w:t>
      </w:r>
      <w:r>
        <w:t xml:space="preserve"> submit SI → submit IPI → submit DN (if a gap exists). Always in that order. The integration handles the rest.</w:t>
      </w:r>
    </w:p>
    <w:p>
      <w:pPr>
        <w:pStyle w:val="Heading4"/>
      </w:pPr>
      <w:r>
        <w:t xml:space="preserve">Multi-GRN: when goods arrive in batches</w:t>
      </w:r>
    </w:p>
    <w:p>
      <w:r>
        <w:t xml:space="preserve">Sometimes EasyEcom records receipt in multiple batches over several days (you dispatched 100; EE records 60 on day 1, 40 on day 3).</w:t>
      </w:r>
    </w:p>
    <w:p>
      <w:r>
        <w:rPr>
          <w:b/>
          <w:bCs/>
        </w:rPr>
        <w:t xml:space="preserve">What the integration does:</w:t>
      </w:r>
    </w:p>
    <w:p>
      <w:pPr>
        <w:pStyle w:val="ListParagraph"/>
        <w:numPr>
          <w:ilvl w:val="0"/>
          <w:numId w:val="3"/>
        </w:numPr>
      </w:pPr>
      <w:r>
        <w:t xml:space="preserve">A separate IPR per EE receipt event.</w:t>
      </w:r>
    </w:p>
    <w:p>
      <w:pPr>
        <w:pStyle w:val="ListParagraph"/>
        <w:numPr>
          <w:ilvl w:val="0"/>
          <w:numId w:val="3"/>
        </w:numPr>
      </w:pPr>
      <w:r>
        <w:t xml:space="preserve">The Debit Note draft adjusts </w:t>
      </w:r>
      <w:r>
        <w:rPr>
          <w:b/>
          <w:bCs/>
        </w:rPr>
        <w:t xml:space="preserve">automatically</w:t>
      </w:r>
      <w:r>
        <w:t xml:space="preserve"> each time more goods are received. If a draft DN of "missing 40 units" was created after the first batch, when the second batch arrives and closes the gap, the draft DN is auto-cancelled. An audit Comment is added to the Transfer Map recording what happened.</w:t>
      </w:r>
    </w:p>
    <w:p>
      <w:pPr>
        <w:pStyle w:val="ListParagraph"/>
        <w:numPr>
          <w:ilvl w:val="0"/>
          <w:numId w:val="3"/>
        </w:numPr>
      </w:pPr>
      <w:r>
        <w:t xml:space="preserve">If a gap remains after the final receipt, the draft DN sits there waiting for you to review and submit.</w:t>
      </w:r>
    </w:p>
    <w:p>
      <w:r>
        <w:t xml:space="preserve">If you submit the draft Debit Note while a gap still exists, you're accepting that the missing units are genuinely lost. </w:t>
      </w:r>
      <w:r>
        <w:rPr>
          <w:b/>
          <w:bCs/>
        </w:rPr>
        <w:t xml:space="preserve">If goods then arrive late (after you've submitted the DN), the integration won't auto-process them</w:t>
      </w:r>
      <w:r>
        <w:t xml:space="preserve"> — you'll get a flag on the FDE worklist saying "late goods after submitted DN — needs reconciliation."</w:t>
      </w:r>
    </w:p>
    <w:p>
      <w:r>
        <w:br w:type="page"/>
      </w:r>
    </w:p>
    <w:p>
      <w:pPr>
        <w:pStyle w:val="Heading2"/>
      </w:pPr>
      <w:r>
        <w:t xml:space="preserve">Scenario 3: Inward to EE warehouse (source NOT EE, destination IS EE)</w:t>
      </w:r>
    </w:p>
    <w:p>
      <w:r>
        <w:t xml:space="preserve">You're bringing stock into an EE-managed warehouse from somewhere outside EE — maybe a 3PL, maybe a non-EE branch, maybe a contract manufacturer.</w:t>
      </w:r>
    </w:p>
    <w:p>
      <w:pPr>
        <w:pStyle w:val="Heading3"/>
      </w:pPr>
      <w:r>
        <w:t xml:space="preserve">Flow</w:t>
      </w:r>
    </w:p>
    <w:p>
      <w:r>
        <w:t xml:space="preserve">Almost identical to Scenario 2B (different-GSTIN flow), with one key difference: the integration creates a Purchase Order on the EasyEcom side (instead of a Stock Transfer Order) so EE knows goods are arriving from outside its universe.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 an Internal-Customer DN (source non-EE warehouse → destination EE warehouse)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DN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Creates a Transfer Map record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GSTINs differ: auto-drafts a Sales Invoice (DRAFT)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Pushes a Purchase Order to EasyEcom (NOT an STN — because source is outside EE)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This is the key difference from Scenario 2B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Stock parks in your Goods-in-Transit (GIT) warehouse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Receives goods at destination (mark GRN-Complete in EE)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Auto-submits the IPR (if SI is submitted) or holds it (if SI isn't submitted yet — auto-retry on SI submit)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9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auto-drafted SI when ready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different-GSTIN: auto-drafts IPI; auto-drafts Debit Note on any gap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IPI; submit the Debit Note (if drafted)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Transfer complete</w:t>
            </w:r>
          </w:p>
        </w:tc>
      </w:tr>
    </w:tbl>
    <w:p>
      <w:r>
        <w:t xml:space="preserve"> </w:t>
      </w:r>
    </w:p>
    <w:p>
      <w:pPr>
        <w:pStyle w:val="Heading4"/>
      </w:pPr>
      <w:r>
        <w:t xml:space="preserve">Prerequisite (FDE setup, not your concern)</w:t>
      </w:r>
    </w:p>
    <w:p>
      <w:r>
        <w:t xml:space="preserve">The source side needs to be representable as an EE vendor. </w:t>
      </w:r>
      <w:r>
        <w:rPr>
          <w:b/>
          <w:bCs/>
        </w:rPr>
        <w:t xml:space="preserve">If your FDE hasn't set this up, your DN will go into Drift state and they'll fix it.</w:t>
      </w:r>
      <w:r>
        <w:t xml:space="preserve"> You'll see a flag; you don't have to do anything about it. The FDE handles drift.</w:t>
      </w:r>
    </w:p>
    <w:p>
      <w:r>
        <w:br w:type="page"/>
      </w:r>
    </w:p>
    <w:p>
      <w:pPr>
        <w:pStyle w:val="Heading2"/>
      </w:pPr>
      <w:r>
        <w:t xml:space="preserve">Scenario 4: Dispatch from EE to outside (source IS EE, destination NOT EE)</w:t>
      </w:r>
    </w:p>
    <w:p>
      <w:r>
        <w:t xml:space="preserve">You're sending stock out of an EE-managed warehouse to somewhere outside EE — a B2B customer's facility, a non-EE branch, a 3PL that doesn't run EE.</w:t>
      </w:r>
    </w:p>
    <w:p>
      <w:pPr>
        <w:pStyle w:val="Heading3"/>
      </w:pPr>
      <w:r>
        <w:t xml:space="preserve">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680"/>
      </w:tblGrid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 an Internal-Customer DN (source EE warehouse → destination non-EE warehouse)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Submit the DN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Creates a Transfer Map record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GSTINs differ: auto-drafts a Sales Invoice (DRAFT)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Pushes a B2B order to EasyEcom (orderType = businessorder)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EE knows it's dispatching goods outside its universe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Dispatches goods from the EE warehouse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EASYECOM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(Goods leave EasyEcom's universe — no EE-side receipt event)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If a SI was drafted: submit it when ready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9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When goods physically arrive at the non-EE destination, RECORD THE RECEIPT YOURSELF in ERPNext (Purchase Receipt or Stock Entry — standard ERPNext)</w:t>
            </w:r>
          </w:p>
          <w:p>
            <w:r>
              <w:rPr>
                <w:i/>
                <w:iCs/>
                <w:color w:val="616161"/>
                <w:sz w:val="20"/>
                <w:szCs w:val="20"/>
              </w:rPr>
              <w:t xml:space="preserve">The integration cannot auto-create an IPR — destination is outside EE</w:t>
            </w:r>
          </w:p>
        </w:tc>
      </w:tr>
      <w:tr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24242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sz w:val="22"/>
                <w:szCs w:val="22"/>
              </w:rPr>
              <w:t xml:space="preserve">Transfer complete on the destination side (your manual receipt) + GST documents settled (if applicable)</w:t>
            </w:r>
          </w:p>
        </w:tc>
      </w:tr>
    </w:tbl>
    <w:p>
      <w:r>
        <w:t xml:space="preserve"> </w:t>
      </w:r>
    </w:p>
    <w:p>
      <w:pPr>
        <w:pStyle w:val="Heading4"/>
      </w:pPr>
      <w:r>
        <w:t xml:space="preserve">What's different from other scenarios</w:t>
      </w:r>
    </w:p>
    <w:p>
      <w:r>
        <w:rPr>
          <w:b/>
          <w:bCs/>
        </w:rPr>
        <w:t xml:space="preserve">The integration does NOT create an IPR or IPI on the destination side. </w:t>
      </w:r>
      <w:r>
        <w:t xml:space="preserve">Stock has left EasyEcom's universe — there's no EE event to trigger inbound processing. You record the receipt manually in ERPNext using standard ERPNext UX.</w:t>
      </w:r>
    </w:p>
    <w:p>
      <w:r>
        <w:rPr>
          <w:b/>
          <w:bCs/>
        </w:rPr>
        <w:t xml:space="preserve">Important: </w:t>
      </w:r>
      <w:r>
        <w:t xml:space="preserve">the §10 automation ends when goods leave EE's universe. Everything downstream from step 7 is your responsibility via standard ERPNext.</w:t>
      </w:r>
    </w:p>
    <w:p>
      <w:r>
        <w:br w:type="page"/>
      </w:r>
    </w:p>
    <w:p>
      <w:pPr>
        <w:pStyle w:val="Heading2"/>
      </w:pPr>
      <w:r>
        <w:t xml:space="preserve">What you'll see in ERPNext for any §10 transfer</w:t>
      </w:r>
    </w:p>
    <w:p>
      <w:pPr>
        <w:pStyle w:val="Heading3"/>
      </w:pPr>
      <w:r>
        <w:t xml:space="preserve">The Transfer Map</w:t>
      </w:r>
    </w:p>
    <w:p>
      <w:r>
        <w:t xml:space="preserve">A new record type called EasyEcom Transfer Map is created for every §10 transfer. Open it to see:</w:t>
      </w:r>
    </w:p>
    <w:p>
      <w:pPr>
        <w:pStyle w:val="ListParagraph"/>
        <w:numPr>
          <w:ilvl w:val="0"/>
          <w:numId w:val="3"/>
        </w:numPr>
      </w:pPr>
      <w:r>
        <w:t xml:space="preserve">The originating Delivery Note.</w:t>
      </w:r>
    </w:p>
    <w:p>
      <w:pPr>
        <w:pStyle w:val="ListParagraph"/>
        <w:numPr>
          <w:ilvl w:val="0"/>
          <w:numId w:val="3"/>
        </w:numPr>
      </w:pPr>
      <w:r>
        <w:t xml:space="preserve">The auto-drafted Sales Invoice (if any).</w:t>
      </w:r>
    </w:p>
    <w:p>
      <w:pPr>
        <w:pStyle w:val="ListParagraph"/>
        <w:numPr>
          <w:ilvl w:val="0"/>
          <w:numId w:val="3"/>
        </w:numPr>
      </w:pPr>
      <w:r>
        <w:t xml:space="preserve">The list of Internal Purchase Receipts created so far.</w:t>
      </w:r>
    </w:p>
    <w:p>
      <w:pPr>
        <w:pStyle w:val="ListParagraph"/>
        <w:numPr>
          <w:ilvl w:val="0"/>
          <w:numId w:val="3"/>
        </w:numPr>
      </w:pPr>
      <w:r>
        <w:t xml:space="preserve">The auto-drafted Internal Purchase Invoice.</w:t>
      </w:r>
    </w:p>
    <w:p>
      <w:pPr>
        <w:pStyle w:val="ListParagraph"/>
        <w:numPr>
          <w:ilvl w:val="0"/>
          <w:numId w:val="3"/>
        </w:numPr>
      </w:pPr>
      <w:r>
        <w:t xml:space="preserve">The auto-drafted Debit Note (if any).</w:t>
      </w:r>
    </w:p>
    <w:p>
      <w:pPr>
        <w:pStyle w:val="ListParagraph"/>
        <w:numPr>
          <w:ilvl w:val="0"/>
          <w:numId w:val="3"/>
        </w:numPr>
      </w:pPr>
      <w:r>
        <w:t xml:space="preserve">The current Goods-in-Transit balance for this transfer.</w:t>
      </w:r>
    </w:p>
    <w:p>
      <w:pPr>
        <w:pStyle w:val="ListParagraph"/>
        <w:numPr>
          <w:ilvl w:val="0"/>
          <w:numId w:val="3"/>
        </w:numPr>
      </w:pPr>
      <w:r>
        <w:t xml:space="preserve">The status, showing where the transfer is in its lifecycle.</w:t>
      </w:r>
    </w:p>
    <w:p>
      <w:pPr>
        <w:pStyle w:val="Heading3"/>
      </w:pPr>
      <w:r>
        <w:t xml:space="preserve">Status meanings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Mapped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Just created, pre-push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SI-Pending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 drafted, waiting for you to submit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EE-Pushed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Pushed to EasyEcom, awaiting receipt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Partial-Received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Some goods have arrived; more expected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Fully-Received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All dispatched units received; transfer cleanly closed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DN-Submitted-Locked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Debit Note was submitted (loss acknowledged); transfer closed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Drift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Something is wrong — see flag_reason; FDE will handle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Disabled</w:t>
            </w:r>
          </w:p>
        </w:tc>
        <w:tc>
          <w:tcPr>
            <w:tcW w:type="dxa" w:w="7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Manually disabled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Warehouse autocomplete shows EE-mapping</w:t>
      </w:r>
    </w:p>
    <w:p>
      <w:r>
        <w:t xml:space="preserve">On the DN form, when you click into a warehouse field, EE-mapped warehouses appear at the top of the dropdown with their EE label (e.g. </w:t>
      </w:r>
      <w:r>
        <w:rPr>
          <w:rFonts w:ascii="Consolas" w:cs="Consolas" w:eastAsia="Consolas" w:hAnsi="Consolas"/>
          <w:sz w:val="20"/>
          <w:szCs w:val="20"/>
        </w:rPr>
        <w:t xml:space="preserve">EE: Delhi B2B WH (#4521)</w:t>
      </w:r>
      <w:r>
        <w:t xml:space="preserve">). Non-EE warehouses appear below with no label. Helps you pick the right warehouse without checking elsewhere.</w:t>
      </w:r>
    </w:p>
    <w:p>
      <w:pPr>
        <w:pStyle w:val="Heading3"/>
      </w:pPr>
      <w:r>
        <w:t xml:space="preserve">Branch prediction chip</w:t>
      </w:r>
    </w:p>
    <w:p>
      <w:r>
        <w:t xml:space="preserve">Once you've picked your source and destination warehouses on a §10-marked DN, a chip appears on the form telling you which §10 scenario you're in: </w:t>
      </w:r>
      <w:r>
        <w:rPr>
          <w:rFonts w:ascii="Consolas" w:cs="Consolas" w:eastAsia="Consolas" w:hAnsi="Consolas"/>
          <w:sz w:val="20"/>
          <w:szCs w:val="20"/>
        </w:rPr>
        <w:t xml:space="preserve">§10 branch: STN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§10 branch: B2B</w:t>
      </w:r>
      <w:r>
        <w:t xml:space="preserve">, etc. This way you know what's about to happen before you submit.</w:t>
      </w:r>
    </w:p>
    <w:p>
      <w:pPr>
        <w:pStyle w:val="Heading3"/>
      </w:pPr>
      <w:r>
        <w:t xml:space="preserve">ToDos and Comments</w:t>
      </w:r>
    </w:p>
    <w:p>
      <w:r>
        <w:t xml:space="preserve">The integration uses standard ERPNext ToDos and Comments to nudge you. Examples:</w:t>
      </w:r>
    </w:p>
    <w:p>
      <w:pPr>
        <w:pStyle w:val="ListParagraph"/>
        <w:numPr>
          <w:ilvl w:val="0"/>
          <w:numId w:val="3"/>
        </w:numPr>
      </w:pPr>
      <w:r>
        <w:t xml:space="preserve">"Submit the SI on Transfer Map ECS-XFER-DN-26-00040 — IPR is waiting" → on the IPR.</w:t>
      </w:r>
    </w:p>
    <w:p>
      <w:pPr>
        <w:pStyle w:val="ListParagraph"/>
        <w:numPr>
          <w:ilvl w:val="0"/>
          <w:numId w:val="3"/>
        </w:numPr>
      </w:pPr>
      <w:r>
        <w:t xml:space="preserve">"GIT aged past 30 days on this transfer — submit DN or investigate" → on the originating DN.</w:t>
      </w:r>
    </w:p>
    <w:p>
      <w:pPr>
        <w:pStyle w:val="ListParagraph"/>
        <w:numPr>
          <w:ilvl w:val="0"/>
          <w:numId w:val="3"/>
        </w:numPr>
      </w:pPr>
      <w:r>
        <w:t xml:space="preserve">"Late goods arrived after submitted DN — needs reconciliation" → Integration Discrepancy raised; FDE will engage.</w:t>
      </w:r>
    </w:p>
    <w:p>
      <w:r>
        <w:br w:type="page"/>
      </w:r>
    </w:p>
    <w:p>
      <w:pPr>
        <w:pStyle w:val="Heading2"/>
      </w:pPr>
      <w:r>
        <w:t xml:space="preserve">What can go wrong</w:t>
      </w:r>
    </w:p>
    <w:p>
      <w:pPr>
        <w:pStyle w:val="Heading3"/>
      </w:pPr>
      <w:r>
        <w:t xml:space="preserve">Drift</w:t>
      </w:r>
    </w:p>
    <w:p>
      <w:r>
        <w:t xml:space="preserve">If something's misconfigured (missing Internal Customer pair, unmapped item, missing target warehouse address, etc.), your Transfer Map goes into </w:t>
      </w:r>
      <w:r>
        <w:rPr>
          <w:rFonts w:ascii="Consolas" w:cs="Consolas" w:eastAsia="Consolas" w:hAnsi="Consolas"/>
          <w:sz w:val="20"/>
          <w:szCs w:val="20"/>
        </w:rPr>
        <w:t xml:space="preserve">Drift</w:t>
      </w:r>
      <w:r>
        <w:t xml:space="preserve"> status with a flag_reason explaining what's missing. </w:t>
      </w:r>
      <w:r>
        <w:rPr>
          <w:b/>
          <w:bCs/>
        </w:rPr>
        <w:t xml:space="preserve">This is not your problem to fix</w:t>
      </w:r>
      <w:r>
        <w:t xml:space="preserve"> — the FDE handles drift cases. You'll see the flag, and the FDE will see it on their worklist.</w:t>
      </w:r>
    </w:p>
    <w:p>
      <w:pPr>
        <w:pStyle w:val="Heading3"/>
      </w:pPr>
      <w:r>
        <w:t xml:space="preserve">Aged goods-in-transit</w:t>
      </w:r>
    </w:p>
    <w:p>
      <w:r>
        <w:t xml:space="preserve">If dispatched units don't get fully received within </w:t>
      </w:r>
      <w:r>
        <w:rPr>
          <w:rFonts w:ascii="Consolas" w:cs="Consolas" w:eastAsia="Consolas" w:hAnsi="Consolas"/>
          <w:sz w:val="20"/>
          <w:szCs w:val="20"/>
        </w:rPr>
        <w:t xml:space="preserve">lost_in_transit_threshold_days</w:t>
      </w:r>
      <w:r>
        <w:t xml:space="preserve"> (default 30), you get a ToDo on the originating DN. Decide whether to submit the auto-drafted Debit Note (accept the loss) or investigate further (call the warehouse, check for missed GRNs, etc.).</w:t>
      </w:r>
    </w:p>
    <w:p>
      <w:pPr>
        <w:pStyle w:val="Heading3"/>
      </w:pPr>
      <w:r>
        <w:t xml:space="preserve">Cancelling a DN after it's been pushed to EE</w:t>
      </w:r>
    </w:p>
    <w:p>
      <w:r>
        <w:t xml:space="preserve">You can't (currently). If you try to cancel a DN whose Transfer Map is in EE-Pushed status or beyond, you'll get a clear error message. The integration doesn't yet support cancel — the EE cancel endpoint hasn't been wired. Contact your integration team if this happens; they'll handle the EE-side cancellation manually.</w:t>
      </w:r>
    </w:p>
    <w:p>
      <w:r>
        <w:t xml:space="preserve">If the DN is still in pre-push state (Mapped, Drift, SI-Pending without EE having been called), it cancels cleanly.</w:t>
      </w:r>
    </w:p>
    <w:p>
      <w:pPr>
        <w:pStyle w:val="Heading3"/>
      </w:pPr>
      <w:r>
        <w:t xml:space="preserve">Submit order matters</w:t>
      </w:r>
    </w:p>
    <w:p>
      <w:r>
        <w:t xml:space="preserve">For different-GSTIN flows: </w:t>
      </w:r>
      <w:r>
        <w:rPr>
          <w:b/>
          <w:bCs/>
        </w:rPr>
        <w:t xml:space="preserve">SI must be submitted before the IPR can submit, and IPR must be submitted before the IPI auto-drafts.</w:t>
      </w:r>
      <w:r>
        <w:t xml:space="preserve"> If you try to submit out of order (e.g. try to submit the IPI before the IPR is in), ERPNext will refuse — that's a financial-precondition rule. Submit in order: SI → wait for IPR to auto-submit → IPI → DN (if a gap exists).</w:t>
      </w:r>
    </w:p>
    <w:p>
      <w:r>
        <w:br w:type="page"/>
      </w:r>
    </w:p>
    <w:p>
      <w:pPr>
        <w:pStyle w:val="Heading2"/>
      </w:pPr>
      <w:r>
        <w:t xml:space="preserve">Quick reference: what gets created in each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100"/>
        <w:gridCol w:w="1500"/>
        <w:gridCol w:w="1500"/>
        <w:gridCol w:w="1500"/>
        <w:gridCol w:w="1400"/>
      </w:tblGrid>
      <w:tr>
        <w:trPr>
          <w:tblHeader/>
        </w:trP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EE push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IPR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IPI / DN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 — neither EE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2A — both EE, same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Auto-submitted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2B — both EE, different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Auto-drafted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STN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Auto-submitted (after SI)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IPI auto-drafted; DN auto-drafted on gap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 — source non-EE, dest EE, same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Auto-submitted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 — source non-EE, dest EE, different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Auto-drafted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Auto-submitted (after SI)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IPI auto-drafted; DN auto-drafted on gap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— source EE, dest non-EE, same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 (you record manually)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308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— source EE, dest non-EE, different GSTIN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You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Auto-drafted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B2B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 (you record manually)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</w:tbl>
    <w:p>
      <w:r>
        <w:t xml:space="preserve"> </w:t>
      </w:r>
    </w:p>
    <w:p>
      <w:r>
        <w:rPr>
          <w:b/>
          <w:bCs/>
        </w:rPr>
        <w:t xml:space="preserve">Pattern: </w:t>
      </w:r>
      <w:r>
        <w:t xml:space="preserve">if the destination is outside EE (Scenario 4), the destination-side receipt is your manual work in ERPNext. Everywhere else, the integration handles the receipt-side documents.</w:t>
      </w:r>
    </w:p>
    <w:p>
      <w:r>
        <w:br w:type="page"/>
      </w:r>
    </w:p>
    <w:p>
      <w:pPr>
        <w:pStyle w:val="Heading2"/>
      </w:pPr>
      <w:r>
        <w:t xml:space="preserve">Frequently asked questions</w:t>
      </w:r>
    </w:p>
    <w:p>
      <w:r>
        <w:rPr>
          <w:b/>
          <w:bCs/>
        </w:rPr>
        <w:t xml:space="preserve">Why doesn't the integration submit the SI for me?</w:t>
      </w:r>
    </w:p>
    <w:p>
      <w:r>
        <w:t xml:space="preserve">Because submitting a Sales Invoice has GST and accounting consequences. You decide when it's right to submit — the integration creates the draft, you confirm.</w:t>
      </w:r>
    </w:p>
    <w:p>
      <w:r>
        <w:rPr>
          <w:b/>
          <w:bCs/>
        </w:rPr>
        <w:t xml:space="preserve">The Transfer Map says SI-Pending but I already submitted the SI.</w:t>
      </w:r>
    </w:p>
    <w:p>
      <w:r>
        <w:t xml:space="preserve">Refresh the page. Or check whether you submitted the right SI — the Transfer Map's </w:t>
      </w:r>
      <w:r>
        <w:rPr>
          <w:rFonts w:ascii="Consolas" w:cs="Consolas" w:eastAsia="Consolas" w:hAnsi="Consolas"/>
          <w:sz w:val="20"/>
          <w:szCs w:val="20"/>
        </w:rPr>
        <w:t xml:space="preserve">sales_invoice</w:t>
      </w:r>
      <w:r>
        <w:t xml:space="preserve"> field links to the exact one. If you've submitted the right one and the status hasn't advanced, contact your FDE.</w:t>
      </w:r>
    </w:p>
    <w:p>
      <w:r>
        <w:rPr>
          <w:b/>
          <w:bCs/>
        </w:rPr>
        <w:t xml:space="preserve">Goods arrived but the IPR is in Draft.</w:t>
      </w:r>
    </w:p>
    <w:p>
      <w:r>
        <w:t xml:space="preserve">Check the IPR's ToDo and Comments. The most common cause: the SI hasn't been submitted yet. Submit the SI; the IPR will auto-submit within seconds.</w:t>
      </w:r>
    </w:p>
    <w:p>
      <w:r>
        <w:rPr>
          <w:b/>
          <w:bCs/>
        </w:rPr>
        <w:t xml:space="preserve">The Debit Note draft has the wrong quantity.</w:t>
      </w:r>
    </w:p>
    <w:p>
      <w:r>
        <w:t xml:space="preserve">The DN is sized to the gap (dispatched − received). If you've had multiple GRNs and the cumulative received changed, the draft DN updates automatically. If the qty still looks wrong, check the cumulative receipt summary on the Transfer Map form.</w:t>
      </w:r>
    </w:p>
    <w:p>
      <w:r>
        <w:rPr>
          <w:b/>
          <w:bCs/>
        </w:rPr>
        <w:t xml:space="preserve">The auto-cancelled DN disappeared. Where's the audit trail?</w:t>
      </w:r>
    </w:p>
    <w:p>
      <w:r>
        <w:t xml:space="preserve">Look at the Transfer Map's Comments. The integration writes a Comment on the Transfer Map ("Auto-cancelled draft Debit Note X — cumulative receipt closed the gap on GRN Y") before deleting the DN. The Transfer Map survives; the Comment survives with it.</w:t>
      </w:r>
    </w:p>
    <w:p>
      <w:r>
        <w:rPr>
          <w:b/>
          <w:bCs/>
        </w:rPr>
        <w:t xml:space="preserve">What's the difference between Goods-in-Transit and the destination warehouse?</w:t>
      </w:r>
    </w:p>
    <w:p>
      <w:r>
        <w:t xml:space="preserve">GIT is a buffer warehouse owned by the destination Company. Stock parks there when the DN is submitted (because the DN says "goods are leaving the source"). Stock moves GIT → destination warehouse only when the IPR is submitted (because the IPR says "goods have actually arrived"). The gap between these two events is your real-world transit window.</w:t>
      </w:r>
    </w:p>
    <w:p>
      <w:r>
        <w:rPr>
          <w:b/>
          <w:bCs/>
        </w:rPr>
        <w:t xml:space="preserve">Can I do partial transfers — send 60 units this week, 40 next week — from one DN?</w:t>
      </w:r>
    </w:p>
    <w:p>
      <w:r>
        <w:t xml:space="preserve">No, each DN represents one dispatch event. If you need to dispatch in batches, create separate DNs. Multi-GRN handling is about EE recording receipt in batches, not about ERPNext-side dispatch batching.</w:t>
      </w:r>
    </w:p>
    <w:p>
      <w:r>
        <w:t xml:space="preserve"> </w:t>
      </w:r>
    </w:p>
    <w:p>
      <w:pPr>
        <w:jc w:val="center"/>
      </w:pPr>
      <w:r>
        <w:rPr>
          <w:i/>
          <w:iCs/>
          <w:sz w:val="18"/>
          <w:szCs w:val="18"/>
        </w:rPr>
        <w:t xml:space="preserve">— For technical detail, see FDE_PRIMER_section_10_stock_transfer.md. For step-by-step verification testing, see process/test_scripts/section_10_stock_transfer.md.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57575"/>
        <w:sz w:val="18"/>
        <w:szCs w:val="18"/>
      </w:rPr>
      <w:t xml:space="preserve">Page </w:t>
    </w:r>
    <w:r>
      <w:rPr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57575"/>
        <w:sz w:val="18"/>
        <w:szCs w:val="18"/>
      </w:rPr>
      <w:t xml:space="preserve">Stock Transfers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359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3949A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2026-06-01T08:01:29.197Z</dcterms:created>
  <dcterms:modified xsi:type="dcterms:W3CDTF">2026-06-01T08:01:29.210Z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