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presence is governed by the location’s workflow state (§8.4.1): it must be set in the mapped states (Mapped but not Live, Live) and empty in the unmapped states (To Map, Skipped). Because </w:t>
      </w:r>
      <w:r>
        <w:rPr>
          <w:rStyle w:val="VerbatimChar"/>
        </w:rPr>
        <w:t xml:space="preserve">is_operational</w:t>
      </w:r>
      <w:r>
        <w:t xml:space="preserve"> is itself workflow-derived (true only in Live), this subsumes the older “mandatory iff is_operational” phrasing.</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w:t>
      </w:r>
      <w:r>
        <w:rPr>
          <w:rStyle w:val="VerbatimChar"/>
        </w:rPr>
        <w:t xml:space="preserve">/getAllLocation</w:t>
      </w:r>
      <w:r>
        <w:t xml:space="preserve">) creates EasyEcom Location records in workflow state To Map. Exactly one can be flagged is_primary (FDE-set); is_operational is workflow-derived (true only in Live); frappe_company is set in the mapped states and empty in the unmapped states (§8.4.1). A location left in To Map / Skipped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Rule Map</w:t>
            </w:r>
          </w:p>
        </w:tc>
        <w:tc>
          <w:tcPr/>
          <w:p>
            <w:pPr>
              <w:pStyle w:val="Compact"/>
              <w:jc w:val="left"/>
            </w:pPr>
            <w:r>
              <w:t xml:space="preserve">Standard, per (tax_rule_name, Company)</w:t>
            </w:r>
          </w:p>
        </w:tc>
        <w:tc>
          <w:tcPr/>
          <w:p>
            <w:pPr>
              <w:pStyle w:val="Compact"/>
              <w:jc w:val="left"/>
            </w:pPr>
            <w:r>
              <w:t xml:space="preserve">Maps an EasyEcom tax rule name → that company’s Item Tax Template rows (with native Min/Max Net Rate slab bands); FDE-configured; resolver stamps onto items at sync (Section 8.5)</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 xml:space="preserve">Index access: items[0].item_code (specific element)</w:t>
      </w:r>
    </w:p>
    <w:p>
      <w:pPr>
        <w:pStyle w:val="Compact"/>
        <w:numPr>
          <w:ilvl w:val="0"/>
          <w:numId w:val="1044"/>
        </w:numPr>
      </w:pPr>
      <w:r>
        <w:t xml:space="preserve">Keys with internal spaces are tolerated on the EasyEcom side (e.g. </w:t>
      </w:r>
      <w:r>
        <w:rPr>
          <w:rStyle w:val="VerbatimChar"/>
        </w:rPr>
        <w:t xml:space="preserve">address type.billing_address.street</w:t>
      </w:r>
      <w:r>
        <w:t xml:space="preserve">, </w:t>
      </w:r>
      <w:r>
        <w:rPr>
          <w:rStyle w:val="VerbatimChar"/>
        </w:rPr>
        <w:t xml:space="preserve">phone number</w:t>
      </w:r>
      <w:r>
        <w:t>) — EasyEcom payloads sometimes use space-bearing keys; both the runtime parser and the compile-time validator accept them.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EasyEcom-Location-Pull (pull) — maps the </w:t>
      </w:r>
      <w:r>
        <w:rPr>
          <w:rStyle w:val="VerbatimChar"/>
        </w:rPr>
        <w:t xml:space="preserve">/getAllLocation</w:t>
      </w:r>
      <w:r>
        <w:t xml:space="preserve"> payload to EasyEcom Location; used by the §8a discovery flow (renamed from the earlier “Warehouse-Pull”; reconciled to the real payload)</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p>
      <w:pPr>
        <w:pStyle w:val="BodyText"/>
      </w:pPr>
      <w:r>
        <w:t xml:space="preserve">These formulae are the </w:t>
      </w:r>
      <w:r>
        <w:rPr>
          <w:bCs/>
          <w:b/>
        </w:rPr>
        <w:t xml:space="preserve">contract</w:t>
      </w:r>
      <w:r>
        <w:t xml:space="preserve">: each operation type has a named key builder (item / customer / supplier / po / so / b2b_invoice). Callers (the flows) must use the builder for their operation; the enqueue facade must not silently substitute a generic key when a per-operation key is expected. The builders live in a small dedicated module (e.g. </w:t>
      </w:r>
      <w:r>
        <w:rPr>
          <w:rStyle w:val="VerbatimChar"/>
        </w:rPr>
        <w:t xml:space="preserve">easyecom/utils/idempotency.py</w:t>
      </w:r>
      <w:r>
        <w:t xml:space="preserve">) so every flow computes its key the same way.</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  # EasyEcomRateLimitError.retry_after</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p>
      <w:pPr>
        <w:pStyle w:val="BodyText"/>
      </w:pPr>
      <w:r>
        <w:rPr>
          <w:bCs/>
          <w:b/>
        </w:rPr>
        <w:t xml:space="preserve">Crash-drift caveat.</w:t>
      </w:r>
      <w:r>
        <w:t xml:space="preserve"> The semaphore decrement runs in a </w:t>
      </w:r>
      <w:r>
        <w:rPr>
          <w:rStyle w:val="VerbatimChar"/>
        </w:rPr>
        <w:t xml:space="preserve">finally</w:t>
      </w:r>
      <w:r>
        <w:t xml:space="preserve"> block, so a </w:t>
      </w:r>
      <w:r>
        <w:rPr>
          <w:iCs/>
          <w:i/>
        </w:rPr>
        <w:t xml:space="preserve">clean</w:t>
      </w:r>
      <w:r>
        <w:t xml:space="preserve"> exit (success or handled error) always releases the slot. But a worker that is </w:t>
      </w:r>
      <w:r>
        <w:rPr>
          <w:iCs/>
          <w:i/>
        </w:rPr>
        <w:t xml:space="preserve">killed</w:t>
      </w:r>
      <w:r>
        <w:t xml:space="preserve"> mid-execution (OOM, SIGKILL, container eviction) never runs </w:t>
      </w:r>
      <w:r>
        <w:rPr>
          <w:rStyle w:val="VerbatimChar"/>
        </w:rPr>
        <w:t xml:space="preserve">finally</w:t>
      </w:r>
      <w:r>
        <w:t xml:space="preserve">, leaving the Company’s counter one slot too high permanently. The crash-recovery path (§6.3.9) must therefore call </w:t>
      </w:r>
      <w:r>
        <w:rPr>
          <w:rStyle w:val="VerbatimChar"/>
        </w:rPr>
        <w:t xml:space="preserve">concurrency.reset(company)</w:t>
      </w:r>
      <w:r>
        <w:t xml:space="preserve"> — or decrement for the reclaimed job — when it reclaims an orphaned Running job, otherwise repeated crashes silently erode a Company’s effective concurrency cap. The </w:t>
      </w:r>
      <w:r>
        <w:rPr>
          <w:rStyle w:val="VerbatimChar"/>
        </w:rPr>
        <w:t xml:space="preserve">reset()</w:t>
      </w:r>
      <w:r>
        <w:t xml:space="preserve"> method exists for this purpose; the reclaim hook must invoke it.</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5"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8"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Start w:id="127" w:name="X2a6b4d63a96fbf51283ea6eeeeccbef82289adb"/>
    <w:p>
      <w:pPr>
        <w:pStyle w:val="Heading3"/>
      </w:pPr>
      <w:r>
        <w:t>7.1.1 What “one record” means — the atomic document, and per-line detail for nested documents</w:t>
      </w:r>
    </w:p>
    <w:p>
      <w:pPr>
        <w:pStyle w:val="FirstParagraph"/>
      </w:pPr>
      <w:r>
        <w:t xml:space="preserve">“The record” is </w:t>
      </w:r>
      <w:r>
        <w:rPr>
          <w:bCs/>
          <w:b/>
        </w:rPr>
        <w:t xml:space="preserve">one atomic ERPNext document</w:t>
      </w:r>
      <w:r>
        <w:t xml:space="preserve"> — the thing that succeeds or fails as a unit in ERPNext. This is </w:t>
      </w:r>
      <w:r>
        <w:rPr>
          <w:iCs/>
          <w:i/>
        </w:rPr>
        <w:t xml:space="preserve">declared per flow</w:t>
      </w:r>
      <w:r>
        <w:t xml:space="preserve"> in its Section 7.6 declaration; it is never inferred at runtime. The granularity differs by flow because the target documents differ:</w:t>
      </w:r>
    </w:p>
    <w:p>
      <w:pPr>
        <w:pStyle w:val="Compact"/>
        <w:numPr>
          <w:ilvl w:val="0"/>
          <w:numId w:val="1065"/>
        </w:numPr>
      </w:pPr>
      <w:r>
        <w:rPr>
          <w:bCs/>
          <w:b/>
        </w:rPr>
        <w:t xml:space="preserve">Independent-entity pulls</w:t>
      </w:r>
      <w:r>
        <w:t xml:space="preserve"> (Item, Customer, Supplier — Section 8): each source entity becomes its own ERPNext document, so each is its own unit of work. Pulling 100 products → 100 Items → </w:t>
      </w:r>
      <w:r>
        <w:rPr>
          <w:bCs/>
          <w:b/>
        </w:rPr>
        <w:t xml:space="preserve">100 Sync Records</w:t>
      </w:r>
      <w:r>
        <w:t xml:space="preserve">; per-record isolation means 2 can fail while 98 succeed (the worked example above).</w:t>
      </w:r>
    </w:p>
    <w:p>
      <w:pPr>
        <w:pStyle w:val="Compact"/>
        <w:numPr>
          <w:ilvl w:val="0"/>
          <w:numId w:val="1065"/>
        </w:numPr>
      </w:pPr>
      <w:r>
        <w:rPr>
          <w:bCs/>
          <w:b/>
        </w:rPr>
        <w:t xml:space="preserve">Composite documents with nested lines</w:t>
      </w:r>
      <w:r>
        <w:t xml:space="preserve"> (GRN→Purchase Receipt in Section 9, Order→Sales Invoice in Section 12, Return→Credit Note/Return in Section 13): the </w:t>
      </w:r>
      <w:r>
        <w:rPr>
          <w:iCs/>
          <w:i/>
        </w:rPr>
        <w:t xml:space="preserve">document</w:t>
      </w:r>
      <w:r>
        <w:t xml:space="preserve"> is the atomic unit, because ERPNext cannot half-create it — a Purchase Receipt with one bad line creates zero lines, not nine. So one GRN with 10 SKUs → one Purchase Receipt → </w:t>
      </w:r>
      <w:r>
        <w:rPr>
          <w:bCs/>
          <w:b/>
        </w:rPr>
        <w:t xml:space="preserve">one Sync Record</w:t>
      </w:r>
      <w:r>
        <w:t xml:space="preserve">, not ten. The 10 SKUs are lines of one unit, not ten units.</w:t>
      </w:r>
    </w:p>
    <w:p>
      <w:pPr>
        <w:pStyle w:val="FirstParagraph"/>
      </w:pPr>
      <w:r>
        <w:rPr>
          <w:bCs/>
          <w:b/>
        </w:rPr>
        <w:t xml:space="preserve">But a document-grained Sync Record for a nested document must still carry per-line detail.</w:t>
      </w:r>
      <w:r>
        <w:t xml:space="preserve"> “One Sync Record” must not mean “no line-level visibility.” For any flow whose source payload has nested lines (GRN, Order, Return — anything with a child array), the Sync Record carries a </w:t>
      </w:r>
      <w:r>
        <w:rPr>
          <w:bCs/>
          <w:b/>
        </w:rPr>
        <w:t xml:space="preserve">child table of line outcomes</w:t>
      </w:r>
      <w:r>
        <w:t xml:space="preserve"> (</w:t>
      </w:r>
      <w:r>
        <w:rPr>
          <w:rStyle w:val="VerbatimChar"/>
        </w:rPr>
        <w:t xml:space="preserve">EasyEcom Sync Record Line</w:t>
      </w:r>
      <w:r>
        <w:t xml:space="preserve">), one row per source line, each recording: the source line identifier (EE SKU / line ref), the mapped ERPNext target (e.g. item_code), the line </w:t>
      </w:r>
      <w:r>
        <w:rPr>
          <w:bCs/>
          <w:b/>
        </w:rPr>
        <w:t xml:space="preserve">status</w:t>
      </w:r>
      <w:r>
        <w:t xml:space="preserve"> (OK / Failed / Discrepancy), and a reason when not OK. The two failure kinds resolve as follows:</w:t>
      </w:r>
    </w:p>
    <w:p>
      <w:pPr>
        <w:pStyle w:val="Compact"/>
        <w:numPr>
          <w:ilvl w:val="0"/>
          <w:numId w:val="1066"/>
        </w:numPr>
      </w:pPr>
      <w:r>
        <w:rPr>
          <w:bCs/>
          <w:b/>
        </w:rPr>
        <w:t xml:space="preserve">A line problem that blocks document creation</w:t>
      </w:r>
      <w:r>
        <w:t xml:space="preserve"> (e.g. an unmapped SKU — ERPNext cannot create the Purchase Receipt at all): the whole Sync Record is </w:t>
      </w:r>
      <w:r>
        <w:rPr>
          <w:bCs/>
          <w:b/>
        </w:rPr>
        <w:t xml:space="preserve">Failed</w:t>
      </w:r>
      <w:r>
        <w:t xml:space="preserve">, no document is created, and the child table (or, where it cannot be persisted because the parent failed pre-insert, the </w:t>
      </w:r>
      <w:r>
        <w:rPr>
          <w:rStyle w:val="VerbatimChar"/>
        </w:rPr>
        <w:t xml:space="preserve">last_error</w:t>
      </w:r>
      <w:r>
        <w:t>) names the offending line(s) — so the FDE sees it was line 7 of 10, not just “GRN failed.”</w:t>
      </w:r>
    </w:p>
    <w:p>
      <w:pPr>
        <w:pStyle w:val="Compact"/>
        <w:numPr>
          <w:ilvl w:val="0"/>
          <w:numId w:val="1066"/>
        </w:numPr>
      </w:pPr>
      <w:r>
        <w:rPr>
          <w:bCs/>
          <w:b/>
        </w:rPr>
        <w:t xml:space="preserve">A line reconciliation variance</w:t>
      </w:r>
      <w:r>
        <w:t xml:space="preserve"> (e.g. the Purchase Receipt’s line 7 received quantity or tax doesn’t match what was expected, beyond tolerance): this is still a </w:t>
      </w:r>
      <w:r>
        <w:rPr>
          <w:bCs/>
          <w:b/>
        </w:rPr>
        <w:t xml:space="preserve">Failed</w:t>
      </w:r>
      <w:r>
        <w:t xml:space="preserve"> Sync Record, not a partial success. The document creation is rolled back — a Failed unit of work must not leave a posted document in the books — the line-7 child row is marked </w:t>
      </w:r>
      <w:r>
        <w:rPr>
          <w:bCs/>
          <w:b/>
        </w:rPr>
        <w:t xml:space="preserve">Discrepancy</w:t>
      </w:r>
      <w:r>
        <w:t>, the offending line is named, and an Integration Discrepancy (Section 23) is raised for tracking to closure. The FDE investigates the variance, fixes the cause, and retries. The per-record outcome is binary (Section 7.3): a discrepancy on any line is a failure of the whole unit of work, never a “completed-but-flagged” state — this keeps the failure on the FDE’s worklist rather than hiding behind a Success.</w:t>
      </w:r>
    </w:p>
    <w:p>
      <w:pPr>
        <w:pStyle w:val="FirstParagraph"/>
      </w:pPr>
      <w:r>
        <w:t xml:space="preserve">This makes line-level outcomes </w:t>
      </w:r>
      <w:r>
        <w:rPr>
          <w:bCs/>
          <w:b/>
        </w:rPr>
        <w:t xml:space="preserve">queryable and structural</w:t>
      </w:r>
      <w:r>
        <w:t xml:space="preserve"> (“show all GRN lines that failed / are in discrepancy across all GRNs”), not buried in error text. Single-entity flows (Item/Customer/Supplier) have no nested lines and therefore no line child table — their Sync Record is the whole story.</w:t>
      </w:r>
    </w:p>
    <w:p>
      <w:pPr>
        <w:pStyle w:val="BodyText"/>
      </w:pPr>
      <w:r>
        <w:t xml:space="preserve">Implementation note: the </w:t>
      </w:r>
      <w:r>
        <w:rPr>
          <w:rStyle w:val="VerbatimChar"/>
        </w:rPr>
        <w:t xml:space="preserve">EasyEcom Sync Record Line</w:t>
      </w:r>
      <w:r>
        <w:t xml:space="preserve"> child table is a schema addition to the existing EasyEcom Sync Record DocType (Section 31.2.3). It is built when the first line-heavy flow is built (Section 9, GRN — Master Sync in Section 8 is single-entity and does not need it), and populated only by flows whose Section 7.6 declaration specifies nested lines.</w:t>
      </w:r>
    </w:p>
    <w:bookmarkEnd w:id="127"/>
    <w:bookmarkEnd w:id="128"/>
    <w:bookmarkStart w:id="129"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7"/>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7"/>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7"/>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7"/>
        </w:numPr>
      </w:pPr>
      <w:r>
        <w:rPr>
          <w:bCs/>
          <w:b/>
        </w:rPr>
        <w:t xml:space="preserve">Every async unit of work</w:t>
      </w:r>
      <w:r>
        <w:t xml:space="preserve"> is an EasyEcom Queue Job, which may spawn multiple API Call rows across its retries.</w:t>
      </w:r>
    </w:p>
    <w:p>
      <w:pPr>
        <w:pStyle w:val="Compact"/>
        <w:numPr>
          <w:ilvl w:val="0"/>
          <w:numId w:val="1067"/>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9"/>
    <w:bookmarkStart w:id="130"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The per-record outcome is binary: either the unit of work completed and reconciled cleanly (Success), or it did not (Failed). A Failed record is terminal until an explicit Retry (manual or scheduled), which returns it to Pending with the attempts counter preserved. A line-level problem of any kind — one that blocks document creation, OR a reconciliation variance on a line (e.g. a quantity or tax mismatch beyond tolerance) — makes the whole Sync Record </w:t>
      </w:r>
      <w:r>
        <w:rPr>
          <w:bCs/>
          <w:b/>
        </w:rPr>
        <w:t xml:space="preserve">Failed</w:t>
      </w:r>
      <w:r>
        <w:t>: the target document is not left standing (creation is rolled back so the books never hold a document the integration considers failed), the offending line is named, and an Integration Discrepancy is raised (Section 23) for tracking. There is no “partially done” per-record state; a discrepancy is a failure of that unit of work, fixed-and-retried like any other failure.</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8"/>
        </w:numPr>
      </w:pPr>
      <w:r>
        <w:t xml:space="preserve">Batch transport fails entirely → Queue Job Failed, no Sync Records advanced, cursor held, transport retried.</w:t>
      </w:r>
    </w:p>
    <w:p>
      <w:pPr>
        <w:pStyle w:val="Compact"/>
        <w:numPr>
          <w:ilvl w:val="0"/>
          <w:numId w:val="1068"/>
        </w:numPr>
      </w:pPr>
      <w:r>
        <w:t xml:space="preserve">All records succeed → Queue Job Success.</w:t>
      </w:r>
    </w:p>
    <w:p>
      <w:pPr>
        <w:pStyle w:val="Compact"/>
        <w:numPr>
          <w:ilvl w:val="0"/>
          <w:numId w:val="1068"/>
        </w:numPr>
      </w:pPr>
      <w:r>
        <w:t xml:space="preserve">Some records fail → Queue Job Partial; each failed record has a Failed Sync Record; cursor advances.</w:t>
      </w:r>
    </w:p>
    <w:p>
      <w:pPr>
        <w:pStyle w:val="Compact"/>
        <w:numPr>
          <w:ilvl w:val="0"/>
          <w:numId w:val="1068"/>
        </w:numPr>
      </w:pPr>
      <w:r>
        <w:t xml:space="preserve">A single-entity job (e.g., one push) whose record fails → Queue Job Failed and Sync Record Failed coincide (batch of one).</w:t>
      </w:r>
    </w:p>
    <w:p>
      <w:pPr>
        <w:pStyle w:val="Compact"/>
        <w:numPr>
          <w:ilvl w:val="0"/>
          <w:numId w:val="1068"/>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30"/>
    <w:bookmarkStart w:id="131"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9"/>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9"/>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9"/>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9"/>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9"/>
        </w:numPr>
      </w:pPr>
      <w:r>
        <w:rPr>
          <w:bCs/>
          <w:b/>
        </w:rPr>
        <w:t xml:space="preserve">The Event Timeline and Inspector</w:t>
      </w:r>
      <w:r>
        <w:t xml:space="preserve"> (Sections 17.8-18.9) let the FDE see the full history of any single failed entity end to end.</w:t>
      </w:r>
    </w:p>
    <w:p>
      <w:pPr>
        <w:pStyle w:val="Compact"/>
        <w:numPr>
          <w:ilvl w:val="0"/>
          <w:numId w:val="1069"/>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1"/>
    <w:bookmarkStart w:id="132"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70"/>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70"/>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70"/>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70"/>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70"/>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2"/>
    <w:bookmarkStart w:id="133"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71"/>
        </w:numPr>
      </w:pPr>
      <w:r>
        <w:t xml:space="preserve">Endpoint(s), HTTP verb, and direction (pull / push / webhook)</w:t>
      </w:r>
    </w:p>
    <w:p>
      <w:pPr>
        <w:pStyle w:val="Compact"/>
        <w:numPr>
          <w:ilvl w:val="0"/>
          <w:numId w:val="1071"/>
        </w:numPr>
      </w:pPr>
      <w:r>
        <w:t xml:space="preserve">Trigger (cron cadence, document event, or webhook type) and whether it is WMS-gated (is_wms_location) or otherwise conditional</w:t>
      </w:r>
    </w:p>
    <w:p>
      <w:pPr>
        <w:pStyle w:val="Compact"/>
        <w:numPr>
          <w:ilvl w:val="0"/>
          <w:numId w:val="1071"/>
        </w:numPr>
      </w:pPr>
      <w:r>
        <w:t xml:space="preserve">Auth scope: which location_key’s JWT the call uses, and the resolved Company</w:t>
      </w:r>
    </w:p>
    <w:p>
      <w:pPr>
        <w:pStyle w:val="Compact"/>
        <w:numPr>
          <w:ilvl w:val="0"/>
          <w:numId w:val="1071"/>
        </w:numPr>
      </w:pPr>
      <w:r>
        <w:t xml:space="preserve">Pagination style (next-page-URL cursor for bulk reads) and the cursor field advanced</w:t>
      </w:r>
    </w:p>
    <w:p>
      <w:pPr>
        <w:pStyle w:val="Compact"/>
        <w:numPr>
          <w:ilvl w:val="0"/>
          <w:numId w:val="1071"/>
        </w:numPr>
      </w:pPr>
      <w:r>
        <w:t xml:space="preserve">The Field Mapping ruleset (Section 5) that translates the payload</w:t>
      </w:r>
    </w:p>
    <w:p>
      <w:pPr>
        <w:pStyle w:val="Compact"/>
        <w:numPr>
          <w:ilvl w:val="0"/>
          <w:numId w:val="1071"/>
        </w:numPr>
      </w:pPr>
      <w:r>
        <w:t xml:space="preserve">The unit of work (what one record is) and the idempotency key for it (Section 6.1). Per Section 7.1.1, state whether the unit is a single entity or a </w:t>
      </w:r>
      <w:r>
        <w:rPr>
          <w:bCs/>
          <w:b/>
        </w:rPr>
        <w:t xml:space="preserve">composite document with nested lines</w:t>
      </w:r>
      <w:r>
        <w:t xml:space="preserve"> (GRN, Order, Return); if nested, the flow populates the EasyEcom Sync Record Line child table with per-line outcomes</w:t>
      </w:r>
    </w:p>
    <w:p>
      <w:pPr>
        <w:pStyle w:val="Compact"/>
        <w:numPr>
          <w:ilvl w:val="0"/>
          <w:numId w:val="1071"/>
        </w:numPr>
      </w:pPr>
      <w:r>
        <w:t xml:space="preserve">The target ERPNext DocType and the create/update semantics</w:t>
      </w:r>
    </w:p>
    <w:p>
      <w:pPr>
        <w:pStyle w:val="Compact"/>
        <w:numPr>
          <w:ilvl w:val="0"/>
          <w:numId w:val="1071"/>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3"/>
    <w:bookmarkStart w:id="134"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w:t>
      </w:r>
      <w:r>
        <w:rPr>
          <w:rStyle w:val="VerbatimChar"/>
        </w:rPr>
        <w:t xml:space="preserve">/getAllLocation</w:t>
      </w:r>
      <w:r>
        <w:t xml:space="preserve">),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2"/>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2"/>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3"/>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3"/>
        </w:numPr>
      </w:pPr>
      <w:r>
        <w:rPr>
          <w:bCs/>
          <w:b/>
        </w:rPr>
        <w:t xml:space="preserve">Location discovery is what creates the company-resolution data</w:t>
      </w:r>
      <w:r>
        <w:t xml:space="preserve">, so it cannot resolve company the normal way. The </w:t>
      </w:r>
      <w:r>
        <w:rPr>
          <w:rStyle w:val="VerbatimChar"/>
        </w:rPr>
        <w:t xml:space="preserve">/getAllLocation</w:t>
      </w:r>
      <w:r>
        <w:t xml:space="preserve">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w:t>
      </w:r>
      <w:r>
        <w:rPr>
          <w:rStyle w:val="VerbatimChar"/>
        </w:rPr>
        <w:t xml:space="preserve">/getAllLocation</w:t>
      </w:r>
      <w:r>
        <w:t xml:space="preserve">) → FDE flags each location primary/operational and maps frappe_company and warehouse → from this point every subsequent call has both a JWT to present and a location→company map to resolve against, and the entity-sync portion of the contract applies in full.</w:t>
      </w:r>
    </w:p>
    <w:bookmarkEnd w:id="134"/>
    <w:bookmarkEnd w:id="135"/>
    <w:bookmarkStart w:id="136"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6"/>
    <w:bookmarkStart w:id="179"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lockText"/>
      </w:pPr>
      <w:r>
        <w:rPr>
          <w:bCs/>
          <w:b/>
        </w:rPr>
        <w:t xml:space="preserve">Build order (read before building).</w:t>
      </w:r>
      <w:r>
        <w:t xml:space="preserve"> Section 8 is built as a sequence of small, independently-deliverable packets — one master at a time — ordered by </w:t>
      </w:r>
      <w:r>
        <w:rPr>
          <w:iCs/>
          <w:i/>
        </w:rPr>
        <w:t xml:space="preserve">dependency</w:t>
      </w:r>
      <w:r>
        <w:t xml:space="preserve">, not by the subsection numbering below. The subsection numbers (8.1 Item, 8.2 Customer, …) are kept stable because the rest of the spec cross-references them; they are NOT the build order. The build order is:</w:t>
      </w:r>
    </w:p>
    <w:p>
      <w:pPr>
        <w:pStyle w:val="Compact"/>
        <w:numPr>
          <w:ilvl w:val="0"/>
          <w:numId w:val="1074"/>
        </w:numPr>
      </w:pPr>
      <w:r>
        <w:rPr>
          <w:bCs/>
          <w:b/>
        </w:rPr>
        <w:t xml:space="preserve">Location</w:t>
      </w:r>
      <w:r>
        <w:t xml:space="preserve"> (§8.4’s location-discovery half) — the resolution substrate: nothing resolves to a Company until locations are discovered and mapped. Pull + FDE map, never pushed.</w:t>
      </w:r>
    </w:p>
    <w:p>
      <w:pPr>
        <w:pStyle w:val="Compact"/>
        <w:numPr>
          <w:ilvl w:val="0"/>
          <w:numId w:val="1074"/>
        </w:numPr>
      </w:pPr>
      <w:r>
        <w:rPr>
          <w:bCs/>
          <w:b/>
        </w:rPr>
        <w:t xml:space="preserve">Channel</w:t>
      </w:r>
      <w:r>
        <w:t xml:space="preserve"> (§8.6) — the flat Marketplace list pull.</w:t>
      </w:r>
    </w:p>
    <w:p>
      <w:pPr>
        <w:pStyle w:val="Compact"/>
        <w:numPr>
          <w:ilvl w:val="0"/>
          <w:numId w:val="1074"/>
        </w:numPr>
      </w:pPr>
      <w:r>
        <w:rPr>
          <w:bCs/>
          <w:b/>
        </w:rPr>
        <w:t xml:space="preserve">Tax Category</w:t>
      </w:r>
      <w:r>
        <w:t xml:space="preserve"> (§8.5) — precondition for Item (HSN → Item Tax Template must exist before an Item can sync with correct tax).</w:t>
      </w:r>
    </w:p>
    <w:p>
      <w:pPr>
        <w:pStyle w:val="Compact"/>
        <w:numPr>
          <w:ilvl w:val="0"/>
          <w:numId w:val="1074"/>
        </w:numPr>
      </w:pPr>
      <w:r>
        <w:rPr>
          <w:bCs/>
          <w:b/>
        </w:rPr>
        <w:t xml:space="preserve">Item / Product master</w:t>
      </w:r>
      <w:r>
        <w:t xml:space="preserve"> (§8.1) — the first hard, bidirectional master; builds the reusable per-record savepoint helper (the Section 7.1 isolation obligation) — though that helper is in fact built earlier, with Location, so every packet from Location onward uses it.</w:t>
      </w:r>
    </w:p>
    <w:p>
      <w:pPr>
        <w:pStyle w:val="Compact"/>
        <w:numPr>
          <w:ilvl w:val="0"/>
          <w:numId w:val="1074"/>
        </w:numPr>
      </w:pPr>
      <w:r>
        <w:rPr>
          <w:bCs/>
          <w:b/>
        </w:rPr>
        <w:t xml:space="preserve">Customer master</w:t>
      </w:r>
      <w:r>
        <w:t xml:space="preserve"> (§8.2).</w:t>
      </w:r>
    </w:p>
    <w:p>
      <w:pPr>
        <w:pStyle w:val="Compact"/>
        <w:numPr>
          <w:ilvl w:val="0"/>
          <w:numId w:val="1074"/>
        </w:numPr>
      </w:pPr>
      <w:r>
        <w:rPr>
          <w:bCs/>
          <w:b/>
        </w:rPr>
        <w:t xml:space="preserve">Supplier / Vendor master</w:t>
      </w:r>
      <w:r>
        <w:t xml:space="preserve"> (§8.3).</w:t>
      </w:r>
    </w:p>
    <w:p>
      <w:pPr>
        <w:pStyle w:val="BlockText"/>
      </w:pPr>
      <w:r>
        <w:t xml:space="preserve">Lookup tables (§8.7) are folded into whichever master first needs them, not built as a standalone packet. The Warehouse </w:t>
      </w:r>
      <w:r>
        <w:rPr>
          <w:bCs/>
          <w:b/>
        </w:rPr>
        <w:t xml:space="preserve">Source-of-Truth Map</w:t>
      </w:r>
      <w:r>
        <w:t xml:space="preserve"> (§8.4.1) is </w:t>
      </w:r>
      <w:r>
        <w:rPr>
          <w:iCs/>
          <w:i/>
        </w:rPr>
        <w:t xml:space="preserve">not</w:t>
      </w:r>
      <w:r>
        <w:t xml:space="preserve"> part of the Location packet — it concerns inventory authority and is deferred to the buying/stock flows (Sections 9-10) where stock actually moves. Each packet is built, tested, and signed off on its own; later packets reuse the patterns (savepoint isolation, discovery-pull, the FDE workflow) the earlier ones establish.</w:t>
      </w:r>
    </w:p>
    <w:p>
      <w:pPr>
        <w:pStyle w:val="FirstParagraph"/>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5"/>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5"/>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5"/>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6"/>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7"/>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7"/>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7"/>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1"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p>
      <w:pPr>
        <w:pStyle w:val="BlockText"/>
      </w:pPr>
      <w:r>
        <w:rPr>
          <w:bCs/>
          <w:b/>
        </w:rPr>
        <w:t>Policy — every EasyEcom-payload mapping goes through the Field Mapping engine (no exceptions for “simple” flows).</w:t>
      </w:r>
      <w:r>
        <w:t xml:space="preserve"> The engine is not only for mappings that vary per client; it is the </w:t>
      </w:r>
      <w:r>
        <w:rPr>
          <w:bCs/>
          <w:b/>
        </w:rPr>
        <w:t xml:space="preserve">insurance layer against EasyEcom changing their API</w:t>
      </w:r>
      <w:r>
        <w:t xml:space="preserve">. EasyEcom is a third party and can rename or restructure a payload field on their own schedule. If that mapping lives in the engine, an FDE fixes the renamed path in the desk (Test Mapping → version → done) in minutes; if it lives in hardcoded Python, the same change is a developer code change + deploy + release cycle, with a flow broken in the meantime. Therefore </w:t>
      </w:r>
      <w:r>
        <w:rPr>
          <w:bCs/>
          <w:b/>
        </w:rPr>
        <w:t xml:space="preserve">even flat, invariant, one-to-one pulls (Location, Channel, Tax Category) map through a ruleset</w:t>
      </w:r>
      <w:r>
        <w:t xml:space="preserve">, not a hardcoded mapper — the flatness of today’s payload is no guarantee of tomorrow’s. The boundary is: </w:t>
      </w:r>
      <w:r>
        <w:rPr>
          <w:bCs/>
          <w:b/>
        </w:rPr>
        <w:t xml:space="preserve">the engine owns the payload→field </w:t>
      </w:r>
      <w:r>
        <w:rPr>
          <w:iCs/>
          <w:i/>
          <w:bCs/>
          <w:b/>
        </w:rPr>
        <w:t xml:space="preserve">translation</w:t>
      </w:r>
      <w:r>
        <w:rPr>
          <w:bCs/>
          <w:b/>
        </w:rPr>
        <w:t xml:space="preserve"> (including small derivations, expressed as ruleset transforms); the flow code owns </w:t>
      </w:r>
      <w:r>
        <w:rPr>
          <w:iCs/>
          <w:i/>
          <w:bCs/>
          <w:b/>
        </w:rPr>
        <w:t xml:space="preserve">orchestration</w:t>
      </w:r>
      <w:r>
        <w:t xml:space="preserve"> (the upsert, the workflow state a new row lands in, the Sync Record, foundational-call logging, re-pull behaviour). A flow calls the engine to translate the payload, then orchestrates around the result. Hardcoding a payload mapping in flow code is not permitted; if the engine genuinely cannot express something, flag it rather than working around it.</w:t>
      </w:r>
    </w:p>
    <w:bookmarkStart w:id="137"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8"/>
        </w:numPr>
      </w:pPr>
      <w:r>
        <w:t>orders[].items[].tax_components[].amount where component_type=‘CGST’ on the EasyEcom side maps to items[].cgst_amount on the ERPNext side</w:t>
      </w:r>
    </w:p>
    <w:p>
      <w:pPr>
        <w:pStyle w:val="Compact"/>
        <w:numPr>
          <w:ilvl w:val="0"/>
          <w:numId w:val="1078"/>
        </w:numPr>
      </w:pPr>
      <w:r>
        <w:t>Sum of orders[].items[].tax_components[].amount where component_type IN (‘CGST’,‘SGST’,‘IGST’) equals the ERPNext line tax total</w:t>
      </w:r>
    </w:p>
    <w:p>
      <w:pPr>
        <w:pStyle w:val="Compact"/>
        <w:numPr>
          <w:ilvl w:val="0"/>
          <w:numId w:val="1078"/>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7"/>
    <w:bookmarkStart w:id="138"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9"/>
        </w:numPr>
      </w:pPr>
      <w:r>
        <w:t xml:space="preserve">Strict mode (default for client-facing data): only rules-listed paths are translated; all others are dropped or raise an error per the rule set’s missing_field_policy</w:t>
      </w:r>
    </w:p>
    <w:p>
      <w:pPr>
        <w:pStyle w:val="Compact"/>
        <w:numPr>
          <w:ilvl w:val="0"/>
          <w:numId w:val="1079"/>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8"/>
    <w:bookmarkStart w:id="139"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9"/>
    <w:bookmarkStart w:id="140"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40"/>
    <w:bookmarkEnd w:id="141"/>
    <w:bookmarkStart w:id="150" w:name="item-product-master"/>
    <w:p>
      <w:pPr>
        <w:pStyle w:val="Heading2"/>
      </w:pPr>
      <w:r>
        <w:t xml:space="preserve">8.1 Item / Product master</w:t>
      </w:r>
    </w:p>
    <w:bookmarkStart w:id="142" w:name="direction-of-truth"/>
    <w:p>
      <w:pPr>
        <w:pStyle w:val="Heading3"/>
      </w:pPr>
      <w:r>
        <w:t xml:space="preserve">8.1.1 Direction of truth</w:t>
      </w:r>
    </w:p>
    <w:p>
      <w:pPr>
        <w:pStyle w:val="FirstParagraph"/>
      </w:pPr>
      <w:r>
        <w:t xml:space="preserve">Items are bidirectional. An Item may be born on either side:</w:t>
      </w:r>
    </w:p>
    <w:p>
      <w:pPr>
        <w:pStyle w:val="Compact"/>
        <w:numPr>
          <w:ilvl w:val="0"/>
          <w:numId w:val="1080"/>
        </w:numPr>
      </w:pPr>
      <w:r>
        <w:t xml:space="preserve">Born in ERPNext: a B2B SKU configured by the procurement team, a private-label product that won’t sell on marketplaces, an internal-use Item</w:t>
      </w:r>
    </w:p>
    <w:p>
      <w:pPr>
        <w:pStyle w:val="Compact"/>
        <w:numPr>
          <w:ilvl w:val="0"/>
          <w:numId w:val="1080"/>
        </w:numPr>
      </w:pPr>
      <w:r>
        <w:t>Born in EasyEcom: a marketplace listing created by the catalog team in EasyEcom and now needs a financial counterpart for accounting purposes The integration handles both directions and reconciles continuously.</w:t>
      </w:r>
    </w:p>
    <w:bookmarkEnd w:id="142"/>
    <w:bookmarkStart w:id="143" w:name="field-level-ownership-matrix"/>
    <w:p>
      <w:pPr>
        <w:pStyle w:val="Heading3"/>
      </w:pPr>
      <w:r>
        <w:t xml:space="preserve">8.1.2 Field-level ownership matrix</w:t>
      </w:r>
    </w:p>
    <w:p>
      <w:pPr>
        <w:pStyle w:val="FirstParagraph"/>
      </w:pPr>
      <w:r>
        <w:t xml:space="preserve">Even with bidirectional sync, individual fields are owned by one side. The owning side is authoritative; the non-owning side mirrors. This prevents the classic distributed-systems write-conflict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Rationale</w:t>
            </w:r>
          </w:p>
        </w:tc>
      </w:tr>
      <w:tr>
        <w:tc>
          <w:tcPr/>
          <w:p>
            <w:pPr>
              <w:pStyle w:val="Compact"/>
              <w:jc w:val="left"/>
            </w:pPr>
            <w:r>
              <w:t xml:space="preserve">item_code (SKU)</w:t>
            </w:r>
          </w:p>
        </w:tc>
        <w:tc>
          <w:tcPr/>
          <w:p>
            <w:pPr>
              <w:pStyle w:val="Compact"/>
              <w:jc w:val="left"/>
            </w:pPr>
            <w:r>
              <w:t xml:space="preserve">Either (whichever creates first)</w:t>
            </w:r>
          </w:p>
        </w:tc>
        <w:tc>
          <w:tcPr/>
          <w:p>
            <w:pPr>
              <w:pStyle w:val="Compact"/>
              <w:jc w:val="left"/>
            </w:pPr>
            <w:r>
              <w:t xml:space="preserve">The natural key. Once set on either side, it is stable forever.</w:t>
            </w:r>
          </w:p>
        </w:tc>
      </w:tr>
      <w:tr>
        <w:tc>
          <w:tcPr/>
          <w:p>
            <w:pPr>
              <w:pStyle w:val="Compact"/>
              <w:jc w:val="left"/>
            </w:pPr>
            <w:r>
              <w:t xml:space="preserve">item_name</w:t>
            </w:r>
          </w:p>
        </w:tc>
        <w:tc>
          <w:tcPr/>
          <w:p>
            <w:pPr>
              <w:pStyle w:val="Compact"/>
              <w:jc w:val="left"/>
            </w:pPr>
            <w:r>
              <w:t xml:space="preserve">ERPNext</w:t>
            </w:r>
          </w:p>
        </w:tc>
        <w:tc>
          <w:tcPr/>
          <w:p>
            <w:pPr>
              <w:pStyle w:val="Compact"/>
              <w:jc w:val="left"/>
            </w:pPr>
            <w:r>
              <w:t xml:space="preserve">Books-side description; can be edited freely in ERPNext</w:t>
            </w:r>
          </w:p>
        </w:tc>
      </w:tr>
      <w:tr>
        <w:tc>
          <w:tcPr/>
          <w:p>
            <w:pPr>
              <w:pStyle w:val="Compact"/>
              <w:jc w:val="left"/>
            </w:pPr>
            <w:r>
              <w:t xml:space="preserve">description</w:t>
            </w:r>
          </w:p>
        </w:tc>
        <w:tc>
          <w:tcPr/>
          <w:p>
            <w:pPr>
              <w:pStyle w:val="Compact"/>
              <w:jc w:val="left"/>
            </w:pPr>
            <w:r>
              <w:t xml:space="preserve">ERPNext</w:t>
            </w:r>
          </w:p>
        </w:tc>
        <w:tc>
          <w:tcPr/>
          <w:p>
            <w:pPr>
              <w:pStyle w:val="Compact"/>
              <w:jc w:val="left"/>
            </w:pPr>
            <w:r>
              <w:t xml:space="preserve">Same — descriptive copy</w:t>
            </w:r>
          </w:p>
        </w:tc>
      </w:tr>
      <w:tr>
        <w:tc>
          <w:tcPr/>
          <w:p>
            <w:pPr>
              <w:pStyle w:val="Compact"/>
              <w:jc w:val="left"/>
            </w:pPr>
            <w:r>
              <w:t xml:space="preserve">item_group</w:t>
            </w:r>
          </w:p>
        </w:tc>
        <w:tc>
          <w:tcPr/>
          <w:p>
            <w:pPr>
              <w:pStyle w:val="Compact"/>
              <w:jc w:val="left"/>
            </w:pPr>
            <w:r>
              <w:t xml:space="preserve">ERPNext</w:t>
            </w:r>
          </w:p>
        </w:tc>
        <w:tc>
          <w:tcPr/>
          <w:p>
            <w:pPr>
              <w:pStyle w:val="Compact"/>
              <w:jc w:val="left"/>
            </w:pPr>
            <w:r>
              <w:t xml:space="preserve">Inventory categorisation belongs to the books</w:t>
            </w:r>
          </w:p>
        </w:tc>
      </w:tr>
      <w:tr>
        <w:tc>
          <w:tcPr/>
          <w:p>
            <w:pPr>
              <w:pStyle w:val="Compact"/>
              <w:jc w:val="left"/>
            </w:pPr>
            <w:r>
              <w:t xml:space="preserve">brand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uom (stock_uom)</w:t>
            </w:r>
          </w:p>
        </w:tc>
        <w:tc>
          <w:tcPr/>
          <w:p>
            <w:pPr>
              <w:pStyle w:val="Compact"/>
              <w:jc w:val="left"/>
            </w:pPr>
            <w:r>
              <w:t xml:space="preserve">ERPNext</w:t>
            </w:r>
          </w:p>
        </w:tc>
        <w:tc>
          <w:tcPr/>
          <w:p>
            <w:pPr>
              <w:pStyle w:val="Compact"/>
              <w:jc w:val="left"/>
            </w:pPr>
            <w:r>
              <w:t xml:space="preserve">UoM is a books concept; EE adapts via UoM mapping</w:t>
            </w:r>
          </w:p>
        </w:tc>
      </w:tr>
      <w:tr>
        <w:tc>
          <w:tcPr/>
          <w:p>
            <w:pPr>
              <w:pStyle w:val="Compact"/>
              <w:jc w:val="left"/>
            </w:pPr>
            <w:r>
              <w:t xml:space="preserve">is_stock_item</w:t>
            </w:r>
          </w:p>
        </w:tc>
        <w:tc>
          <w:tcPr/>
          <w:p>
            <w:pPr>
              <w:pStyle w:val="Compact"/>
              <w:jc w:val="left"/>
            </w:pPr>
            <w:r>
              <w:t xml:space="preserve">ERPNext</w:t>
            </w:r>
          </w:p>
        </w:tc>
        <w:tc>
          <w:tcPr/>
          <w:p>
            <w:pPr>
              <w:pStyle w:val="Compact"/>
              <w:jc w:val="left"/>
            </w:pPr>
            <w:r>
              <w:t xml:space="preserve">Books-side classification</w:t>
            </w:r>
          </w:p>
        </w:tc>
      </w:tr>
      <w:tr>
        <w:tc>
          <w:tcPr/>
          <w:p>
            <w:pPr>
              <w:pStyle w:val="Compact"/>
              <w:jc w:val="left"/>
            </w:pPr>
            <w:r>
              <w:t xml:space="preserve">valuation_method (FIFO/Moving Avg)</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hsn_code (gst_hsn_code)</w:t>
            </w:r>
          </w:p>
        </w:tc>
        <w:tc>
          <w:tcPr/>
          <w:p>
            <w:pPr>
              <w:pStyle w:val="Compact"/>
              <w:jc w:val="left"/>
            </w:pPr>
            <w:r>
              <w:t xml:space="preserve">ERPNext</w:t>
            </w:r>
          </w:p>
        </w:tc>
        <w:tc>
          <w:tcPr/>
          <w:p>
            <w:pPr>
              <w:pStyle w:val="Compact"/>
              <w:jc w:val="left"/>
            </w:pPr>
            <w:r>
              <w:t xml:space="preserve">GST classification — owned by books per India Compliance</w:t>
            </w:r>
          </w:p>
        </w:tc>
      </w:tr>
      <w:tr>
        <w:tc>
          <w:tcPr/>
          <w:p>
            <w:pPr>
              <w:pStyle w:val="Compact"/>
              <w:jc w:val="left"/>
            </w:pPr>
            <w:r>
              <w:t xml:space="preserve">gst_rate</w:t>
            </w:r>
          </w:p>
        </w:tc>
        <w:tc>
          <w:tcPr/>
          <w:p>
            <w:pPr>
              <w:pStyle w:val="Compact"/>
              <w:jc w:val="left"/>
            </w:pPr>
            <w:r>
              <w:t xml:space="preserve">ERPNext</w:t>
            </w:r>
          </w:p>
        </w:tc>
        <w:tc>
          <w:tcPr/>
          <w:p>
            <w:pPr>
              <w:pStyle w:val="Compact"/>
              <w:jc w:val="left"/>
            </w:pPr>
            <w:r>
              <w:t xml:space="preserve">Tax treatment — books authority</w:t>
            </w:r>
          </w:p>
        </w:tc>
      </w:tr>
      <w:tr>
        <w:tc>
          <w:tcPr/>
          <w:p>
            <w:pPr>
              <w:pStyle w:val="Compact"/>
              <w:jc w:val="left"/>
            </w:pPr>
            <w:r>
              <w:t xml:space="preserve">item_tax_template</w:t>
            </w:r>
          </w:p>
        </w:tc>
        <w:tc>
          <w:tcPr/>
          <w:p>
            <w:pPr>
              <w:pStyle w:val="Compact"/>
              <w:jc w:val="left"/>
            </w:pPr>
            <w:r>
              <w:t xml:space="preserve">ERPNext</w:t>
            </w:r>
          </w:p>
        </w:tc>
        <w:tc>
          <w:tcPr/>
          <w:p>
            <w:pPr>
              <w:pStyle w:val="Compact"/>
              <w:jc w:val="left"/>
            </w:pPr>
            <w:r>
              <w:t xml:space="preserve">Tax template selection</w:t>
            </w:r>
          </w:p>
        </w:tc>
      </w:tr>
      <w:tr>
        <w:tc>
          <w:tcPr/>
          <w:p>
            <w:pPr>
              <w:pStyle w:val="Compact"/>
              <w:jc w:val="left"/>
            </w:pPr>
            <w:r>
              <w:t xml:space="preserve">weight_per_unit + weight_uom</w:t>
            </w:r>
          </w:p>
        </w:tc>
        <w:tc>
          <w:tcPr/>
          <w:p>
            <w:pPr>
              <w:pStyle w:val="Compact"/>
              <w:jc w:val="left"/>
            </w:pPr>
            <w:r>
              <w:t xml:space="preserve">EasyEcom</w:t>
            </w:r>
          </w:p>
        </w:tc>
        <w:tc>
          <w:tcPr/>
          <w:p>
            <w:pPr>
              <w:pStyle w:val="Compact"/>
              <w:jc w:val="left"/>
            </w:pPr>
            <w:r>
              <w:t xml:space="preserve">Operational dimensions, used for shipping calculations</w:t>
            </w:r>
          </w:p>
        </w:tc>
      </w:tr>
      <w:tr>
        <w:tc>
          <w:tcPr/>
          <w:p>
            <w:pPr>
              <w:pStyle w:val="Compact"/>
              <w:jc w:val="left"/>
            </w:pPr>
            <w:r>
              <w:t xml:space="preserve">dimensions (LxWxH)</w:t>
            </w:r>
          </w:p>
        </w:tc>
        <w:tc>
          <w:tcPr/>
          <w:p>
            <w:pPr>
              <w:pStyle w:val="Compact"/>
              <w:jc w:val="left"/>
            </w:pPr>
            <w:r>
              <w:t xml:space="preserve">EasyEcom</w:t>
            </w:r>
          </w:p>
        </w:tc>
        <w:tc>
          <w:tcPr/>
          <w:p>
            <w:pPr>
              <w:pStyle w:val="Compact"/>
              <w:jc w:val="left"/>
            </w:pPr>
            <w:r>
              <w:t xml:space="preserve">Operational dimensions</w:t>
            </w:r>
          </w:p>
        </w:tc>
      </w:tr>
      <w:tr>
        <w:tc>
          <w:tcPr/>
          <w:p>
            <w:pPr>
              <w:pStyle w:val="Compact"/>
              <w:jc w:val="left"/>
            </w:pPr>
            <w:r>
              <w:t xml:space="preserve">barcode</w:t>
            </w:r>
          </w:p>
        </w:tc>
        <w:tc>
          <w:tcPr/>
          <w:p>
            <w:pPr>
              <w:pStyle w:val="Compact"/>
              <w:jc w:val="left"/>
            </w:pPr>
            <w:r>
              <w:t xml:space="preserve">Either</w:t>
            </w:r>
          </w:p>
        </w:tc>
        <w:tc>
          <w:tcPr/>
          <w:p>
            <w:pPr>
              <w:pStyle w:val="Compact"/>
              <w:jc w:val="left"/>
            </w:pPr>
            <w:r>
              <w:t xml:space="preserve">Set wherever convenient; sync mirrors</w:t>
            </w:r>
          </w:p>
        </w:tc>
      </w:tr>
      <w:tr>
        <w:tc>
          <w:tcPr/>
          <w:p>
            <w:pPr>
              <w:pStyle w:val="Compact"/>
              <w:jc w:val="left"/>
            </w:pPr>
            <w:r>
              <w:t xml:space="preserve">marketplace_skus (table)</w:t>
            </w:r>
          </w:p>
        </w:tc>
        <w:tc>
          <w:tcPr/>
          <w:p>
            <w:pPr>
              <w:pStyle w:val="Compact"/>
              <w:jc w:val="left"/>
            </w:pPr>
            <w:r>
              <w:t xml:space="preserve">EasyEcom</w:t>
            </w:r>
          </w:p>
        </w:tc>
        <w:tc>
          <w:tcPr/>
          <w:p>
            <w:pPr>
              <w:pStyle w:val="Compact"/>
              <w:jc w:val="left"/>
            </w:pPr>
            <w:r>
              <w:t xml:space="preserve">Per-marketplace listing IDs only exist in EE</w:t>
            </w:r>
          </w:p>
        </w:tc>
      </w:tr>
      <w:tr>
        <w:tc>
          <w:tcPr/>
          <w:p>
            <w:pPr>
              <w:pStyle w:val="Compact"/>
              <w:jc w:val="left"/>
            </w:pPr>
            <w:r>
              <w:t xml:space="preserve">company_product_id (EE master ID)</w:t>
            </w:r>
          </w:p>
        </w:tc>
        <w:tc>
          <w:tcPr/>
          <w:p>
            <w:pPr>
              <w:pStyle w:val="Compact"/>
              <w:jc w:val="left"/>
            </w:pPr>
            <w:r>
              <w:t xml:space="preserve">EasyEcom</w:t>
            </w:r>
          </w:p>
        </w:tc>
        <w:tc>
          <w:tcPr/>
          <w:p>
            <w:pPr>
              <w:pStyle w:val="Compact"/>
              <w:jc w:val="left"/>
            </w:pPr>
            <w:r>
              <w:t xml:space="preserve">EE-issued; mirrored to ERPNext custom field ecs_easyecom_company_product_id</w:t>
            </w:r>
          </w:p>
        </w:tc>
      </w:tr>
      <w:tr>
        <w:tc>
          <w:tcPr/>
          <w:p>
            <w:pPr>
              <w:pStyle w:val="Compact"/>
              <w:jc w:val="left"/>
            </w:pPr>
            <w:r>
              <w:t xml:space="preserve">mrp</w:t>
            </w:r>
          </w:p>
        </w:tc>
        <w:tc>
          <w:tcPr/>
          <w:p>
            <w:pPr>
              <w:pStyle w:val="Compact"/>
              <w:jc w:val="left"/>
            </w:pPr>
            <w:r>
              <w:t xml:space="preserve">EasyEcom</w:t>
            </w:r>
          </w:p>
        </w:tc>
        <w:tc>
          <w:tcPr/>
          <w:p>
            <w:pPr>
              <w:pStyle w:val="Compact"/>
              <w:jc w:val="left"/>
            </w:pPr>
            <w:r>
              <w:t xml:space="preserve">Operational pricing for marketplace display</w:t>
            </w:r>
          </w:p>
        </w:tc>
      </w:tr>
      <w:tr>
        <w:tc>
          <w:tcPr/>
          <w:p>
            <w:pPr>
              <w:pStyle w:val="Compact"/>
              <w:jc w:val="left"/>
            </w:pPr>
            <w:r>
              <w:t xml:space="preserve">selling_price (default)</w:t>
            </w:r>
          </w:p>
        </w:tc>
        <w:tc>
          <w:tcPr/>
          <w:p>
            <w:pPr>
              <w:pStyle w:val="Compact"/>
              <w:jc w:val="left"/>
            </w:pPr>
            <w:r>
              <w:t xml:space="preserve">ERPNext</w:t>
            </w:r>
          </w:p>
        </w:tc>
        <w:tc>
          <w:tcPr/>
          <w:p>
            <w:pPr>
              <w:pStyle w:val="Compact"/>
              <w:jc w:val="left"/>
            </w:pPr>
            <w:r>
              <w:t xml:space="preserve">Books-side pricing; pushed to EE as a starting point</w:t>
            </w:r>
          </w:p>
        </w:tc>
      </w:tr>
      <w:tr>
        <w:tc>
          <w:tcPr/>
          <w:p>
            <w:pPr>
              <w:pStyle w:val="Compact"/>
              <w:jc w:val="left"/>
            </w:pPr>
            <w:r>
              <w:t xml:space="preserve">batch_tracking_enabled</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serial_tracking_enabled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expiry_tracking_enabled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item_image</w:t>
            </w:r>
          </w:p>
        </w:tc>
        <w:tc>
          <w:tcPr/>
          <w:p>
            <w:pPr>
              <w:pStyle w:val="Compact"/>
              <w:jc w:val="left"/>
            </w:pPr>
            <w:r>
              <w:t xml:space="preserve">ERPNext</w:t>
            </w:r>
          </w:p>
        </w:tc>
        <w:tc>
          <w:tcPr/>
          <w:p>
            <w:pPr>
              <w:pStyle w:val="Compact"/>
              <w:jc w:val="left"/>
            </w:pPr>
            <w:r>
              <w:t xml:space="preserve">Stored locally; URL pushed to EE</w:t>
            </w:r>
          </w:p>
        </w:tc>
      </w:tr>
      <w:tr>
        <w:tc>
          <w:tcPr/>
          <w:p>
            <w:pPr>
              <w:pStyle w:val="Compact"/>
              <w:jc w:val="left"/>
            </w:pPr>
            <w:r>
              <w:t xml:space="preserve">disabled</w:t>
            </w:r>
          </w:p>
        </w:tc>
        <w:tc>
          <w:tcPr/>
          <w:p>
            <w:pPr>
              <w:pStyle w:val="Compact"/>
              <w:jc w:val="left"/>
            </w:pPr>
            <w:r>
              <w:t xml:space="preserve">ERPNext</w:t>
            </w:r>
          </w:p>
        </w:tc>
        <w:tc>
          <w:tcPr/>
          <w:p>
            <w:pPr>
              <w:pStyle w:val="Compact"/>
              <w:jc w:val="left"/>
            </w:pPr>
            <w:r>
              <w:t xml:space="preserve">Books-side decision; if disabled, EE syncs to inactive but does not delete</w:t>
            </w:r>
          </w:p>
        </w:tc>
      </w:tr>
    </w:tbl>
    <w:bookmarkEnd w:id="143"/>
    <w:bookmarkStart w:id="144" w:name="initial-sync-onboarding"/>
    <w:p>
      <w:pPr>
        <w:pStyle w:val="Heading3"/>
      </w:pPr>
      <w:r>
        <w:t xml:space="preserve">8.1.3 Initial sync (onboarding)</w:t>
      </w:r>
    </w:p>
    <w:p>
      <w:pPr>
        <w:pStyle w:val="FirstParagraph"/>
      </w:pPr>
      <w:r>
        <w:t xml:space="preserve">During FDE-led onboarding, the existing Item populations on both sides are reconciled:</w:t>
      </w:r>
    </w:p>
    <w:p>
      <w:pPr>
        <w:pStyle w:val="Compact"/>
        <w:numPr>
          <w:ilvl w:val="0"/>
          <w:numId w:val="1081"/>
        </w:numPr>
      </w:pPr>
      <w:r>
        <w:t xml:space="preserve">Pull all EasyEcom master products via /Products/GetProductMaster</w:t>
      </w:r>
    </w:p>
    <w:p>
      <w:pPr>
        <w:pStyle w:val="Compact"/>
        <w:numPr>
          <w:ilvl w:val="0"/>
          <w:numId w:val="1081"/>
        </w:numPr>
      </w:pPr>
      <w:r>
        <w:t xml:space="preserve">Pull all ERPNext Items where item_group is in the marketplace-relevant groups (configurable)</w:t>
      </w:r>
    </w:p>
    <w:p>
      <w:pPr>
        <w:pStyle w:val="Compact"/>
        <w:numPr>
          <w:ilvl w:val="0"/>
          <w:numId w:val="1081"/>
        </w:numPr>
      </w:pPr>
      <w:r>
        <w:t xml:space="preserve">Match by item_code (SKU). Matched: link via ecs_easyecom_company_product_id custom field</w:t>
      </w:r>
    </w:p>
    <w:p>
      <w:pPr>
        <w:pStyle w:val="Compact"/>
        <w:numPr>
          <w:ilvl w:val="0"/>
          <w:numId w:val="1081"/>
        </w:numPr>
      </w:pPr>
      <w:r>
        <w:t xml:space="preserve">Items only in EasyEcom: create in ERPNext with EE-owned fields populated, ERPNext-owned fields filled with sensible defaults; flag for FDE review (especially HSN code, GST rate)</w:t>
      </w:r>
    </w:p>
    <w:p>
      <w:pPr>
        <w:pStyle w:val="Compact"/>
        <w:numPr>
          <w:ilvl w:val="0"/>
          <w:numId w:val="1081"/>
        </w:numPr>
      </w:pPr>
      <w:r>
        <w:t xml:space="preserve">Items only in ERPNext: create in EasyEcom via POST /Products/CreateMasterProduct with mapped fields</w:t>
      </w:r>
    </w:p>
    <w:p>
      <w:pPr>
        <w:pStyle w:val="Compact"/>
        <w:numPr>
          <w:ilvl w:val="0"/>
          <w:numId w:val="1081"/>
        </w:numPr>
      </w:pPr>
      <w:r>
        <w:t>Conflicts (same SKU exists on both sides but with mismatched fields): produce an Integration Discrepancy of type Master Mismatch — Item; FDE resolves manually before steady-state sync starts Initial sync is run once during onboarding. After that, steady-state delta sync takes over.</w:t>
      </w:r>
    </w:p>
    <w:bookmarkEnd w:id="144"/>
    <w:bookmarkStart w:id="145" w:name="steady-state-delta-sync"/>
    <w:p>
      <w:pPr>
        <w:pStyle w:val="Heading3"/>
      </w:pPr>
      <w:r>
        <w:t xml:space="preserve">8.1.4 Steady-state delta sync</w:t>
      </w:r>
    </w:p>
    <w:p>
      <w:pPr>
        <w:pStyle w:val="Compact"/>
        <w:numPr>
          <w:ilvl w:val="0"/>
          <w:numId w:val="1082"/>
        </w:numPr>
      </w:pPr>
      <w:r>
        <w:t xml:space="preserve">New Item created in ERPNext → on insert, push to EE via POST /Products/CreateMasterProduct (async, EasyEcom Queue Job)</w:t>
      </w:r>
    </w:p>
    <w:p>
      <w:pPr>
        <w:pStyle w:val="Compact"/>
        <w:numPr>
          <w:ilvl w:val="0"/>
          <w:numId w:val="1082"/>
        </w:numPr>
      </w:pPr>
      <w:r>
        <w:t xml:space="preserve">Item updated in ERPNext (any ERPNext-owned field changed) → push to EE via POST /Products/UpdateMasterProduct</w:t>
      </w:r>
    </w:p>
    <w:p>
      <w:pPr>
        <w:pStyle w:val="Compact"/>
        <w:numPr>
          <w:ilvl w:val="0"/>
          <w:numId w:val="1082"/>
        </w:numPr>
      </w:pPr>
      <w:r>
        <w:t xml:space="preserve">Updates only push the ERPNext-owned fields — never the EE-owned fields, even if the local copy looks stale</w:t>
      </w:r>
    </w:p>
    <w:p>
      <w:pPr>
        <w:pStyle w:val="Compact"/>
        <w:numPr>
          <w:ilvl w:val="0"/>
          <w:numId w:val="1082"/>
        </w:numPr>
      </w:pPr>
      <w:r>
        <w:t xml:space="preserve">New Item created in EasyEcom → detected via daily /Products/GetProductMaster pull (cursor-based, last_pull_master_products); created in ERPNext</w:t>
      </w:r>
    </w:p>
    <w:p>
      <w:pPr>
        <w:pStyle w:val="Compact"/>
        <w:numPr>
          <w:ilvl w:val="0"/>
          <w:numId w:val="1082"/>
        </w:numPr>
      </w:pPr>
      <w:r>
        <w:t xml:space="preserve">Item updated in EasyEcom → same pull mechanism detects the change; only EE-owned fields are updated locally</w:t>
      </w:r>
    </w:p>
    <w:p>
      <w:pPr>
        <w:pStyle w:val="Compact"/>
        <w:numPr>
          <w:ilvl w:val="0"/>
          <w:numId w:val="1082"/>
        </w:numPr>
      </w:pPr>
      <w:r>
        <w:t xml:space="preserve">EE update of an ERPNext-owned field is a conflict — see 4.1.5</w:t>
      </w:r>
    </w:p>
    <w:bookmarkEnd w:id="145"/>
    <w:bookmarkStart w:id="146" w:name="conflict-resolution"/>
    <w:p>
      <w:pPr>
        <w:pStyle w:val="Heading3"/>
      </w:pPr>
      <w:r>
        <w:t xml:space="preserve">8.1.5 Conflict resolution</w:t>
      </w:r>
    </w:p>
    <w:p>
      <w:pPr>
        <w:pStyle w:val="FirstParagraph"/>
      </w:pPr>
      <w:r>
        <w:t xml:space="preserve">Conflicts arise when the same field is changed on both sides between syncs. Resolution rules:</w:t>
      </w:r>
    </w:p>
    <w:p>
      <w:pPr>
        <w:pStyle w:val="Compact"/>
        <w:numPr>
          <w:ilvl w:val="0"/>
          <w:numId w:val="1083"/>
        </w:numPr>
      </w:pPr>
      <w:r>
        <w:t xml:space="preserve">If the field is owned by one side per the matrix: the non-owning side’s change is rejected and an Integration Discrepancy is raised. The owning side wins.</w:t>
      </w:r>
    </w:p>
    <w:p>
      <w:pPr>
        <w:pStyle w:val="Compact"/>
        <w:numPr>
          <w:ilvl w:val="0"/>
          <w:numId w:val="1083"/>
        </w:numPr>
      </w:pPr>
      <w:r>
        <w:t xml:space="preserve">If the field is Either-owned: last-write-wins, with the timestamp comparison from each system’s modified field. The losing change is logged.</w:t>
      </w:r>
    </w:p>
    <w:p>
      <w:pPr>
        <w:pStyle w:val="Compact"/>
        <w:numPr>
          <w:ilvl w:val="0"/>
          <w:numId w:val="1083"/>
        </w:numPr>
      </w:pPr>
      <w:r>
        <w:t xml:space="preserve">If the conflict cannot be auto-resolved: an Integration Discrepancy of severity Warning is raised; the FDE reviews.</w:t>
      </w:r>
    </w:p>
    <w:bookmarkEnd w:id="146"/>
    <w:bookmarkStart w:id="147" w:name="X6e52bca109f3364c0fd984bfe9e5d275b5c204f"/>
    <w:p>
      <w:pPr>
        <w:pStyle w:val="Heading3"/>
      </w:pPr>
      <w:r>
        <w:t xml:space="preserve">8.1.6 Account-global masters (sharing across Companies)</w:t>
      </w:r>
    </w:p>
    <w:p>
      <w:pPr>
        <w:pStyle w:val="Compact"/>
        <w:numPr>
          <w:ilvl w:val="0"/>
          <w:numId w:val="1084"/>
        </w:numPr>
      </w:pPr>
      <w:r>
        <w:t xml:space="preserve">Items are master data and are account-global: they live at the primary location in EasyEcom and are synced once, not per operational Company.</w:t>
      </w:r>
    </w:p>
    <w:p>
      <w:pPr>
        <w:pStyle w:val="Compact"/>
        <w:numPr>
          <w:ilvl w:val="0"/>
          <w:numId w:val="1084"/>
        </w:numPr>
      </w:pPr>
      <w:r>
        <w:t xml:space="preserve">In ERPNext the Item is shared across Companies via the standard Item Defaults table — one Item, multiple Company-specific defaults (income account, expense account, default warehouse). The integration does not duplicate the Item per Company.</w:t>
      </w:r>
    </w:p>
    <w:p>
      <w:pPr>
        <w:pStyle w:val="Compact"/>
        <w:numPr>
          <w:ilvl w:val="0"/>
          <w:numId w:val="1084"/>
        </w:numPr>
      </w:pPr>
      <w:r>
        <w:t xml:space="preserve">Because masters are maintained at the primary location, there is a single EasyEcom master record per SKU for the whole account, not one per Company.</w:t>
      </w:r>
    </w:p>
    <w:p>
      <w:pPr>
        <w:pStyle w:val="Compact"/>
        <w:numPr>
          <w:ilvl w:val="0"/>
          <w:numId w:val="1084"/>
        </w:numPr>
      </w:pPr>
      <w:r>
        <w:t xml:space="preserve">The mapping is stored in a child table on the Item, ecs_easyecom_mappings, keyed simply by easyecom_company_product_id (the EE master product identifier). Operational locations reference the same master; no per-(Company, location) master row is created.</w:t>
      </w:r>
    </w:p>
    <w:bookmarkEnd w:id="147"/>
    <w:bookmarkStart w:id="148" w:name="variants-and-bundles"/>
    <w:p>
      <w:pPr>
        <w:pStyle w:val="Heading3"/>
      </w:pPr>
      <w:r>
        <w:t xml:space="preserve">8.1.7 Variants and bundles</w:t>
      </w:r>
    </w:p>
    <w:p>
      <w:pPr>
        <w:pStyle w:val="Compact"/>
        <w:numPr>
          <w:ilvl w:val="0"/>
          <w:numId w:val="1085"/>
        </w:numPr>
      </w:pPr>
      <w:r>
        <w:t xml:space="preserve">Item Variants in ERPNext (templates and variants) map to EasyEcom’s variant model with the template as the master_product and each variant as a separate company_product</w:t>
      </w:r>
    </w:p>
    <w:p>
      <w:pPr>
        <w:pStyle w:val="Compact"/>
        <w:numPr>
          <w:ilvl w:val="0"/>
          <w:numId w:val="1085"/>
        </w:numPr>
      </w:pPr>
      <w:r>
        <w:t xml:space="preserve">Item Bundles (Product Bundle in ERPNext) map to EasyEcom Combo SKUs — only the Combo gets a company_product_id; the individual components are tracked but not separately listed</w:t>
      </w:r>
    </w:p>
    <w:p>
      <w:pPr>
        <w:pStyle w:val="Compact"/>
        <w:numPr>
          <w:ilvl w:val="0"/>
          <w:numId w:val="1085"/>
        </w:numPr>
      </w:pPr>
      <w:r>
        <w:t xml:space="preserve">Bundle composition changes are non-trivial — propagate carefully, with FDE review on first sync of each bundle change</w:t>
      </w:r>
    </w:p>
    <w:bookmarkEnd w:id="148"/>
    <w:bookmarkStart w:id="149" w:name="edge-cases"/>
    <w:p>
      <w:pPr>
        <w:pStyle w:val="Heading3"/>
      </w:pPr>
      <w:r>
        <w:t xml:space="preserve">8.1.8 Edge cases</w:t>
      </w:r>
    </w:p>
    <w:p>
      <w:pPr>
        <w:pStyle w:val="Compact"/>
        <w:numPr>
          <w:ilvl w:val="0"/>
          <w:numId w:val="1086"/>
        </w:numPr>
      </w:pPr>
      <w:r>
        <w:t xml:space="preserve">Item disabled in ERPNext: EE record set to inactive (not deleted)</w:t>
      </w:r>
    </w:p>
    <w:p>
      <w:pPr>
        <w:pStyle w:val="Compact"/>
        <w:numPr>
          <w:ilvl w:val="0"/>
          <w:numId w:val="1086"/>
        </w:numPr>
      </w:pPr>
      <w:r>
        <w:t xml:space="preserve">Item deleted in ERPNext: forbidden if any operational document references it; the integration enforces this independently as a safety check before the EE call</w:t>
      </w:r>
    </w:p>
    <w:p>
      <w:pPr>
        <w:pStyle w:val="Compact"/>
        <w:numPr>
          <w:ilvl w:val="0"/>
          <w:numId w:val="1086"/>
        </w:numPr>
      </w:pPr>
      <w:r>
        <w:t xml:space="preserve">EE archives an Item: detected on daily pull; ERPNext Item is set to disabled, not deleted, with a note in the Item’s comments</w:t>
      </w:r>
    </w:p>
    <w:p>
      <w:pPr>
        <w:pStyle w:val="Compact"/>
        <w:numPr>
          <w:ilvl w:val="0"/>
          <w:numId w:val="1086"/>
        </w:numPr>
      </w:pPr>
      <w:r>
        <w:t xml:space="preserve">HSN code missing on a marketplace-relevant Item: blocks push to EE until populated; FDE alerted via dashboard</w:t>
      </w:r>
    </w:p>
    <w:bookmarkEnd w:id="149"/>
    <w:bookmarkEnd w:id="150"/>
    <w:bookmarkStart w:id="156" w:name="customer-master"/>
    <w:p>
      <w:pPr>
        <w:pStyle w:val="Heading2"/>
      </w:pPr>
      <w:r>
        <w:t xml:space="preserve">8.2 Customer master</w:t>
      </w:r>
    </w:p>
    <w:bookmarkStart w:id="151"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87"/>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87"/>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1"/>
    <w:bookmarkStart w:id="152" w:name="direction-of-truth-b2b-d2c"/>
    <w:p>
      <w:pPr>
        <w:pStyle w:val="Heading3"/>
      </w:pPr>
      <w:r>
        <w:t xml:space="preserve">8.2.2 Direction of truth (B2B / D2C)</w:t>
      </w:r>
    </w:p>
    <w:p>
      <w:pPr>
        <w:pStyle w:val="Compact"/>
        <w:numPr>
          <w:ilvl w:val="0"/>
          <w:numId w:val="1088"/>
        </w:numPr>
      </w:pPr>
      <w:r>
        <w:t xml:space="preserve">Direction is bidirectional, ERPNext-leaning. Most B2B customers are entered first in ERPNext (CRM, sales process)</w:t>
      </w:r>
    </w:p>
    <w:p>
      <w:pPr>
        <w:pStyle w:val="Compact"/>
        <w:numPr>
          <w:ilvl w:val="0"/>
          <w:numId w:val="1088"/>
        </w:numPr>
      </w:pPr>
      <w:r>
        <w:t xml:space="preserve">Where EE has a Wholesale Customer record that ERPNext doesn’t: pulled into ERPNext on daily customer sync</w:t>
      </w:r>
    </w:p>
    <w:p>
      <w:pPr>
        <w:pStyle w:val="Compact"/>
        <w:numPr>
          <w:ilvl w:val="0"/>
          <w:numId w:val="1088"/>
        </w:numPr>
      </w:pPr>
      <w:r>
        <w:t xml:space="preserve">Where ERPNext has a Customer that EE doesn’t: pushed via POST /Wholesale/createCustomer</w:t>
      </w:r>
    </w:p>
    <w:p>
      <w:pPr>
        <w:pStyle w:val="Compact"/>
        <w:numPr>
          <w:ilvl w:val="0"/>
          <w:numId w:val="1088"/>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2"/>
    <w:bookmarkStart w:id="153"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3"/>
    <w:bookmarkStart w:id="154" w:name="marketplace-anonymous-handling"/>
    <w:p>
      <w:pPr>
        <w:pStyle w:val="Heading3"/>
      </w:pPr>
      <w:r>
        <w:t xml:space="preserve">8.2.4 Marketplace anonymous handling</w:t>
      </w:r>
    </w:p>
    <w:p>
      <w:pPr>
        <w:pStyle w:val="Compact"/>
        <w:numPr>
          <w:ilvl w:val="0"/>
          <w:numId w:val="1089"/>
        </w:numPr>
      </w:pPr>
      <w:r>
        <w:t xml:space="preserve">Per-marketplace pseudo-customer: Amazon FBA Buyer Pool, Flipkart Buyer Pool, Myntra Buyer Pool, etc.</w:t>
      </w:r>
    </w:p>
    <w:p>
      <w:pPr>
        <w:pStyle w:val="Compact"/>
        <w:numPr>
          <w:ilvl w:val="0"/>
          <w:numId w:val="1089"/>
        </w:numPr>
      </w:pPr>
      <w:r>
        <w:t xml:space="preserve">Created during onboarding by the FDE, one per Marketplace per Company</w:t>
      </w:r>
    </w:p>
    <w:p>
      <w:pPr>
        <w:pStyle w:val="Compact"/>
        <w:numPr>
          <w:ilvl w:val="0"/>
          <w:numId w:val="1089"/>
        </w:numPr>
      </w:pPr>
      <w:r>
        <w:t xml:space="preserve">Sales Invoices for marketplace B2C orders are raised against this pseudo-customer</w:t>
      </w:r>
    </w:p>
    <w:p>
      <w:pPr>
        <w:pStyle w:val="Compact"/>
        <w:numPr>
          <w:ilvl w:val="0"/>
          <w:numId w:val="1089"/>
        </w:numPr>
      </w:pPr>
      <w:r>
        <w:t xml:space="preserve">Marketplace Anonymous Customer DocType (separate from Customer) holds the (marketplace, marketplace_customer_id, opaque_buyer_hash) mapping for traceability</w:t>
      </w:r>
    </w:p>
    <w:p>
      <w:pPr>
        <w:pStyle w:val="Compact"/>
        <w:numPr>
          <w:ilvl w:val="0"/>
          <w:numId w:val="1089"/>
        </w:numPr>
      </w:pPr>
      <w:r>
        <w:t xml:space="preserve">If the same anonymous identifier reappears on multiple orders (returning buyer), it can be linked, but not promoted to a real Customer</w:t>
      </w:r>
    </w:p>
    <w:bookmarkEnd w:id="154"/>
    <w:bookmarkStart w:id="155"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90"/>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90"/>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5"/>
    <w:bookmarkEnd w:id="156"/>
    <w:bookmarkStart w:id="160" w:name="supplier-vendor-master"/>
    <w:p>
      <w:pPr>
        <w:pStyle w:val="Heading2"/>
      </w:pPr>
      <w:r>
        <w:t xml:space="preserve">8.3 Supplier / Vendor master</w:t>
      </w:r>
    </w:p>
    <w:bookmarkStart w:id="157" w:name="direction-of-truth-1"/>
    <w:p>
      <w:pPr>
        <w:pStyle w:val="Heading3"/>
      </w:pPr>
      <w:r>
        <w:t xml:space="preserve">8.3.1 Direction of truth</w:t>
      </w:r>
    </w:p>
    <w:p>
      <w:pPr>
        <w:pStyle w:val="Compact"/>
        <w:numPr>
          <w:ilvl w:val="0"/>
          <w:numId w:val="1091"/>
        </w:numPr>
      </w:pPr>
      <w:r>
        <w:t xml:space="preserve">Suppliers are largely owned by ERPNext — procurement is a books-driven activity</w:t>
      </w:r>
    </w:p>
    <w:p>
      <w:pPr>
        <w:pStyle w:val="Compact"/>
        <w:numPr>
          <w:ilvl w:val="0"/>
          <w:numId w:val="1091"/>
        </w:numPr>
      </w:pPr>
      <w:r>
        <w:t xml:space="preserve">Push to EasyEcom is required so PO push (Section 9) works — EE needs to know about the Vendor before it can accept a PO referencing it</w:t>
      </w:r>
    </w:p>
    <w:p>
      <w:pPr>
        <w:pStyle w:val="Compact"/>
        <w:numPr>
          <w:ilvl w:val="0"/>
          <w:numId w:val="1091"/>
        </w:numPr>
      </w:pPr>
      <w:r>
        <w:t xml:space="preserve">Bidirectional but ERPNext-dominant: new Vendors enter through ERPNext, existing-only-in-EE Vendors get pulled in during onboarding for completeness, then ERPNext owns going forward</w:t>
      </w:r>
    </w:p>
    <w:bookmarkEnd w:id="157"/>
    <w:bookmarkStart w:id="158"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58"/>
    <w:bookmarkStart w:id="159" w:name="account-global-sharing"/>
    <w:p>
      <w:pPr>
        <w:pStyle w:val="Heading3"/>
      </w:pPr>
      <w:r>
        <w:t xml:space="preserve">8.3.3 Account-global sharing</w:t>
      </w:r>
    </w:p>
    <w:p>
      <w:pPr>
        <w:pStyle w:val="Compact"/>
        <w:numPr>
          <w:ilvl w:val="0"/>
          <w:numId w:val="1092"/>
        </w:numPr>
      </w:pPr>
      <w:r>
        <w:t xml:space="preserve">In ERPNext, Supplier is shared across Companies but Supplier Defaults can be Company-specific</w:t>
      </w:r>
    </w:p>
    <w:p>
      <w:pPr>
        <w:pStyle w:val="Compact"/>
        <w:numPr>
          <w:ilvl w:val="0"/>
          <w:numId w:val="1092"/>
        </w:numPr>
      </w:pPr>
      <w:r>
        <w:t xml:space="preserve">Suppliers are master data maintained at the primary location; there is one EasyEcom vendor record per supplier for the whole account, not one per Company</w:t>
      </w:r>
    </w:p>
    <w:p>
      <w:pPr>
        <w:pStyle w:val="Compact"/>
        <w:numPr>
          <w:ilvl w:val="0"/>
          <w:numId w:val="1092"/>
        </w:numPr>
      </w:pPr>
      <w:r>
        <w:t xml:space="preserve">Mapping table on Supplier: ecs_easyecom_mappings keyed by easyecom_vendor_id (the EE master vendor identifier)</w:t>
      </w:r>
    </w:p>
    <w:bookmarkEnd w:id="159"/>
    <w:bookmarkEnd w:id="160"/>
    <w:bookmarkStart w:id="165" w:name="warehouse-location-master"/>
    <w:p>
      <w:pPr>
        <w:pStyle w:val="Heading2"/>
      </w:pPr>
      <w:r>
        <w:t xml:space="preserve">8.4 Warehouse / Location master</w:t>
      </w:r>
    </w:p>
    <w:p>
      <w:pPr>
        <w:pStyle w:val="FirstParagraph"/>
      </w:pPr>
      <w:r>
        <w:t xml:space="preserve">This section covers two distinct things that were historically bundled and are now separated:</w:t>
      </w:r>
    </w:p>
    <w:p>
      <w:pPr>
        <w:pStyle w:val="Compact"/>
        <w:numPr>
          <w:ilvl w:val="0"/>
          <w:numId w:val="1093"/>
        </w:numPr>
      </w:pPr>
      <w:r>
        <w:rPr>
          <w:bCs/>
          <w:b/>
        </w:rPr>
        <w:t xml:space="preserve">Location discovery and mapping (§8.4.1)</w:t>
      </w:r>
      <w:r>
        <w:t xml:space="preserve"> — pulling the account’s locations from EasyEcom and mapping each to a Frappe Company and warehouse. This is the </w:t>
      </w:r>
      <w:r>
        <w:rPr>
          <w:iCs/>
          <w:i/>
        </w:rPr>
        <w:t xml:space="preserve">resolution substrate</w:t>
      </w:r>
      <w:r>
        <w:t xml:space="preserve"> (the first thing built in the Section 8 sequence) and is purely pull + FDE map.</w:t>
      </w:r>
    </w:p>
    <w:p>
      <w:pPr>
        <w:pStyle w:val="Compact"/>
        <w:numPr>
          <w:ilvl w:val="0"/>
          <w:numId w:val="1093"/>
        </w:numPr>
      </w:pPr>
      <w:r>
        <w:rPr>
          <w:bCs/>
          <w:b/>
        </w:rPr>
        <w:t xml:space="preserve">The Warehouse Source-of-Truth Map (§8.4.2)</w:t>
      </w:r>
      <w:r>
        <w:t xml:space="preserve"> — which system owns inventory authority per warehouse. This is an </w:t>
      </w:r>
      <w:r>
        <w:rPr>
          <w:iCs/>
          <w:i/>
        </w:rPr>
        <w:t xml:space="preserve">inventory-flow</w:t>
      </w:r>
      <w:r>
        <w:t xml:space="preserve"> concern, not a discovery concern, and is </w:t>
      </w:r>
      <w:r>
        <w:rPr>
          <w:bCs/>
          <w:b/>
        </w:rPr>
        <w:t xml:space="preserve">deferred to the buying/stock flows (Sections 9-10)</w:t>
      </w:r>
      <w:r>
        <w:t xml:space="preserve"> where stock actually moves. It is NOT part of the Location packet.</w:t>
      </w:r>
    </w:p>
    <w:bookmarkStart w:id="161" w:name="location-discovery-and-mapping"/>
    <w:p>
      <w:pPr>
        <w:pStyle w:val="Heading3"/>
      </w:pPr>
      <w:r>
        <w:t xml:space="preserve">8.4.1 Location discovery and mapping</w:t>
      </w:r>
    </w:p>
    <w:p>
      <w:pPr>
        <w:pStyle w:val="FirstParagraph"/>
      </w:pPr>
      <w:r>
        <w:t xml:space="preserve">EasyEcom locations are </w:t>
      </w:r>
      <w:r>
        <w:rPr>
          <w:bCs/>
          <w:b/>
        </w:rPr>
        <w:t xml:space="preserve">born in EasyEcom and only ever pulled into ERPNext</w:t>
      </w:r>
      <w:r>
        <w:t xml:space="preserve"> — ERPNext never creates or pushes a location. The flow is discovery (pull) + FDE mapping (done in ERPNext on the standard form), nothing more. The EasyEcom Location DocType (§31.2.2) already exists; this flow populates and maintains it.</w:t>
      </w:r>
    </w:p>
    <w:p>
      <w:pPr>
        <w:pStyle w:val="BodyText"/>
      </w:pPr>
      <w:r>
        <w:rPr>
          <w:bCs/>
          <w:b/>
        </w:rPr>
        <w:t xml:space="preserve">Discovery pull.</w:t>
      </w:r>
      <w:r>
        <w:t xml:space="preserve"> The integration calls EasyEcom’s location-list endpoint, </w:t>
      </w:r>
      <w:r>
        <w:rPr>
          <w:rStyle w:val="VerbatimChar"/>
          <w:bCs/>
          <w:b/>
        </w:rPr>
        <w:t xml:space="preserve">/getAllLocation</w:t>
      </w:r>
      <w:r>
        <w:t xml:space="preserve"> (confirmed live; returns HTTP 200 with the location array). The payload→field translation goes through the Field Mapping engine via the </w:t>
      </w:r>
      <w:r>
        <w:rPr>
          <w:rStyle w:val="VerbatimChar"/>
          <w:bCs/>
          <w:b/>
        </w:rPr>
        <w:t xml:space="preserve">EasyEcom-Location-Pull</w:t>
      </w:r>
      <w:r>
        <w:t xml:space="preserve"> ruleset (per the §8.0 engine-as-API-insurance policy — not a hardcoded mapper), reconciled to the real payload shape captured live (the field table below is that mapping, and the ruleset’s authoritative reference + test fixture). The flow orchestrates around the engine’s output: it creates or updates one EasyEcom Location row per </w:t>
      </w:r>
      <w:r>
        <w:rPr>
          <w:rStyle w:val="VerbatimChar"/>
        </w:rPr>
        <w:t xml:space="preserve">location_key</w:t>
      </w:r>
      <w:r>
        <w:t xml:space="preserve">, lands new rows in workflow state To Map, and leaves the ERPNext-side mapping fields (</w:t>
      </w:r>
      <w:r>
        <w:rPr>
          <w:rStyle w:val="VerbatimChar"/>
        </w:rPr>
        <w:t xml:space="preserve">frappe_company</w:t>
      </w:r>
      <w:r>
        <w:t xml:space="preserve">, </w:t>
      </w:r>
      <w:r>
        <w:rPr>
          <w:rStyle w:val="VerbatimChar"/>
        </w:rPr>
        <w:t xml:space="preserve">mapped_warehouse</w:t>
      </w:r>
      <w:r>
        <w:t xml:space="preserve">) blank for the FDE. A temporarily-missing EE field on a re-pull does not overwrite an existing value (the engine emits no value for an absent field; the flow filters it rather than clobbering).</w:t>
      </w:r>
    </w:p>
    <w:p>
      <w:pPr>
        <w:pStyle w:val="BodyText"/>
      </w:pPr>
      <w:r>
        <w:rPr>
          <w:bCs/>
          <w:b/>
        </w:rPr>
        <w:t xml:space="preserve">Real </w:t>
      </w:r>
      <w:r>
        <w:rPr>
          <w:rStyle w:val="VerbatimChar"/>
          <w:bCs/>
          <w:b/>
        </w:rPr>
        <w:t xml:space="preserve">/getAllLocation</w:t>
      </w:r>
      <w:r>
        <w:rPr>
          <w:bCs/>
          <w:b/>
        </w:rPr>
        <w:t xml:space="preserve"> payload → EasyEcom Location mapping</w:t>
      </w:r>
      <w:r>
        <w:t xml:space="preserve"> (from a live response; this is the §8a ruleset reference and test fixture). The response is </w:t>
      </w:r>
      <w:r>
        <w:rPr>
          <w:rStyle w:val="VerbatimChar"/>
        </w:rPr>
        <w:t xml:space="preserve">{code, message, data:[ ... ]}</w:t>
      </w:r>
      <w:r>
        <w:t xml:space="preserve">; each element of </w:t>
      </w:r>
      <w:r>
        <w:rPr>
          <w:rStyle w:val="VerbatimChar"/>
        </w:rPr>
        <w:t xml:space="preserve">data[]</w:t>
      </w:r>
      <w:r>
        <w:t xml:space="preserve"> is one location: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payload field</w:t>
            </w:r>
          </w:p>
        </w:tc>
        <w:tc>
          <w:tcPr/>
          <w:p>
            <w:pPr>
              <w:pStyle w:val="Compact"/>
              <w:jc w:val="left"/>
            </w:pPr>
            <w:r>
              <w:t xml:space="preserve">EasyEcom Location field</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location_key</w:t>
            </w:r>
          </w:p>
        </w:tc>
        <w:tc>
          <w:tcPr/>
          <w:p>
            <w:pPr>
              <w:pStyle w:val="Compact"/>
              <w:jc w:val="left"/>
            </w:pPr>
            <w:r>
              <w:t xml:space="preserve">The natural key; autoname ECS-LOC-{key}</w:t>
            </w:r>
          </w:p>
        </w:tc>
      </w:tr>
      <w:tr>
        <w:tc>
          <w:tcPr/>
          <w:p>
            <w:pPr>
              <w:pStyle w:val="Compact"/>
              <w:jc w:val="left"/>
            </w:pPr>
            <w:r>
              <w:t xml:space="preserve">location_name</w:t>
            </w:r>
          </w:p>
        </w:tc>
        <w:tc>
          <w:tcPr/>
          <w:p>
            <w:pPr>
              <w:pStyle w:val="Compact"/>
              <w:jc w:val="left"/>
            </w:pPr>
            <w:r>
              <w:t xml:space="preserve">location_name</w:t>
            </w:r>
          </w:p>
        </w:tc>
        <w:tc>
          <w:tcPr/>
          <w:p>
            <w:pPr>
              <w:pStyle w:val="Compact"/>
            </w:pPr>
          </w:p>
        </w:tc>
      </w:tr>
      <w:tr>
        <w:tc>
          <w:tcPr/>
          <w:p>
            <w:pPr>
              <w:pStyle w:val="Compact"/>
              <w:jc w:val="left"/>
            </w:pPr>
            <w:r>
              <w:t xml:space="preserve">company_id</w:t>
            </w:r>
          </w:p>
        </w:tc>
        <w:tc>
          <w:tcPr/>
          <w:p>
            <w:pPr>
              <w:pStyle w:val="Compact"/>
              <w:jc w:val="left"/>
            </w:pPr>
            <w:r>
              <w:t xml:space="preserve">ee_company_id</w:t>
            </w:r>
          </w:p>
        </w:tc>
        <w:tc>
          <w:tcPr/>
          <w:p>
            <w:pPr>
              <w:pStyle w:val="Compact"/>
              <w:jc w:val="left"/>
            </w:pPr>
            <w:r>
              <w:t xml:space="preserve">EE’s internal company id (numeric)</w:t>
            </w:r>
          </w:p>
        </w:tc>
      </w:tr>
      <w:tr>
        <w:tc>
          <w:tcPr/>
          <w:p>
            <w:pPr>
              <w:pStyle w:val="Compact"/>
              <w:jc w:val="left"/>
            </w:pPr>
            <w:r>
              <w:t xml:space="preserve">stockHandle</w:t>
            </w:r>
          </w:p>
        </w:tc>
        <w:tc>
          <w:tcPr/>
          <w:p>
            <w:pPr>
              <w:pStyle w:val="Compact"/>
              <w:jc w:val="left"/>
            </w:pPr>
            <w:r>
              <w:t xml:space="preserve">is_wms_location</w:t>
            </w:r>
          </w:p>
        </w:tc>
        <w:tc>
          <w:tcPr/>
          <w:p>
            <w:pPr>
              <w:pStyle w:val="Compact"/>
              <w:jc w:val="left"/>
            </w:pPr>
            <w:r>
              <w:rPr>
                <w:bCs/>
                <w:b/>
              </w:rPr>
              <w:t xml:space="preserve">Derived on discovery:</w:t>
            </w:r>
            <w:r>
              <w:t xml:space="preserve"> stockHandle=1 → is_wms_location=1 (operational/stock-handling); 0 → 0. FDE may override on the form</w:t>
            </w:r>
          </w:p>
        </w:tc>
      </w:tr>
      <w:tr>
        <w:tc>
          <w:tcPr/>
          <w:p>
            <w:pPr>
              <w:pStyle w:val="Compact"/>
              <w:jc w:val="left"/>
            </w:pPr>
            <w:r>
              <w:t xml:space="preserve">is_store</w:t>
            </w:r>
          </w:p>
        </w:tc>
        <w:tc>
          <w:tcPr/>
          <w:p>
            <w:pPr>
              <w:pStyle w:val="Compact"/>
              <w:jc w:val="left"/>
            </w:pPr>
            <w:r>
              <w:t xml:space="preserve">is_store</w:t>
            </w:r>
          </w:p>
        </w:tc>
        <w:tc>
          <w:tcPr/>
          <w:p>
            <w:pPr>
              <w:pStyle w:val="Compact"/>
              <w:jc w:val="left"/>
            </w:pPr>
            <w:r>
              <w:t xml:space="preserve">New field; EE store-vs-warehouse flag</w:t>
            </w:r>
          </w:p>
        </w:tc>
      </w:tr>
      <w:tr>
        <w:tc>
          <w:tcPr/>
          <w:p>
            <w:pPr>
              <w:pStyle w:val="Compact"/>
              <w:jc w:val="left"/>
            </w:pPr>
            <w:r>
              <w:t xml:space="preserve">copy_master_from_primary</w:t>
            </w:r>
          </w:p>
        </w:tc>
        <w:tc>
          <w:tcPr/>
          <w:p>
            <w:pPr>
              <w:pStyle w:val="Compact"/>
              <w:jc w:val="left"/>
            </w:pPr>
            <w:r>
              <w:t xml:space="preserve">copy_master_from_primary</w:t>
            </w:r>
          </w:p>
        </w:tc>
        <w:tc>
          <w:tcPr/>
          <w:p>
            <w:pPr>
              <w:pStyle w:val="Compact"/>
              <w:jc w:val="left"/>
            </w:pPr>
            <w:r>
              <w:t xml:space="preserve">New field; whether this location inherits masters from primary (recorded; not a primary-detection signal)</w:t>
            </w:r>
          </w:p>
        </w:tc>
      </w:tr>
      <w:tr>
        <w:tc>
          <w:tcPr/>
          <w:p>
            <w:pPr>
              <w:pStyle w:val="Compact"/>
              <w:jc w:val="left"/>
            </w:pPr>
            <w:r>
              <w:t xml:space="preserve">city</w:t>
            </w:r>
          </w:p>
        </w:tc>
        <w:tc>
          <w:tcPr/>
          <w:p>
            <w:pPr>
              <w:pStyle w:val="Compact"/>
              <w:jc w:val="left"/>
            </w:pPr>
            <w:r>
              <w:t xml:space="preserve">city</w:t>
            </w:r>
          </w:p>
        </w:tc>
        <w:tc>
          <w:tcPr/>
          <w:p>
            <w:pPr>
              <w:pStyle w:val="Compact"/>
              <w:jc w:val="left"/>
            </w:pPr>
            <w:r>
              <w:t xml:space="preserve">New field</w:t>
            </w:r>
          </w:p>
        </w:tc>
      </w:tr>
      <w:tr>
        <w:tc>
          <w:tcPr/>
          <w:p>
            <w:pPr>
              <w:pStyle w:val="Compact"/>
              <w:jc w:val="left"/>
            </w:pPr>
            <w:r>
              <w:t xml:space="preserve">state</w:t>
            </w:r>
          </w:p>
        </w:tc>
        <w:tc>
          <w:tcPr/>
          <w:p>
            <w:pPr>
              <w:pStyle w:val="Compact"/>
              <w:jc w:val="left"/>
            </w:pPr>
            <w:r>
              <w:t xml:space="preserve">state</w:t>
            </w:r>
          </w:p>
        </w:tc>
        <w:tc>
          <w:tcPr/>
          <w:p>
            <w:pPr>
              <w:pStyle w:val="Compact"/>
              <w:jc w:val="left"/>
            </w:pPr>
            <w:r>
              <w:t xml:space="preserve">New field — </w:t>
            </w:r>
            <w:r>
              <w:rPr>
                <w:bCs/>
                <w:b/>
              </w:rPr>
              <w:t xml:space="preserve">GST place-of-supply critical</w:t>
            </w:r>
          </w:p>
        </w:tc>
      </w:tr>
      <w:tr>
        <w:tc>
          <w:tcPr/>
          <w:p>
            <w:pPr>
              <w:pStyle w:val="Compact"/>
              <w:jc w:val="left"/>
            </w:pPr>
            <w:r>
              <w:t xml:space="preserve">country</w:t>
            </w:r>
          </w:p>
        </w:tc>
        <w:tc>
          <w:tcPr/>
          <w:p>
            <w:pPr>
              <w:pStyle w:val="Compact"/>
              <w:jc w:val="left"/>
            </w:pPr>
            <w:r>
              <w:t xml:space="preserve">country</w:t>
            </w:r>
          </w:p>
        </w:tc>
        <w:tc>
          <w:tcPr/>
          <w:p>
            <w:pPr>
              <w:pStyle w:val="Compact"/>
              <w:jc w:val="left"/>
            </w:pPr>
            <w:r>
              <w:t xml:space="preserve">New field</w:t>
            </w:r>
          </w:p>
        </w:tc>
      </w:tr>
      <w:tr>
        <w:tc>
          <w:tcPr/>
          <w:p>
            <w:pPr>
              <w:pStyle w:val="Compact"/>
              <w:jc w:val="left"/>
            </w:pPr>
            <w:r>
              <w:t xml:space="preserve">zip</w:t>
            </w:r>
          </w:p>
        </w:tc>
        <w:tc>
          <w:tcPr/>
          <w:p>
            <w:pPr>
              <w:pStyle w:val="Compact"/>
              <w:jc w:val="left"/>
            </w:pPr>
            <w:r>
              <w:t xml:space="preserve">pincode</w:t>
            </w:r>
          </w:p>
        </w:tc>
        <w:tc>
          <w:tcPr/>
          <w:p>
            <w:pPr>
              <w:pStyle w:val="Compact"/>
              <w:jc w:val="left"/>
            </w:pPr>
            <w:r>
              <w:t xml:space="preserve">Name differs (EE </w:t>
            </w:r>
            <w:r>
              <w:rPr>
                <w:rStyle w:val="VerbatimChar"/>
              </w:rPr>
              <w:t xml:space="preserve">zip</w:t>
            </w:r>
            <w:r>
              <w:t xml:space="preserve"> → ERPNext-style </w:t>
            </w:r>
            <w:r>
              <w:rPr>
                <w:rStyle w:val="VerbatimChar"/>
              </w:rPr>
              <w:t xml:space="preserve">pincode</w:t>
            </w:r>
            <w:r>
              <w:t xml:space="preserve">)</w:t>
            </w:r>
          </w:p>
        </w:tc>
      </w:tr>
      <w:tr>
        <w:tc>
          <w:tcPr/>
          <w:p>
            <w:pPr>
              <w:pStyle w:val="Compact"/>
              <w:jc w:val="left"/>
            </w:pPr>
            <w:r>
              <w:t xml:space="preserve">address</w:t>
            </w:r>
          </w:p>
        </w:tc>
        <w:tc>
          <w:tcPr/>
          <w:p>
            <w:pPr>
              <w:pStyle w:val="Compact"/>
              <w:jc w:val="left"/>
            </w:pPr>
            <w:r>
              <w:t xml:space="preserve">address_line</w:t>
            </w:r>
          </w:p>
        </w:tc>
        <w:tc>
          <w:tcPr/>
          <w:p>
            <w:pPr>
              <w:pStyle w:val="Compact"/>
              <w:jc w:val="left"/>
            </w:pPr>
            <w:r>
              <w:t xml:space="preserve">The flat address string</w:t>
            </w:r>
          </w:p>
        </w:tc>
      </w:tr>
      <w:tr>
        <w:tc>
          <w:tcPr/>
          <w:p>
            <w:pPr>
              <w:pStyle w:val="Compact"/>
              <w:jc w:val="left"/>
            </w:pPr>
            <w:r>
              <w:t xml:space="preserve">address type.billing_address.*</w:t>
            </w:r>
          </w:p>
        </w:tc>
        <w:tc>
          <w:tcPr/>
          <w:p>
            <w:pPr>
              <w:pStyle w:val="Compact"/>
              <w:jc w:val="left"/>
            </w:pPr>
            <w:r>
              <w:t xml:space="preserve">billing_* (street/state/zipcode/country)</w:t>
            </w:r>
          </w:p>
        </w:tc>
        <w:tc>
          <w:tcPr/>
          <w:p>
            <w:pPr>
              <w:pStyle w:val="Compact"/>
              <w:jc w:val="left"/>
            </w:pPr>
            <w:r>
              <w:t xml:space="preserve">Nested billing address</w:t>
            </w:r>
          </w:p>
        </w:tc>
      </w:tr>
      <w:tr>
        <w:tc>
          <w:tcPr/>
          <w:p>
            <w:pPr>
              <w:pStyle w:val="Compact"/>
              <w:jc w:val="left"/>
            </w:pPr>
            <w:r>
              <w:t xml:space="preserve">address type.pickup_address.*</w:t>
            </w:r>
          </w:p>
        </w:tc>
        <w:tc>
          <w:tcPr/>
          <w:p>
            <w:pPr>
              <w:pStyle w:val="Compact"/>
              <w:jc w:val="left"/>
            </w:pPr>
            <w:r>
              <w:t xml:space="preserve">pickup_*</w:t>
            </w:r>
          </w:p>
        </w:tc>
        <w:tc>
          <w:tcPr/>
          <w:p>
            <w:pPr>
              <w:pStyle w:val="Compact"/>
              <w:jc w:val="left"/>
            </w:pPr>
            <w:r>
              <w:t xml:space="preserve">Nested pickup address</w:t>
            </w:r>
          </w:p>
        </w:tc>
      </w:tr>
      <w:tr>
        <w:tc>
          <w:tcPr/>
          <w:p>
            <w:pPr>
              <w:pStyle w:val="Compact"/>
              <w:jc w:val="left"/>
            </w:pPr>
            <w:r>
              <w:t xml:space="preserve">api_token</w:t>
            </w:r>
          </w:p>
        </w:tc>
        <w:tc>
          <w:tcPr/>
          <w:p>
            <w:pPr>
              <w:pStyle w:val="Compact"/>
              <w:jc w:val="left"/>
            </w:pPr>
            <w:r>
              <w:t xml:space="preserve">— (dropped)</w:t>
            </w:r>
          </w:p>
        </w:tc>
        <w:tc>
          <w:tcPr/>
          <w:p>
            <w:pPr>
              <w:pStyle w:val="Compact"/>
              <w:jc w:val="left"/>
            </w:pPr>
            <w:r>
              <w:rPr>
                <w:bCs/>
                <w:b/>
              </w:rPr>
              <w:t xml:space="preserve">Irrelevant today; a credential-shaped string — never stored, redacted if ever logged</w:t>
            </w:r>
          </w:p>
        </w:tc>
      </w:tr>
      <w:tr>
        <w:tc>
          <w:tcPr/>
          <w:p>
            <w:pPr>
              <w:pStyle w:val="Compact"/>
              <w:jc w:val="left"/>
            </w:pPr>
            <w:r>
              <w:t xml:space="preserve">userId, phone number</w:t>
            </w:r>
          </w:p>
        </w:tc>
        <w:tc>
          <w:tcPr/>
          <w:p>
            <w:pPr>
              <w:pStyle w:val="Compact"/>
              <w:jc w:val="left"/>
            </w:pPr>
            <w:r>
              <w:t xml:space="preserve">— (optional/ignored)</w:t>
            </w:r>
          </w:p>
        </w:tc>
        <w:tc>
          <w:tcPr/>
          <w:p>
            <w:pPr>
              <w:pStyle w:val="Compact"/>
              <w:jc w:val="left"/>
            </w:pPr>
            <w:r>
              <w:rPr>
                <w:rStyle w:val="VerbatimChar"/>
              </w:rPr>
              <w:t xml:space="preserve">phone number</w:t>
            </w:r>
            <w:r>
              <w:t xml:space="preserve"> has a literal space in the key — the mapping engine must handle space-bearing source keys; not currently mapped</w:t>
            </w:r>
          </w:p>
        </w:tc>
      </w:tr>
    </w:tbl>
    <w:p>
      <w:pPr>
        <w:pStyle w:val="BodyText"/>
      </w:pPr>
      <w:r>
        <w:t xml:space="preserve">Fields EE does </w:t>
      </w:r>
      <w:r>
        <w:rPr>
          <w:bCs/>
          <w:b/>
        </w:rPr>
        <w:t xml:space="preserve">not</w:t>
      </w:r>
      <w:r>
        <w:t xml:space="preserve"> supply that the Location DocType needs: </w:t>
      </w:r>
      <w:r>
        <w:rPr>
          <w:rStyle w:val="VerbatimChar"/>
        </w:rPr>
        <w:t xml:space="preserve">gstin</w:t>
      </w:r>
      <w:r>
        <w:t xml:space="preserve"> (FDE-set per operational location, like the Item stock-UOM gap — never inferred), and </w:t>
      </w:r>
      <w:r>
        <w:rPr>
          <w:rStyle w:val="VerbatimChar"/>
        </w:rPr>
        <w:t xml:space="preserve">is_primary</w:t>
      </w:r>
      <w:r>
        <w:t xml:space="preserve"> (no signal in the payload — FDE designates exactly one). </w:t>
      </w:r>
      <w:r>
        <w:rPr>
          <w:rStyle w:val="VerbatimChar"/>
        </w:rPr>
        <w:t xml:space="preserve">is_operational</w:t>
      </w:r>
      <w:r>
        <w:t xml:space="preserve"> is workflow-derived (set by Go Live), never taken from the payload.</w:t>
      </w:r>
    </w:p>
    <w:p>
      <w:pPr>
        <w:pStyle w:val="BodyText"/>
      </w:pPr>
      <w:r>
        <w:rPr>
          <w:bCs/>
          <w:b/>
        </w:rPr>
        <w:t xml:space="preserve">The FDE mapping workflow.</w:t>
      </w:r>
      <w:r>
        <w:t xml:space="preserve"> A discovered location is not passively unmapped — it carries an explicit, FDE-facing workflow state (implemented with Frappe’s standard </w:t>
      </w:r>
      <w:r>
        <w:rPr>
          <w:bCs/>
          <w:b/>
        </w:rPr>
        <w:t xml:space="preserve">Workflow</w:t>
      </w:r>
      <w:r>
        <w:t xml:space="preserve"> primitive, shipped as a fixture; not a hand-rolled status field), so pending FDE work is visible and filterable upfront (and feeds a future “locations awaiting mapping” task count on the dashboard, Sections 17/24). The states: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FDE action</w:t>
            </w:r>
          </w:p>
        </w:tc>
      </w:tr>
      <w:tr>
        <w:tc>
          <w:tcPr/>
          <w:p>
            <w:pPr>
              <w:pStyle w:val="Compact"/>
              <w:jc w:val="left"/>
            </w:pPr>
            <w:r>
              <w:t xml:space="preserve">To Map</w:t>
            </w:r>
          </w:p>
        </w:tc>
        <w:tc>
          <w:tcPr/>
          <w:p>
            <w:pPr>
              <w:pStyle w:val="Compact"/>
              <w:jc w:val="left"/>
            </w:pPr>
            <w:r>
              <w:t xml:space="preserve">Just pulled from EasyEcom; needs Company + warehouse assigned</w:t>
            </w:r>
          </w:p>
        </w:tc>
        <w:tc>
          <w:tcPr/>
          <w:p>
            <w:pPr>
              <w:pStyle w:val="Compact"/>
              <w:jc w:val="left"/>
            </w:pPr>
            <w:r>
              <w:t xml:space="preserve">This is the FDE’s task list — filter the Location list to this state</w:t>
            </w:r>
          </w:p>
        </w:tc>
      </w:tr>
      <w:tr>
        <w:tc>
          <w:tcPr/>
          <w:p>
            <w:pPr>
              <w:pStyle w:val="Compact"/>
              <w:jc w:val="left"/>
            </w:pPr>
            <w:r>
              <w:t xml:space="preserve">Mapped but not Live</w:t>
            </w:r>
          </w:p>
        </w:tc>
        <w:tc>
          <w:tcPr/>
          <w:p>
            <w:pPr>
              <w:pStyle w:val="Compact"/>
              <w:jc w:val="left"/>
            </w:pPr>
            <w:r>
              <w:t xml:space="preserve">Company/warehouse assigned and reviewed, but not yet syncing</w:t>
            </w:r>
          </w:p>
        </w:tc>
        <w:tc>
          <w:tcPr/>
          <w:p>
            <w:pPr>
              <w:pStyle w:val="Compact"/>
              <w:jc w:val="left"/>
            </w:pPr>
            <w:r>
              <w:t xml:space="preserve">Review, then Go Live</w:t>
            </w:r>
          </w:p>
        </w:tc>
      </w:tr>
      <w:tr>
        <w:tc>
          <w:tcPr/>
          <w:p>
            <w:pPr>
              <w:pStyle w:val="Compact"/>
              <w:jc w:val="left"/>
            </w:pPr>
            <w:r>
              <w:t xml:space="preserve">Live</w:t>
            </w:r>
          </w:p>
        </w:tc>
        <w:tc>
          <w:tcPr/>
          <w:p>
            <w:pPr>
              <w:pStyle w:val="Compact"/>
              <w:jc w:val="left"/>
            </w:pPr>
            <w:r>
              <w:t xml:space="preserve">Mapped and actively syncing operational flows</w:t>
            </w:r>
          </w:p>
        </w:tc>
        <w:tc>
          <w:tcPr/>
          <w:p>
            <w:pPr>
              <w:pStyle w:val="Compact"/>
              <w:jc w:val="left"/>
            </w:pPr>
            <w:r>
              <w:t xml:space="preserve">— (steady state)</w:t>
            </w:r>
          </w:p>
        </w:tc>
      </w:tr>
      <w:tr>
        <w:tc>
          <w:tcPr/>
          <w:p>
            <w:pPr>
              <w:pStyle w:val="Compact"/>
              <w:jc w:val="left"/>
            </w:pPr>
            <w:r>
              <w:t xml:space="preserve">Skipped</w:t>
            </w:r>
          </w:p>
        </w:tc>
        <w:tc>
          <w:tcPr/>
          <w:p>
            <w:pPr>
              <w:pStyle w:val="Compact"/>
              <w:jc w:val="left"/>
            </w:pPr>
            <w:r>
              <w:t xml:space="preserve">FDE has decided this location is out of scope (master-only primary location, non-ERPNext locations)</w:t>
            </w:r>
          </w:p>
        </w:tc>
        <w:tc>
          <w:tcPr/>
          <w:p>
            <w:pPr>
              <w:pStyle w:val="Compact"/>
              <w:jc w:val="left"/>
            </w:pPr>
            <w:r>
              <w:t xml:space="preserve">Deliberate; not an error</w:t>
            </w:r>
          </w:p>
        </w:tc>
      </w:tr>
    </w:tbl>
    <w:p>
      <w:pPr>
        <w:pStyle w:val="BodyText"/>
      </w:pPr>
      <w:r>
        <w:t xml:space="preserve">Transitions are role-gated to </w:t>
      </w:r>
      <w:r>
        <w:rPr>
          <w:bCs/>
          <w:b/>
        </w:rPr>
        <w:t xml:space="preserve">EasyEcom FDE</w:t>
      </w:r>
      <w:r>
        <w:t xml:space="preserve"> (System Manager inherits): To Map → Mapped but not Live (“Map”; gated on frappe_company being set, so the workflow enforces that mapping actually happened); Mapped but not Live → Live (“Go Live”; this transition sets is_operational); To Map / Mapped → Skipped (“Mark Not Relevant”); and reverse transitions (Live → Mapped but not Live to pause, Skipped → To Map to reconsider) so no state is a dead end. The discovery pull creates new rows in the </w:t>
      </w:r>
      <w:r>
        <w:rPr>
          <w:bCs/>
          <w:b/>
        </w:rPr>
        <w:t xml:space="preserve">To Map</w:t>
      </w:r>
      <w:r>
        <w:t xml:space="preserve"> state automatically.</w:t>
      </w:r>
    </w:p>
    <w:p>
      <w:pPr>
        <w:pStyle w:val="BodyText"/>
      </w:pPr>
      <w:r>
        <w:rPr>
          <w:bCs/>
          <w:b/>
        </w:rPr>
        <w:t xml:space="preserve">The workflow state is the source of truth.</w:t>
      </w:r>
      <w:r>
        <w:t xml:space="preserve"> is_operational is </w:t>
      </w:r>
      <w:r>
        <w:rPr>
          <w:iCs/>
          <w:i/>
        </w:rPr>
        <w:t xml:space="preserve">derived</w:t>
      </w:r>
      <w:r>
        <w:t xml:space="preserve"> from it — set true by the Go Live transition, false by Live → Mapped but not Live — so there is one authoritative notion of whether a location is on, not two competing booleans. The FDE works entirely through the standard Frappe form and the action buttons the Workflow generates; no custom mapping UI is built.</w:t>
      </w:r>
    </w:p>
    <w:p>
      <w:pPr>
        <w:pStyle w:val="BodyText"/>
      </w:pPr>
      <w:r>
        <w:rPr>
          <w:bCs/>
          <w:b/>
        </w:rPr>
        <w:t xml:space="preserve">Re-pull (steady state).</w:t>
      </w:r>
      <w:r>
        <w:t xml:space="preserve"> Discovery runs again on a daily cadence. A location id not seen before is created fresh in the </w:t>
      </w:r>
      <w:r>
        <w:rPr>
          <w:bCs/>
          <w:b/>
        </w:rPr>
        <w:t xml:space="preserve">To Map</w:t>
      </w:r>
      <w:r>
        <w:t xml:space="preserve"> state and the FDE is alerted (a new location needs mapping). An already-known location updates in place (its EE-supplied fields refresh) and its workflow state is left untouched — re-pull never auto-advances or resets the workflow. An unmapped location is a normal, expected state (To Map / Skipped), never an error: per §8.4.4, the steady state legitimately includes locations that are out of scope. Existing Location rows entered manually before this discovery flow existed are back-filled into the appropriate state on first migration (mapped-and-operational → Live, mapped-not-yet-on → Mapped but not Live, the rest → To Map).</w:t>
      </w:r>
    </w:p>
    <w:bookmarkEnd w:id="161"/>
    <w:bookmarkStart w:id="162" w:name="X3397864113b2db8b93ff449a3b61ab0a9128811"/>
    <w:p>
      <w:pPr>
        <w:pStyle w:val="Heading3"/>
      </w:pPr>
      <w:r>
        <w:t xml:space="preserve">8.4.2 The Warehouse Source-of-Truth Map (built with Location)</w:t>
      </w:r>
    </w:p>
    <w:p>
      <w:pPr>
        <w:pStyle w:val="FirstParagraph"/>
      </w:pPr>
      <w:r>
        <w:t xml:space="preserve">The most consequential map for inventory, because it determines which system owns inventory, which system originates Purchase Receipts, and which side wins on stock disputes. It is the explicit, per-location intersection of Frappe warehouses and EasyEcom locations — and it is deliberately partial (see 4.4.3). Every Frappe Warehouse that participates in EasyEcom-mediated operations has a row.</w:t>
      </w:r>
    </w:p>
    <w:p>
      <w:pPr>
        <w:pStyle w:val="BodyText"/>
      </w:pPr>
      <w:r>
        <w:rPr>
          <w:bCs/>
          <w:b/>
        </w:rPr>
        <w:t xml:space="preserve">The full DocType is built with the Location packet, and the FDE configures every field at onboarding</w:t>
      </w:r>
      <w:r>
        <w:t xml:space="preserve"> — including the inventory-authority fields. These are business facts about how the client operates (who owns stock, who receives goods, who makes corrections), known up front and decided once during onboarding; the flows that </w:t>
      </w:r>
      <w:r>
        <w:rPr>
          <w:iCs/>
          <w:i/>
        </w:rPr>
        <w:t xml:space="preserve">act</w:t>
      </w:r>
      <w:r>
        <w:t xml:space="preserve"> on them (Sections 9-11) are built later and read this map rather than extend it. Config exists first; the flow code that consumes it arrives with each flow.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Meaning</w:t>
            </w:r>
          </w:p>
        </w:tc>
        <w:tc>
          <w:tcPr/>
          <w:p>
            <w:pPr>
              <w:pStyle w:val="Compact"/>
              <w:jc w:val="left"/>
            </w:pPr>
            <w:r>
              <w:t xml:space="preserve">Acted on by</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c>
          <w:tcPr/>
          <w:p>
            <w:pPr>
              <w:pStyle w:val="Compact"/>
              <w:jc w:val="left"/>
            </w:pPr>
            <w:r>
              <w:t xml:space="preserve">—</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c>
          <w:tcPr/>
          <w:p>
            <w:pPr>
              <w:pStyle w:val="Compact"/>
              <w:jc w:val="left"/>
            </w:pPr>
            <w:r>
              <w:t xml:space="preserve">—</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c>
          <w:tcPr/>
          <w:p>
            <w:pPr>
              <w:pStyle w:val="Compact"/>
              <w:jc w:val="left"/>
            </w:pPr>
            <w:r>
              <w:t xml:space="preserve">—</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Which system holds the authoritative running stock balance for this warehouse. On a dispute or drift, the master side wins; the other is reconciled to match.</w:t>
            </w:r>
          </w:p>
        </w:tc>
        <w:tc>
          <w:tcPr/>
          <w:p>
            <w:pPr>
              <w:pStyle w:val="Compact"/>
              <w:jc w:val="left"/>
            </w:pPr>
            <w:r>
              <w:t xml:space="preserve">§9 / §10</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Who originates Purchase Receipts. “EasyEcom GRN flow” = goods received in EE (GRN) and ERPNext creates the PR from the GRN event (§9); “ERPNext direct” = PRs made in ERPNext, warehouse not driven by EE GRNs.</w:t>
            </w:r>
          </w:p>
        </w:tc>
        <w:tc>
          <w:tcPr/>
          <w:p>
            <w:pPr>
              <w:pStyle w:val="Compact"/>
              <w:jc w:val="left"/>
            </w:pPr>
            <w:r>
              <w:t xml:space="preserve">§9</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w:t>
            </w:r>
            <w:r>
              <w:rPr>
                <w:iCs/>
                <w:i/>
              </w:rPr>
              <w:t xml:space="preserve">stock adjustments</w:t>
            </w:r>
            <w:r>
              <w:t xml:space="preserve"> — corrections that are not a sale/purchase/transfer (cycle-count corrections, damage write-offs, found stock, shrinkage). If EasyEcom: the adjustment is made in EE and ERPNext mirrors it with a Stock Reconciliation/Stock Entry. If ERPNext: made in ERPNext and pushed to EE. Distinct from inventory_master because a warehouse may have EE as the running-balance master yet still take adjustments from ERPNext (finance-controlled), or vice versa.</w:t>
            </w:r>
          </w:p>
        </w:tc>
        <w:tc>
          <w:tcPr/>
          <w:p>
            <w:pPr>
              <w:pStyle w:val="Compact"/>
              <w:jc w:val="left"/>
            </w:pPr>
            <w:r>
              <w:t xml:space="preserve">§10</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Whether an EasyEcom “inventory reserved” event (stock committed to a B2B order before dispatch) is mirrored into ERPNext as a Stock Reservation Entry against the matching Sales Order — so ERPNext’s available-to-promise reflects what EE has committed. True where stock-promise accuracy matters (high-value B2B); False where the extra entries are unwanted churn (fast-moving B2C).</w:t>
            </w:r>
          </w:p>
        </w:tc>
        <w:tc>
          <w:tcPr/>
          <w:p>
            <w:pPr>
              <w:pStyle w:val="Compact"/>
              <w:jc w:val="left"/>
            </w:pPr>
            <w:r>
              <w:t xml:space="preserve">§11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c>
          <w:tcPr/>
          <w:p>
            <w:pPr>
              <w:pStyle w:val="Compact"/>
              <w:jc w:val="left"/>
            </w:pPr>
            <w:r>
              <w:t xml:space="preserve">—</w:t>
            </w:r>
          </w:p>
        </w:tc>
      </w:tr>
    </w:tbl>
    <w:p>
      <w:pPr>
        <w:pStyle w:val="BodyText"/>
      </w:pPr>
      <w:r>
        <w:t xml:space="preserve">The map is keyed per location, not per Company. Because location→Company is many-to-one, a single Company may own several rows here (several warehouses, each linked to a distinct EasyEcom location). The “Acted on by” column indicates which later flow’s code </w:t>
      </w:r>
      <w:r>
        <w:rPr>
          <w:iCs/>
          <w:i/>
        </w:rPr>
        <w:t xml:space="preserve">reads</w:t>
      </w:r>
      <w:r>
        <w:t xml:space="preserve"> a behavior field; the field itself is built and FDE-configured now, with the Location packet.</w:t>
      </w:r>
    </w:p>
    <w:bookmarkEnd w:id="162"/>
    <w:bookmarkStart w:id="163" w:name="sync-rules"/>
    <w:p>
      <w:pPr>
        <w:pStyle w:val="Heading3"/>
      </w:pPr>
      <w:r>
        <w:t xml:space="preserve">8.4.3 Sync rules</w:t>
      </w:r>
    </w:p>
    <w:p>
      <w:pPr>
        <w:pStyle w:val="Compact"/>
        <w:numPr>
          <w:ilvl w:val="0"/>
          <w:numId w:val="1094"/>
        </w:numPr>
      </w:pPr>
      <w:r>
        <w:t xml:space="preserve">EasyEcom Location records and the Source-of-Truth Map are configured by the FDE during onboarding</w:t>
      </w:r>
    </w:p>
    <w:p>
      <w:pPr>
        <w:pStyle w:val="Compact"/>
        <w:numPr>
          <w:ilvl w:val="0"/>
          <w:numId w:val="1094"/>
        </w:numPr>
      </w:pPr>
      <w:r>
        <w:t xml:space="preserve">New EasyEcom locations created post-onboarding: detected on daily </w:t>
      </w:r>
      <w:r>
        <w:rPr>
          <w:rStyle w:val="VerbatimChar"/>
        </w:rPr>
        <w:t xml:space="preserve">/getAllLocation</w:t>
      </w:r>
      <w:r>
        <w:t xml:space="preserve"> pull; FDE alerted to map them (or to mark them not-relevant)</w:t>
      </w:r>
    </w:p>
    <w:p>
      <w:pPr>
        <w:pStyle w:val="Compact"/>
        <w:numPr>
          <w:ilvl w:val="0"/>
          <w:numId w:val="1094"/>
        </w:numPr>
      </w:pPr>
      <w:r>
        <w:t xml:space="preserve">Frappe Warehouses created post-onboarding: do NOT auto-create EE locations; FDE explicitly maps if needed</w:t>
      </w:r>
    </w:p>
    <w:p>
      <w:pPr>
        <w:pStyle w:val="Compact"/>
        <w:numPr>
          <w:ilvl w:val="0"/>
          <w:numId w:val="1094"/>
        </w:numPr>
      </w:pPr>
      <w:r>
        <w:t xml:space="preserve">De-mapping a warehouse (setting easyecom_location_key blank) is allowed only if no open operational documents reference the link</w:t>
      </w:r>
    </w:p>
    <w:bookmarkEnd w:id="163"/>
    <w:bookmarkStart w:id="164" w:name="partial-mapping-is-normal"/>
    <w:p>
      <w:pPr>
        <w:pStyle w:val="Heading3"/>
      </w:pPr>
      <w:r>
        <w:t xml:space="preserve">8.4.4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095"/>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095"/>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4"/>
    <w:bookmarkEnd w:id="165"/>
    <w:bookmarkStart w:id="173" w:name="Xd249ef054f1226ff435d902eaa475d3de248ff5"/>
    <w:p>
      <w:pPr>
        <w:pStyle w:val="Heading2"/>
      </w:pPr>
      <w:r>
        <w:t xml:space="preserve">8.5 Tax (EasyEcom Tax Rule → Item Tax Template mapping)</w:t>
      </w:r>
    </w:p>
    <w:p>
      <w:pPr>
        <w:pStyle w:val="FirstParagraph"/>
      </w:pPr>
      <w:r>
        <w:t xml:space="preserve">Tax mapping is critical for Sales Invoice creation (Sections 11, 12) and Purchase Receipt creation (Section 9) to apply correct GST. Without it, downstream invoices have wrong tax lines, ITC is mis-attributed, and reconciliation fails.</w:t>
      </w:r>
    </w:p>
    <w:bookmarkStart w:id="166" w:name="Xcde89ceefc40b18a3f46534417fd4bb2bd26425"/>
    <w:p>
      <w:pPr>
        <w:pStyle w:val="Heading3"/>
      </w:pPr>
      <w:r>
        <w:t xml:space="preserve">8.5.1 The EasyEcom tax reality (grounded in real payloads + the EE Tax Master)</w:t>
      </w:r>
    </w:p>
    <w:p>
      <w:pPr>
        <w:pStyle w:val="FirstParagraph"/>
      </w:pPr>
      <w:r>
        <w:t xml:space="preserve">EasyEcom has </w:t>
      </w:r>
      <w:r>
        <w:rPr>
          <w:bCs/>
          <w:b/>
        </w:rPr>
        <w:t xml:space="preserve">no separate tax-master API</w:t>
      </w:r>
      <w:r>
        <w:t xml:space="preserve">. Tax rules are configured in EasyEcom’s UI (Masters &gt;&gt; Tax Master) and attached per product. Tax therefore arrives </w:t>
      </w:r>
      <w:r>
        <w:rPr>
          <w:bCs/>
          <w:b/>
        </w:rPr>
        <w:t xml:space="preserve">inside the product payload</w:t>
      </w:r>
      <w:r>
        <w:t xml:space="preserve"> (</w:t>
      </w:r>
      <w:r>
        <w:rPr>
          <w:rStyle w:val="VerbatimChar"/>
        </w:rPr>
        <w:t xml:space="preserve">/Products/GetProductMaster</w:t>
      </w:r>
      <w:r>
        <w:t xml:space="preserve">), never from a standalone endpoint. Each product carries: - </w:t>
      </w:r>
      <w:r>
        <w:rPr>
          <w:rStyle w:val="VerbatimChar"/>
          <w:bCs/>
          <w:b/>
        </w:rPr>
        <w:t xml:space="preserve">tax_rule_name</w:t>
      </w:r>
      <w:r>
        <w:t xml:space="preserve"> — the name of the EE tax rule (e.g. </w:t>
      </w:r>
      <w:r>
        <w:rPr>
          <w:rStyle w:val="VerbatimChar"/>
        </w:rPr>
        <w:t xml:space="preserve">GST</w:t>
      </w:r>
      <w:r>
        <w:t xml:space="preserve">, </w:t>
      </w:r>
      <w:r>
        <w:rPr>
          <w:rStyle w:val="VerbatimChar"/>
        </w:rPr>
        <w:t xml:space="preserve">5</w:t>
      </w:r>
      <w:r>
        <w:t xml:space="preserve">, </w:t>
      </w:r>
      <w:r>
        <w:rPr>
          <w:rStyle w:val="VerbatimChar"/>
        </w:rPr>
        <w:t xml:space="preserve">tax_28%</w:t>
      </w:r>
      <w:r>
        <w:t xml:space="preserve">, </w:t>
      </w:r>
      <w:r>
        <w:rPr>
          <w:rStyle w:val="VerbatimChar"/>
        </w:rPr>
        <w:t xml:space="preserve">TAx Rule5</w:t>
      </w:r>
      <w:r>
        <w:t xml:space="preserve">, </w:t>
      </w:r>
      <w:r>
        <w:rPr>
          <w:rStyle w:val="VerbatimChar"/>
        </w:rPr>
        <w:t xml:space="preserve">GST-18</w:t>
      </w:r>
      <w:r>
        <w:t xml:space="preserve">). These names are arbitrary, human-typed, and </w:t>
      </w:r>
      <w:r>
        <w:rPr>
          <w:bCs/>
          <w:b/>
        </w:rPr>
        <w:t xml:space="preserve">not parseable</w:t>
      </w:r>
      <w:r>
        <w:t xml:space="preserve"> — a rule named </w:t>
      </w:r>
      <w:r>
        <w:rPr>
          <w:rStyle w:val="VerbatimChar"/>
        </w:rPr>
        <w:t xml:space="preserve">5</w:t>
      </w:r>
      <w:r>
        <w:t xml:space="preserve"> applies 5%, a rule named </w:t>
      </w:r>
      <w:r>
        <w:rPr>
          <w:rStyle w:val="VerbatimChar"/>
        </w:rPr>
        <w:t xml:space="preserve">GST</w:t>
      </w:r>
      <w:r>
        <w:t xml:space="preserve"> may apply 5% or 18% depending on price. The name is an </w:t>
      </w:r>
      <w:r>
        <w:rPr>
          <w:bCs/>
          <w:b/>
        </w:rPr>
        <w:t xml:space="preserve">opaque key only</w:t>
      </w:r>
      <w:r>
        <w:t xml:space="preserve">. - </w:t>
      </w:r>
      <w:r>
        <w:rPr>
          <w:rStyle w:val="VerbatimChar"/>
          <w:bCs/>
          <w:b/>
        </w:rPr>
        <w:t xml:space="preserve">tax_rate</w:t>
      </w:r>
      <w:r>
        <w:t xml:space="preserve"> — the </w:t>
      </w:r>
      <w:r>
        <w:rPr>
          <w:bCs/>
          <w:b/>
        </w:rPr>
        <w:t xml:space="preserve">resolved</w:t>
      </w:r>
      <w:r>
        <w:t xml:space="preserve"> decimal rate EE applied for that product (e.g. </w:t>
      </w:r>
      <w:r>
        <w:rPr>
          <w:rStyle w:val="VerbatimChar"/>
        </w:rPr>
        <w:t xml:space="preserve">0.18</w:t>
      </w:r>
      <w:r>
        <w:t xml:space="preserve">). For a slab rule, EE has already evaluated the slab; this is the resolved answer, not the rule definition. - </w:t>
      </w:r>
      <w:r>
        <w:rPr>
          <w:rStyle w:val="VerbatimChar"/>
          <w:bCs/>
          <w:b/>
        </w:rPr>
        <w:t xml:space="preserve">cess</w:t>
      </w:r>
      <w:r>
        <w:t xml:space="preserve"> — per-product cess (in the order payload), separate from the rule. - </w:t>
      </w:r>
      <w:r>
        <w:rPr>
          <w:rStyle w:val="VerbatimChar"/>
          <w:bCs/>
          <w:b/>
        </w:rPr>
        <w:t xml:space="preserve">hsn_code</w:t>
      </w:r>
      <w:r>
        <w:t xml:space="preserve"> — the product’s HSN.</w:t>
      </w:r>
    </w:p>
    <w:p>
      <w:pPr>
        <w:pStyle w:val="BodyText"/>
      </w:pPr>
      <w:r>
        <w:t xml:space="preserve">An EE tax rule (from the Tax Master) is </w:t>
      </w:r>
      <w:r>
        <w:rPr>
          <w:bCs/>
          <w:b/>
        </w:rPr>
        <w:t xml:space="preserve">HSN or Non-HSN</w:t>
      </w:r>
      <w:r>
        <w:t xml:space="preserve">, calculated on Unit or Selling Price, and may define </w:t>
      </w:r>
      <w:r>
        <w:rPr>
          <w:bCs/>
          <w:b/>
        </w:rPr>
        <w:t xml:space="preserve">price slabs</w:t>
      </w:r>
      <w:r>
        <w:t xml:space="preserve">: Min/Max value ranges each with a GST rate (e.g. rule </w:t>
      </w:r>
      <w:r>
        <w:rPr>
          <w:rStyle w:val="VerbatimChar"/>
        </w:rPr>
        <w:t xml:space="preserve">GST</w:t>
      </w:r>
      <w:r>
        <w:t xml:space="preserve"> = 0–2500 → 5%, 2500+ → 18%). A blank Max means a uniform rate. The slab structure lives </w:t>
      </w:r>
      <w:r>
        <w:rPr>
          <w:bCs/>
          <w:b/>
        </w:rPr>
        <w:t xml:space="preserve">only in EE’s UI</w:t>
      </w:r>
      <w:r>
        <w:t xml:space="preserve"> — there is no API to read it.</w:t>
      </w:r>
    </w:p>
    <w:bookmarkEnd w:id="166"/>
    <w:bookmarkStart w:id="167" w:name="erpnext-supports-price-slabs-natively"/>
    <w:p>
      <w:pPr>
        <w:pStyle w:val="Heading3"/>
      </w:pPr>
      <w:r>
        <w:t xml:space="preserve">8.5.2 ERPNext supports price slabs natively</w:t>
      </w:r>
    </w:p>
    <w:p>
      <w:pPr>
        <w:pStyle w:val="FirstParagraph"/>
      </w:pPr>
      <w:r>
        <w:t xml:space="preserve">ERPNext’s Item </w:t>
      </w:r>
      <w:r>
        <w:rPr>
          <w:bCs/>
          <w:b/>
        </w:rPr>
        <w:t xml:space="preserve">Taxes</w:t>
      </w:r>
      <w:r>
        <w:t xml:space="preserve"> child table (the Item Tax tab) has native </w:t>
      </w:r>
      <w:r>
        <w:rPr>
          <w:bCs/>
          <w:b/>
        </w:rPr>
        <w:t xml:space="preserve">Minimum Net Rate</w:t>
      </w:r>
      <w:r>
        <w:t xml:space="preserve"> and </w:t>
      </w:r>
      <w:r>
        <w:rPr>
          <w:bCs/>
          <w:b/>
        </w:rPr>
        <w:t xml:space="preserve">Maximum Net Rate</w:t>
      </w:r>
      <w:r>
        <w:t xml:space="preserve"> columns per row. This means a price-slab tax maps directly onto an item: one Taxes row per band (e.g. </w:t>
      </w:r>
      <w:r>
        <w:rPr>
          <w:rStyle w:val="VerbatimChar"/>
        </w:rPr>
        <w:t xml:space="preserve">GST 5%</w:t>
      </w:r>
      <w:r>
        <w:t xml:space="preserve"> [0–2500], </w:t>
      </w:r>
      <w:r>
        <w:rPr>
          <w:rStyle w:val="VerbatimChar"/>
        </w:rPr>
        <w:t xml:space="preserve">GST 18%</w:t>
      </w:r>
      <w:r>
        <w:t xml:space="preserve"> [2500+]), and </w:t>
      </w:r>
      <w:r>
        <w:rPr>
          <w:bCs/>
          <w:b/>
        </w:rPr>
        <w:t xml:space="preserve">ERPNext resolves the correct band by net rate natively at invoice time</w:t>
      </w:r>
      <w:r>
        <w:t xml:space="preserve">. The integration therefore never replicates slab logic — it populates the item’s native Taxes rows and lets ERPNext resolve. A flat rule is just a single Taxes row with blank min/max.</w:t>
      </w:r>
    </w:p>
    <w:bookmarkEnd w:id="167"/>
    <w:bookmarkStart w:id="168" w:name="the-easyecom-tax-rule-map-doctype-31.2.x"/>
    <w:p>
      <w:pPr>
        <w:pStyle w:val="Heading3"/>
      </w:pPr>
      <w:r>
        <w:t xml:space="preserve">8.5.3 The EasyEcom Tax Rule Map DocType (§31.2.x)</w:t>
      </w:r>
    </w:p>
    <w:p>
      <w:pPr>
        <w:pStyle w:val="FirstParagraph"/>
      </w:pPr>
      <w:r>
        <w:t xml:space="preserve">An FDE-configured mapping, </w:t>
      </w:r>
      <w:r>
        <w:rPr>
          <w:bCs/>
          <w:b/>
        </w:rPr>
        <w:t xml:space="preserve">one document per (tax_rule_name, company)</w:t>
      </w:r>
      <w:r>
        <w:t xml:space="preserve">: - </w:t>
      </w:r>
      <w:r>
        <w:rPr>
          <w:rStyle w:val="VerbatimChar"/>
        </w:rPr>
        <w:t xml:space="preserve">tax_rule_name</w:t>
      </w:r>
      <w:r>
        <w:t xml:space="preserve"> (Data) — the EE rule name (the opaque key from the payload) - </w:t>
      </w:r>
      <w:r>
        <w:rPr>
          <w:rStyle w:val="VerbatimChar"/>
        </w:rPr>
        <w:t xml:space="preserve">company</w:t>
      </w:r>
      <w:r>
        <w:t xml:space="preserve"> (Link → Company) — the document is scoped to one company - Natural key / unique: </w:t>
      </w:r>
      <w:r>
        <w:rPr>
          <w:bCs/>
          <w:b/>
        </w:rPr>
        <w:t xml:space="preserve">(tax_rule_name, company)</w:t>
      </w:r>
      <w:r>
        <w:t xml:space="preserve"> - </w:t>
      </w:r>
      <w:r>
        <w:rPr>
          <w:rStyle w:val="VerbatimChar"/>
        </w:rPr>
        <w:t xml:space="preserve">taxes</w:t>
      </w:r>
      <w:r>
        <w:t xml:space="preserve"> — child table </w:t>
      </w:r>
      <w:r>
        <w:rPr>
          <w:bCs/>
          <w:b/>
        </w:rPr>
        <w:t>reusing ERPNext’s native “Item Tax” child DocType</w:t>
      </w:r>
      <w:r>
        <w:t xml:space="preserve"> (item_tax_template, tax_category, valid_from, minimum_net_rate, maximum_net_rate). Holds </w:t>
      </w:r>
      <w:r>
        <w:rPr>
          <w:bCs/>
          <w:b/>
        </w:rPr>
        <w:t xml:space="preserve">only this company’s</w:t>
      </w:r>
      <w:r>
        <w:t xml:space="preserve"> Item Tax Templates. One row for a flat rule; multiple banded rows for a slab rule. The FDE picks real templates from the dropdown and enters the bands, reading the slab structure from EE’s Tax Master UI (no API to pull it).</w:t>
      </w:r>
    </w:p>
    <w:p>
      <w:pPr>
        <w:pStyle w:val="BodyText"/>
      </w:pPr>
      <w:r>
        <w:t xml:space="preserve">Because the child rows hold actual company-specific Item Tax Templates (e.g. </w:t>
      </w:r>
      <w:r>
        <w:rPr>
          <w:rStyle w:val="VerbatimChar"/>
        </w:rPr>
        <w:t xml:space="preserve">GST 18% - OTC</w:t>
      </w:r>
      <w:r>
        <w:t xml:space="preserve">), there is </w:t>
      </w:r>
      <w:r>
        <w:rPr>
          <w:bCs/>
          <w:b/>
        </w:rPr>
        <w:t xml:space="preserve">no rate→name parsing</w:t>
      </w:r>
      <w:r>
        <w:t xml:space="preserve"> — the FDE selects the real template. The document being per-company means opening “GST / OTC” shows only OTC’s rows.</w:t>
      </w:r>
    </w:p>
    <w:bookmarkEnd w:id="168"/>
    <w:bookmarkStart w:id="169" w:name="X8f06d8579170c1b239e6e49afaaca34235cc5e9"/>
    <w:p>
      <w:pPr>
        <w:pStyle w:val="Heading3"/>
      </w:pPr>
      <w:r>
        <w:t xml:space="preserve">8.5.4 The resolver (8c-owned; called by Item sync, §8.1 / 8d)</w:t>
      </w:r>
    </w:p>
    <w:p>
      <w:pPr>
        <w:pStyle w:val="FirstParagraph"/>
      </w:pPr>
      <w:r>
        <w:rPr>
          <w:rStyle w:val="VerbatimChar"/>
        </w:rPr>
        <w:t xml:space="preserve">resolve_and_stamp_tax(item, product)</w:t>
      </w:r>
      <w:r>
        <w:t xml:space="preserve">: 1. Read </w:t>
      </w:r>
      <w:r>
        <w:rPr>
          <w:rStyle w:val="VerbatimChar"/>
        </w:rPr>
        <w:t xml:space="preserve">product.tax_rule_name</w:t>
      </w:r>
      <w:r>
        <w:t xml:space="preserve"> and the item’s company. 2. Look up the Tax Rule Map document for </w:t>
      </w:r>
      <w:r>
        <w:rPr>
          <w:bCs/>
          <w:b/>
        </w:rPr>
        <w:t xml:space="preserve">(tax_rule_name, company)</w:t>
      </w:r>
      <w:r>
        <w:t xml:space="preserve">. 3. </w:t>
      </w:r>
      <w:r>
        <w:rPr>
          <w:bCs/>
          <w:b/>
        </w:rPr>
        <w:t xml:space="preserve">Stamp</w:t>
      </w:r>
      <w:r>
        <w:t xml:space="preserve"> that document’s </w:t>
      </w:r>
      <w:r>
        <w:rPr>
          <w:rStyle w:val="VerbatimChar"/>
        </w:rPr>
        <w:t xml:space="preserve">taxes</w:t>
      </w:r>
      <w:r>
        <w:t xml:space="preserve"> rows (template + min/max band) onto the item’s native Taxes table. ERPNext resolves the band at invoice time. 4. </w:t>
      </w:r>
      <w:r>
        <w:rPr>
          <w:bCs/>
          <w:b/>
        </w:rPr>
        <w:t xml:space="preserve">Reconciliation:</w:t>
      </w:r>
      <w:r>
        <w:t xml:space="preserve"> check the product’s resolved </w:t>
      </w:r>
      <w:r>
        <w:rPr>
          <w:rStyle w:val="VerbatimChar"/>
        </w:rPr>
        <w:t xml:space="preserve">tax_rate</w:t>
      </w:r>
      <w:r>
        <w:t xml:space="preserve"> falls within a mapped band; a mismatch raises a Discrepancy (catches a mis-entered band or a changed EE rule). 5. </w:t>
      </w:r>
      <w:r>
        <w:rPr>
          <w:bCs/>
          <w:b/>
        </w:rPr>
        <w:t xml:space="preserve">CESS</w:t>
      </w:r>
      <w:r>
        <w:t xml:space="preserve"> is applied to the item from the product’s own </w:t>
      </w:r>
      <w:r>
        <w:rPr>
          <w:rStyle w:val="VerbatimChar"/>
        </w:rPr>
        <w:t xml:space="preserve">cess</w:t>
      </w:r>
      <w:r>
        <w:t xml:space="preserve"> value — outside this map. 6. </w:t>
      </w:r>
      <w:r>
        <w:rPr>
          <w:bCs/>
          <w:b/>
        </w:rPr>
        <w:t xml:space="preserve">Unmapped (tax_rule_name, company):</w:t>
      </w:r>
      <w:r>
        <w:t xml:space="preserve"> if no document exists, </w:t>
      </w:r>
      <w:r>
        <w:rPr>
          <w:bCs/>
          <w:b/>
        </w:rPr>
        <w:t xml:space="preserve">auto-create one in workflow state To Configure</w:t>
      </w:r>
      <w:r>
        <w:t xml:space="preserve"> and flag the FDE (the “discovered → needs config” pattern). The item’s tax is not silently defaulted; the missing mapping is a visible FDE task.</w:t>
      </w:r>
    </w:p>
    <w:bookmarkEnd w:id="169"/>
    <w:bookmarkStart w:id="170" w:name="fde-workflow"/>
    <w:p>
      <w:pPr>
        <w:pStyle w:val="Heading3"/>
      </w:pPr>
      <w:r>
        <w:t xml:space="preserve">8.5.5 FDE workflow</w:t>
      </w:r>
    </w:p>
    <w:p>
      <w:pPr>
        <w:pStyle w:val="FirstParagraph"/>
      </w:pPr>
      <w:r>
        <w:t xml:space="preserve">A Frappe Workflow (shipped as a fixture, reusing the 8a/8b pattern) on the Tax Rule Map: </w:t>
      </w:r>
      <w:r>
        <w:rPr>
          <w:bCs/>
          <w:b/>
        </w:rPr>
        <w:t xml:space="preserve">To Configure → Configured</w:t>
      </w:r>
      <w:r>
        <w:t xml:space="preserve">, branch </w:t>
      </w:r>
      <w:r>
        <w:rPr>
          <w:bCs/>
          <w:b/>
        </w:rPr>
        <w:t xml:space="preserve">Ignored</w:t>
      </w:r>
      <w:r>
        <w:t xml:space="preserve">. The Configure transition is gated on the </w:t>
      </w:r>
      <w:r>
        <w:rPr>
          <w:rStyle w:val="VerbatimChar"/>
        </w:rPr>
        <w:t xml:space="preserve">taxes</w:t>
      </w:r>
      <w:r>
        <w:t xml:space="preserve"> table being non-empty. New (rule, company) pairs auto-appear in </w:t>
      </w:r>
      <w:r>
        <w:rPr>
          <w:bCs/>
          <w:b/>
        </w:rPr>
        <w:t xml:space="preserve">To Configure</w:t>
      </w:r>
      <w:r>
        <w:t xml:space="preserve"> when Item sync encounters an unmapped one; the FDE may also pre-create them from EE’s Tax Master before syncing items. “Configured” means the FDE has set up that (rule, company); per-company completeness (a company with no rows for a rule) surfaces at stamp time as an FDE task, not via the workflow.</w:t>
      </w:r>
    </w:p>
    <w:bookmarkEnd w:id="170"/>
    <w:bookmarkStart w:id="171" w:name="build-order"/>
    <w:p>
      <w:pPr>
        <w:pStyle w:val="Heading3"/>
      </w:pPr>
      <w:r>
        <w:t xml:space="preserve">8.5.6 Build order</w:t>
      </w:r>
    </w:p>
    <w:p>
      <w:pPr>
        <w:pStyle w:val="FirstParagraph"/>
      </w:pPr>
      <w:r>
        <w:t xml:space="preserve">Tax (8c) is built </w:t>
      </w:r>
      <w:r>
        <w:rPr>
          <w:bCs/>
          <w:b/>
        </w:rPr>
        <w:t xml:space="preserve">before</w:t>
      </w:r>
      <w:r>
        <w:t xml:space="preserve"> Item (8d): the resolver and the map must exist for Item sync to stamp correct tax. 8c owns the DocType, the workflow, and the resolver; 8d calls the resolver. The standard GST-rate Item Tax Templates (</w:t>
      </w:r>
      <w:r>
        <w:rPr>
          <w:rStyle w:val="VerbatimChar"/>
        </w:rPr>
        <w:t xml:space="preserve">GST 5/12/18/28% - {abbr}</w:t>
      </w:r>
      <w:r>
        <w:t xml:space="preserve">, </w:t>
      </w:r>
      <w:r>
        <w:rPr>
          <w:rStyle w:val="VerbatimChar"/>
        </w:rPr>
        <w:t xml:space="preserve">Exempted</w:t>
      </w:r>
      <w:r>
        <w:t xml:space="preserve">) are ERPNext/India-Compliance natives the FDE selects from; 8c does not create templates.</w:t>
      </w:r>
    </w:p>
    <w:bookmarkEnd w:id="171"/>
    <w:bookmarkStart w:id="172" w:name="failure-modes"/>
    <w:p>
      <w:pPr>
        <w:pStyle w:val="Heading3"/>
      </w:pPr>
      <w:r>
        <w:t xml:space="preserve">8.5.7 Failure modes</w:t>
      </w:r>
    </w:p>
    <w:p>
      <w:pPr>
        <w:pStyle w:val="Compact"/>
        <w:numPr>
          <w:ilvl w:val="0"/>
          <w:numId w:val="1096"/>
        </w:numPr>
      </w:pPr>
      <w:r>
        <w:rPr>
          <w:bCs/>
          <w:b/>
        </w:rPr>
        <w:t xml:space="preserve">Unmapped (tax_rule_name, company):</w:t>
      </w:r>
      <w:r>
        <w:t xml:space="preserve"> auto-creates a To-Configure Tax Rule Map doc; FDE alerted; item tax not silently defaulted.</w:t>
      </w:r>
    </w:p>
    <w:p>
      <w:pPr>
        <w:pStyle w:val="Compact"/>
        <w:numPr>
          <w:ilvl w:val="0"/>
          <w:numId w:val="1096"/>
        </w:numPr>
      </w:pPr>
      <w:r>
        <w:rPr>
          <w:bCs/>
          <w:b/>
        </w:rPr>
        <w:t xml:space="preserve">Item’s company has no rows for its rule</w:t>
      </w:r>
      <w:r>
        <w:t xml:space="preserve"> (rule mapped for other companies but not this one): resolver finds nothing to stamp → FDE task.</w:t>
      </w:r>
    </w:p>
    <w:p>
      <w:pPr>
        <w:pStyle w:val="Compact"/>
        <w:numPr>
          <w:ilvl w:val="0"/>
          <w:numId w:val="1096"/>
        </w:numPr>
      </w:pPr>
      <w:r>
        <w:rPr>
          <w:bCs/>
          <w:b/>
        </w:rPr>
        <w:t xml:space="preserve">Resolved </w:t>
      </w:r>
      <w:r>
        <w:rPr>
          <w:rStyle w:val="VerbatimChar"/>
          <w:bCs/>
          <w:b/>
        </w:rPr>
        <w:t xml:space="preserve">tax_rate</w:t>
      </w:r>
      <w:r>
        <w:rPr>
          <w:bCs/>
          <w:b/>
        </w:rPr>
        <w:t xml:space="preserve"> outside all mapped bands:</w:t>
      </w:r>
      <w:r>
        <w:t xml:space="preserve"> Discrepancy raised (mis-entered band or changed EE rule).</w:t>
      </w:r>
    </w:p>
    <w:p>
      <w:pPr>
        <w:pStyle w:val="Compact"/>
        <w:numPr>
          <w:ilvl w:val="0"/>
          <w:numId w:val="1096"/>
        </w:numPr>
      </w:pPr>
      <w:r>
        <w:rPr>
          <w:bCs/>
          <w:b/>
        </w:rPr>
        <w:t xml:space="preserve">Item with no HSN:</w:t>
      </w:r>
      <w:r>
        <w:t xml:space="preserve"> flagged per India Compliance requirements (HSN is required for GST documents); handled in Item sync (8d).</w:t>
      </w:r>
    </w:p>
    <w:bookmarkEnd w:id="172"/>
    <w:bookmarkEnd w:id="173"/>
    <w:bookmarkStart w:id="177"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74"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 It is FDE-set (EasyEcom supplies no grouping), blank by default.</w:t>
      </w:r>
    </w:p>
    <w:p>
      <w:pPr>
        <w:pStyle w:val="BodyText"/>
      </w:pPr>
      <w:r>
        <w:t xml:space="preserve">A Frappe Workflow is attached to this DocType (shipped as a fixture, reusing the 8a Location pattern), adding the standard </w:t>
      </w:r>
      <w:r>
        <w:rPr>
          <w:rStyle w:val="VerbatimChar"/>
        </w:rPr>
        <w:t xml:space="preserve">workflow_state</w:t>
      </w:r>
      <w:r>
        <w:t xml:space="preserve"> field with states </w:t>
      </w:r>
      <w:r>
        <w:rPr>
          <w:bCs/>
          <w:b/>
        </w:rPr>
        <w:t xml:space="preserve">Unclassified → Classified → Active</w:t>
      </w:r>
      <w:r>
        <w:t xml:space="preserve">, branch </w:t>
      </w:r>
      <w:r>
        <w:rPr>
          <w:bCs/>
          <w:b/>
        </w:rPr>
        <w:t xml:space="preserve">Ignored</w:t>
      </w:r>
      <w:r>
        <w:t xml:space="preserve">. Discovery creates new rows in </w:t>
      </w:r>
      <w:r>
        <w:rPr>
          <w:bCs/>
          <w:b/>
        </w:rPr>
        <w:t xml:space="preserve">Unclassified</w:t>
      </w:r>
      <w:r>
        <w:t xml:space="preserve">; the Classify transition is gated on </w:t>
      </w:r>
      <w:r>
        <w:rPr>
          <w:rStyle w:val="VerbatimChar"/>
        </w:rPr>
        <w:t xml:space="preserve">channel_type</w:t>
      </w:r>
      <w:r>
        <w:t xml:space="preserve"> being set; </w:t>
      </w:r>
      <w:r>
        <w:rPr>
          <w:rStyle w:val="VerbatimChar"/>
        </w:rPr>
        <w:t xml:space="preserve">is_active</w:t>
      </w:r>
      <w:r>
        <w:t xml:space="preserve"> (EE’s pulled integration status) is a separate axis from the workflow state (see §8.6.3).</w:t>
      </w:r>
    </w:p>
    <w:bookmarkEnd w:id="174"/>
    <w:bookmarkStart w:id="175" w:name="Xc2c975649c09c725c9c1fdd99025354010c76e2"/>
    <w:p>
      <w:pPr>
        <w:pStyle w:val="Heading3"/>
      </w:pPr>
      <w:r>
        <w:t xml:space="preserve">8.6.2 Marketplace Account DocType (deferred to reconciliation)</w:t>
      </w:r>
    </w:p>
    <w:p>
      <w:pPr>
        <w:pStyle w:val="FirstParagraph"/>
      </w:pPr>
      <w:r>
        <w:t xml:space="preserve">Per (Company, Marketplace channel) — holds seller_id, GSTIN, default_warehouse, settlement_template, rate_card_subscriptions. Composite unique key (company, marketplace, marketplace_seller_id).</w:t>
      </w:r>
    </w:p>
    <w:p>
      <w:pPr>
        <w:pStyle w:val="BlockText"/>
      </w:pPr>
      <w:r>
        <w:rPr>
          <w:bCs/>
          <w:b/>
        </w:rPr>
        <w:t xml:space="preserve">Build timing: NOT part of the Channel packet (8b).</w:t>
      </w:r>
      <w:r>
        <w:t xml:space="preserve"> Every field here — seller_id, GSTIN, settlement_template, rate_card_subscriptions — is a </w:t>
      </w:r>
      <w:r>
        <w:rPr>
          <w:iCs/>
          <w:i/>
        </w:rPr>
        <w:t xml:space="preserve">settlement/reconciliation</w:t>
      </w:r>
      <w:r>
        <w:t xml:space="preserve"> concern, not a channel-discovery concern. The Marketplace Account is therefore built when reconciliation/settlement is built (it is consumed by the settlement and B2B-invoicing flows, §11/§13, and the reco engine), not when the channel list is first pulled. 8b builds only the flat Marketplace channel list + the FDE classification workflow + the optional reporting_parent rollup. See the reconciliation/settlement sections (§11, §13) where this DocType is configured and consumed.</w:t>
      </w:r>
    </w:p>
    <w:bookmarkEnd w:id="175"/>
    <w:bookmarkStart w:id="176" w:name="sync"/>
    <w:p>
      <w:pPr>
        <w:pStyle w:val="Heading3"/>
      </w:pPr>
      <w:r>
        <w:t xml:space="preserve">8.6.3 Sync</w:t>
      </w:r>
    </w:p>
    <w:p>
      <w:pPr>
        <w:pStyle w:val="Compact"/>
        <w:numPr>
          <w:ilvl w:val="0"/>
          <w:numId w:val="1097"/>
        </w:numPr>
      </w:pPr>
      <w:r>
        <w:t xml:space="preserve">Channels are read from EasyEcom via </w:t>
      </w:r>
      <w:r>
        <w:rPr>
          <w:rStyle w:val="VerbatimChar"/>
          <w:bCs/>
          <w:b/>
        </w:rPr>
        <w:t xml:space="preserve">GET /current-channel-status</w:t>
      </w:r>
      <w:r>
        <w:t xml:space="preserve"> — confirmed live; returns, </w:t>
      </w:r>
      <w:r>
        <w:rPr>
          <w:bCs/>
          <w:b/>
        </w:rPr>
        <w:t xml:space="preserve">for one location</w:t>
      </w:r>
      <w:r>
        <w:t xml:space="preserve">, the channels integrated on that location, each with </w:t>
      </w:r>
      <w:r>
        <w:rPr>
          <w:rStyle w:val="VerbatimChar"/>
        </w:rPr>
        <w:t xml:space="preserve">marketplace_name</w:t>
      </w:r>
      <w:r>
        <w:t xml:space="preserve">, </w:t>
      </w:r>
      <w:r>
        <w:rPr>
          <w:rStyle w:val="VerbatimChar"/>
        </w:rPr>
        <w:t xml:space="preserve">marketplace_id</w:t>
      </w:r>
      <w:r>
        <w:t xml:space="preserve">, and a </w:t>
      </w:r>
      <w:r>
        <w:rPr>
          <w:rStyle w:val="VerbatimChar"/>
        </w:rPr>
        <w:t xml:space="preserve">status</w:t>
      </w:r>
      <w:r>
        <w:t xml:space="preserve"> of Active/Inactive. (Earlier drafts also assumed a </w:t>
      </w:r>
      <w:r>
        <w:rPr>
          <w:rStyle w:val="VerbatimChar"/>
        </w:rPr>
        <w:t xml:space="preserve">/marketplaces/list</w:t>
      </w:r>
      <w:r>
        <w:t xml:space="preserve"> “full catalogue” endpoint; it is </w:t>
      </w:r>
      <w:r>
        <w:rPr>
          <w:bCs/>
          <w:b/>
        </w:rPr>
        <w:t xml:space="preserve">not used</w:t>
      </w:r>
      <w:r>
        <w:t xml:space="preserve"> — </w:t>
      </w:r>
      <w:r>
        <w:rPr>
          <w:rStyle w:val="VerbatimChar"/>
        </w:rPr>
        <w:t xml:space="preserve">/current-channel-status</w:t>
      </w:r>
      <w:r>
        <w:t xml:space="preserve"> is sufficient.)</w:t>
      </w:r>
    </w:p>
    <w:p>
      <w:pPr>
        <w:pStyle w:val="Compact"/>
        <w:numPr>
          <w:ilvl w:val="0"/>
          <w:numId w:val="1097"/>
        </w:numPr>
      </w:pPr>
      <w:r>
        <w:rPr>
          <w:bCs/>
          <w:b/>
        </w:rPr>
        <w:t xml:space="preserve">This is a per-location call, NOT account-scoped.</w:t>
      </w:r>
      <w:r>
        <w:t xml:space="preserve"> The JWT is per-location (§3), and </w:t>
      </w:r>
      <w:r>
        <w:rPr>
          <w:rStyle w:val="VerbatimChar"/>
        </w:rPr>
        <w:t xml:space="preserve">/current-channel-status</w:t>
      </w:r>
      <w:r>
        <w:t xml:space="preserve"> answers </w:t>
      </w:r>
      <w:r>
        <w:rPr>
          <w:iCs/>
          <w:i/>
        </w:rPr>
        <w:t xml:space="preserve">for the location whose JWT is used</w:t>
      </w:r>
      <w:r>
        <w:t xml:space="preserve">. So channel discovery is a </w:t>
      </w:r>
      <w:r>
        <w:rPr>
          <w:bCs/>
          <w:b/>
        </w:rPr>
        <w:t xml:space="preserve">sweep over locations</w:t>
      </w:r>
      <w:r>
        <w:t xml:space="preserve">, not a single foundational call:</w:t>
      </w:r>
    </w:p>
    <w:p>
      <w:pPr>
        <w:pStyle w:val="Compact"/>
        <w:numPr>
          <w:ilvl w:val="1"/>
          <w:numId w:val="1098"/>
        </w:numPr>
      </w:pPr>
      <w:r>
        <w:t xml:space="preserve">Poll </w:t>
      </w:r>
      <w:r>
        <w:rPr>
          <w:rStyle w:val="VerbatimChar"/>
        </w:rPr>
        <w:t xml:space="preserve">/current-channel-status</w:t>
      </w:r>
      <w:r>
        <w:t xml:space="preserve"> for </w:t>
      </w:r>
      <w:r>
        <w:rPr>
          <w:bCs/>
          <w:b/>
        </w:rPr>
        <w:t xml:space="preserve">every discovered EasyEcom Location</w:t>
      </w:r>
      <w:r>
        <w:t xml:space="preserve"> — </w:t>
      </w:r>
      <w:r>
        <w:rPr>
          <w:iCs/>
          <w:i/>
        </w:rPr>
        <w:t xml:space="preserve">all</w:t>
      </w:r>
      <w:r>
        <w:t xml:space="preserve"> of them, regardless of mapping state (To Map, Mapped but not Live, Live, Skipped). The channel catalogue must be complete, and a channel can be live on a location the FDE hasn’t mapped yet, so polling only mapped/Live locations would miss channels. A JWT can be acquired for any discovered </w:t>
      </w:r>
      <w:r>
        <w:rPr>
          <w:rStyle w:val="VerbatimChar"/>
        </w:rPr>
        <w:t xml:space="preserve">location_key</w:t>
      </w:r>
      <w:r>
        <w:t xml:space="preserve"> (mapping to a Company is our bookkeeping; the JWT is EE-side auth for the location_key), so every location is pollable.</w:t>
      </w:r>
    </w:p>
    <w:p>
      <w:pPr>
        <w:pStyle w:val="Compact"/>
        <w:numPr>
          <w:ilvl w:val="1"/>
          <w:numId w:val="1098"/>
        </w:numPr>
      </w:pPr>
      <w:r>
        <w:t xml:space="preserve">Each location’s call is an operational, per-location call (uses that location’s JWT), </w:t>
      </w:r>
      <w:r>
        <w:rPr>
          <w:bCs/>
          <w:b/>
        </w:rPr>
        <w:t xml:space="preserve">wrapped in the per-record savepoint helper</w:t>
      </w:r>
      <w:r>
        <w:t xml:space="preserve"> (§7.1, built in 8a) so one location’s failure — e.g. a JWT problem — does not abort the whole sweep; that location is recorded Failed and the rest continue.</w:t>
      </w:r>
    </w:p>
    <w:p>
      <w:pPr>
        <w:pStyle w:val="Compact"/>
        <w:numPr>
          <w:ilvl w:val="0"/>
          <w:numId w:val="1097"/>
        </w:numPr>
      </w:pPr>
      <w:r>
        <w:rPr>
          <w:bCs/>
          <w:b/>
        </w:rPr>
        <w:t xml:space="preserve">Union and dedupe by </w:t>
      </w:r>
      <w:r>
        <w:rPr>
          <w:rStyle w:val="VerbatimChar"/>
          <w:bCs/>
          <w:b/>
        </w:rPr>
        <w:t xml:space="preserve">marketplace_id</w:t>
      </w:r>
      <w:r>
        <w:rPr>
          <w:bCs/>
          <w:b/>
        </w:rPr>
        <w:t xml:space="preserve">.</w:t>
      </w:r>
      <w:r>
        <w:t xml:space="preserve"> The same channel (e.g. Flipkart, </w:t>
      </w:r>
      <w:r>
        <w:rPr>
          <w:rStyle w:val="VerbatimChar"/>
        </w:rPr>
        <w:t xml:space="preserve">marketplace_id</w:t>
      </w:r>
      <w:r>
        <w:t xml:space="preserve"> 2) appears across many locations’ responses. The channel’s identity is </w:t>
      </w:r>
      <w:r>
        <w:rPr>
          <w:bCs/>
          <w:b/>
        </w:rPr>
        <w:t xml:space="preserve">account-level</w:t>
      </w:r>
      <w:r>
        <w:t xml:space="preserve">: one Marketplace row per </w:t>
      </w:r>
      <w:r>
        <w:rPr>
          <w:rStyle w:val="VerbatimChar"/>
        </w:rPr>
        <w:t xml:space="preserve">marketplace_id</w:t>
      </w:r>
      <w:r>
        <w:t xml:space="preserve">. </w:t>
      </w:r>
      <w:r>
        <w:rPr>
          <w:bCs/>
          <w:b/>
        </w:rPr>
        <w:t xml:space="preserve">If a Marketplace row for that </w:t>
      </w:r>
      <w:r>
        <w:rPr>
          <w:rStyle w:val="VerbatimChar"/>
          <w:bCs/>
          <w:b/>
        </w:rPr>
        <w:t xml:space="preserve">marketplace_id</w:t>
      </w:r>
      <w:r>
        <w:rPr>
          <w:bCs/>
          <w:b/>
        </w:rPr>
        <w:t xml:space="preserve"> already exists, skip creating it</w:t>
      </w:r>
      <w:r>
        <w:t xml:space="preserve"> (dedupe) — do not create per-location duplicates. New </w:t>
      </w:r>
      <w:r>
        <w:rPr>
          <w:rStyle w:val="VerbatimChar"/>
        </w:rPr>
        <w:t xml:space="preserve">marketplace_id</w:t>
      </w:r>
      <w:r>
        <w:t xml:space="preserve">s are created (in workflow state Unclassified).</w:t>
      </w:r>
    </w:p>
    <w:p>
      <w:pPr>
        <w:pStyle w:val="Compact"/>
        <w:numPr>
          <w:ilvl w:val="0"/>
          <w:numId w:val="1097"/>
        </w:numPr>
      </w:pPr>
      <w:r>
        <w:rPr>
          <w:rStyle w:val="VerbatimChar"/>
          <w:bCs/>
          <w:b/>
        </w:rPr>
        <w:t xml:space="preserve">is_active</w:t>
      </w:r>
      <w:r>
        <w:rPr>
          <w:bCs/>
          <w:b/>
        </w:rPr>
        <w:t xml:space="preserve"> is catalogue-level: a channel is Active if it is Active on </w:t>
      </w:r>
      <w:r>
        <w:rPr>
          <w:iCs/>
          <w:i/>
          <w:bCs/>
          <w:b/>
        </w:rPr>
        <w:t xml:space="preserve">any</w:t>
      </w:r>
      <w:r>
        <w:rPr>
          <w:bCs/>
          <w:b/>
        </w:rPr>
        <w:t xml:space="preserve"> location.</w:t>
      </w:r>
      <w:r>
        <w:t xml:space="preserve"> Per-location channel status (Flipkart active on location A, inactive on B) is not tracked as distinct data in this packet; if a later flow needs per-location channel availability, it is added then. For the channel master, “exists and is live somewhere” is the granularity.</w:t>
      </w:r>
    </w:p>
    <w:p>
      <w:pPr>
        <w:pStyle w:val="Compact"/>
        <w:numPr>
          <w:ilvl w:val="0"/>
          <w:numId w:val="1097"/>
        </w:numPr>
      </w:pPr>
      <w:r>
        <w:rPr>
          <w:bCs/>
          <w:b/>
        </w:rPr>
        <w:t xml:space="preserve">The payload→Marketplace translation goes through the Field Mapping engine</w:t>
      </w:r>
      <w:r>
        <w:t xml:space="preserve"> (the </w:t>
      </w:r>
      <w:r>
        <w:rPr>
          <w:rStyle w:val="VerbatimChar"/>
        </w:rPr>
        <w:t xml:space="preserve">EasyEcom-Channel-Pull</w:t>
      </w:r>
      <w:r>
        <w:t xml:space="preserve"> ruleset), not a hardcoded mapper — per the engine-as-API-change-insurance policy (§8.0). Real-payload mapping: </w:t>
      </w:r>
      <w:r>
        <w:rPr>
          <w:rStyle w:val="VerbatimChar"/>
        </w:rPr>
        <w:t xml:space="preserve">marketplace_id</w:t>
      </w:r>
      <w:r>
        <w:t xml:space="preserve"> → </w:t>
      </w:r>
      <w:r>
        <w:rPr>
          <w:rStyle w:val="VerbatimChar"/>
        </w:rPr>
        <w:t xml:space="preserve">marketplace_id</w:t>
      </w:r>
      <w:r>
        <w:t xml:space="preserve"> (the join key), </w:t>
      </w:r>
      <w:r>
        <w:rPr>
          <w:rStyle w:val="VerbatimChar"/>
        </w:rPr>
        <w:t xml:space="preserve">marketplace_name</w:t>
      </w:r>
      <w:r>
        <w:t xml:space="preserve"> → </w:t>
      </w:r>
      <w:r>
        <w:rPr>
          <w:rStyle w:val="VerbatimChar"/>
        </w:rPr>
        <w:t xml:space="preserve">marketplace_name</w:t>
      </w:r>
      <w:r>
        <w:t xml:space="preserve">, </w:t>
      </w:r>
      <w:r>
        <w:rPr>
          <w:rStyle w:val="VerbatimChar"/>
        </w:rPr>
        <w:t xml:space="preserve">status</w:t>
      </w:r>
      <w:r>
        <w:t xml:space="preserve"> (Active/Inactive) → </w:t>
      </w:r>
      <w:r>
        <w:rPr>
          <w:rStyle w:val="VerbatimChar"/>
        </w:rPr>
        <w:t xml:space="preserve">is_active</w:t>
      </w:r>
      <w:r>
        <w:t xml:space="preserve">. The flow orchestrates the per-location sweep, the dedupe, and the workflow around the engine’s output.</w:t>
      </w:r>
    </w:p>
    <w:p>
      <w:pPr>
        <w:pStyle w:val="Compact"/>
        <w:numPr>
          <w:ilvl w:val="0"/>
          <w:numId w:val="1097"/>
        </w:numPr>
      </w:pPr>
      <w:r>
        <w:rPr>
          <w:rStyle w:val="VerbatimChar"/>
        </w:rPr>
        <w:t xml:space="preserve">reporting_parent</w:t>
      </w:r>
      <w:r>
        <w:t xml:space="preserve"> is </w:t>
      </w:r>
      <w:r>
        <w:rPr>
          <w:bCs/>
          <w:b/>
        </w:rPr>
        <w:t xml:space="preserve">not</w:t>
      </w:r>
      <w:r>
        <w:t xml:space="preserve"> supplied by EasyEcom (EE has no channel grouping) — it is FDE-set, blank by default, an optional reporting rollup (§8.6.1).</w:t>
      </w:r>
    </w:p>
    <w:p>
      <w:pPr>
        <w:pStyle w:val="Compact"/>
        <w:numPr>
          <w:ilvl w:val="0"/>
          <w:numId w:val="1097"/>
        </w:numPr>
      </w:pPr>
      <w:r>
        <w:t xml:space="preserve">Run during onboarding and on a daily refresh (the sweep re-runs across locations; existing channels are skipped, new ones land Unclassified and alert the FDE).</w:t>
      </w:r>
    </w:p>
    <w:p>
      <w:pPr>
        <w:pStyle w:val="Compact"/>
        <w:numPr>
          <w:ilvl w:val="0"/>
          <w:numId w:val="1097"/>
        </w:numPr>
      </w:pPr>
      <w:r>
        <w:rPr>
          <w:bCs/>
          <w:b/>
        </w:rPr>
        <w:t xml:space="preserve">FDE classification workflow.</w:t>
      </w:r>
      <w:r>
        <w:t xml:space="preserve"> A pulled channel carries an explicit workflow state (Frappe Workflow, shipped as a fixture — reusing the 8a Location pattern): </w:t>
      </w:r>
      <w:r>
        <w:rPr>
          <w:bCs/>
          <w:b/>
        </w:rPr>
        <w:t xml:space="preserve">Unclassified → Classified → Active</w:t>
      </w:r>
      <w:r>
        <w:t xml:space="preserve">, branch </w:t>
      </w:r>
      <w:r>
        <w:rPr>
          <w:bCs/>
          <w:b/>
        </w:rPr>
        <w:t xml:space="preserve">Ignored</w:t>
      </w:r>
      <w:r>
        <w:t xml:space="preserve">. A newly-discovered channel lands in </w:t>
      </w:r>
      <w:r>
        <w:rPr>
          <w:bCs/>
          <w:b/>
        </w:rPr>
        <w:t xml:space="preserve">Unclassified</w:t>
      </w:r>
      <w:r>
        <w:t xml:space="preserve"> and is the FDE’s worklist (filter to Unclassified). The FDE sets </w:t>
      </w:r>
      <w:r>
        <w:rPr>
          <w:rStyle w:val="VerbatimChar"/>
        </w:rPr>
        <w:t xml:space="preserve">channel_type</w:t>
      </w:r>
      <w:r>
        <w:t xml:space="preserve"> (B2C Marketplace / B2B / Quick-Commerce / Own Storefront / POS-Offline / Connector-Ignore) — the Classify transition is gated on </w:t>
      </w:r>
      <w:r>
        <w:rPr>
          <w:rStyle w:val="VerbatimChar"/>
        </w:rPr>
        <w:t xml:space="preserve">channel_type</w:t>
      </w:r>
      <w:r>
        <w:t xml:space="preserve"> being set — then Activates it; connector artifacts that are not sales channels are moved to </w:t>
      </w:r>
      <w:r>
        <w:rPr>
          <w:bCs/>
          <w:b/>
        </w:rPr>
        <w:t xml:space="preserve">Ignored</w:t>
      </w:r>
      <w:r>
        <w:t xml:space="preserve">. An unclassified channel is not-yet-operational, never an error. Note </w:t>
      </w:r>
      <w:r>
        <w:rPr>
          <w:rStyle w:val="VerbatimChar"/>
        </w:rPr>
        <w:t xml:space="preserve">is_active</w:t>
      </w:r>
      <w:r>
        <w:t xml:space="preserve"> (EE’s pulled integration status, active-anywhere) and the workflow state (our classification lifecycle) are </w:t>
      </w:r>
      <w:r>
        <w:rPr>
          <w:bCs/>
          <w:b/>
        </w:rPr>
        <w:t xml:space="preserve">independent axes</w:t>
      </w:r>
      <w:r>
        <w:t xml:space="preserve">.</w:t>
      </w:r>
    </w:p>
    <w:p>
      <w:pPr>
        <w:pStyle w:val="Compact"/>
        <w:numPr>
          <w:ilvl w:val="0"/>
          <w:numId w:val="1097"/>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6"/>
    <w:bookmarkEnd w:id="177"/>
    <w:bookmarkStart w:id="178" w:name="lookup-tables"/>
    <w:p>
      <w:pPr>
        <w:pStyle w:val="Heading2"/>
      </w:pPr>
      <w:r>
        <w:t xml:space="preserve">8.7 Lookup tables</w:t>
      </w:r>
    </w:p>
    <w:p>
      <w:pPr>
        <w:pStyle w:val="FirstParagraph"/>
      </w:pPr>
      <w:r>
        <w:t xml:space="preserve">Smaller masters that round out the model:</w:t>
      </w:r>
    </w:p>
    <w:p>
      <w:pPr>
        <w:pStyle w:val="Compact"/>
        <w:numPr>
          <w:ilvl w:val="0"/>
          <w:numId w:val="1099"/>
        </w:numPr>
      </w:pPr>
      <w:r>
        <w:t xml:space="preserve">UoM — pulled from EE on first sync; mapped to ERPNext UoM; new UoMs require FDE approval</w:t>
      </w:r>
    </w:p>
    <w:p>
      <w:pPr>
        <w:pStyle w:val="Compact"/>
        <w:numPr>
          <w:ilvl w:val="0"/>
          <w:numId w:val="1099"/>
        </w:numPr>
      </w:pPr>
      <w:r>
        <w:t xml:space="preserve">Currency — assumed INR-only in v1.0 (multi-currency deferred to v2.0 per the PRD)</w:t>
      </w:r>
    </w:p>
    <w:p>
      <w:pPr>
        <w:pStyle w:val="Compact"/>
        <w:numPr>
          <w:ilvl w:val="0"/>
          <w:numId w:val="1099"/>
        </w:numPr>
      </w:pPr>
      <w:r>
        <w:t xml:space="preserve">Brand — bidirectional, last-write-wins on conflict</w:t>
      </w:r>
    </w:p>
    <w:p>
      <w:pPr>
        <w:pStyle w:val="Compact"/>
        <w:numPr>
          <w:ilvl w:val="0"/>
          <w:numId w:val="1099"/>
        </w:numPr>
      </w:pPr>
      <w:r>
        <w:t xml:space="preserve">Item Group — ERPNext-owned; EE category mapping per ERPNext Item Group is in EasyEcom Category Map DocType</w:t>
      </w:r>
    </w:p>
    <w:p>
      <w:pPr>
        <w:pStyle w:val="Compact"/>
        <w:numPr>
          <w:ilvl w:val="0"/>
          <w:numId w:val="1099"/>
        </w:numPr>
      </w:pPr>
      <w:r>
        <w:t xml:space="preserve">Country / State — standard frappe lookups, not synced</w:t>
      </w:r>
    </w:p>
    <w:bookmarkEnd w:id="178"/>
    <w:bookmarkEnd w:id="179"/>
    <w:bookmarkStart w:id="199"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80"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80"/>
    <w:bookmarkStart w:id="181"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81"/>
    <w:bookmarkStart w:id="182" w:name="po-push-payload-and-idempotency"/>
    <w:p>
      <w:pPr>
        <w:pStyle w:val="Heading2"/>
      </w:pPr>
      <w:r>
        <w:t xml:space="preserve">9.3 PO push: payload and idempotency</w:t>
      </w:r>
    </w:p>
    <w:p>
      <w:pPr>
        <w:pStyle w:val="Compact"/>
        <w:numPr>
          <w:ilvl w:val="0"/>
          <w:numId w:val="1100"/>
        </w:numPr>
      </w:pPr>
      <w:r>
        <w:t xml:space="preserve">Trigger: Purchase Order’s on_submit if any item line has target_warehouse with is_linked = True</w:t>
      </w:r>
    </w:p>
    <w:p>
      <w:pPr>
        <w:pStyle w:val="Compact"/>
        <w:numPr>
          <w:ilvl w:val="0"/>
          <w:numId w:val="1100"/>
        </w:numPr>
      </w:pPr>
      <w:r>
        <w:t xml:space="preserve">Idempotency key: the ERPNext PO name (e.g., PUR-ORD-2026-00321)</w:t>
      </w:r>
    </w:p>
    <w:p>
      <w:pPr>
        <w:pStyle w:val="Compact"/>
        <w:numPr>
          <w:ilvl w:val="0"/>
          <w:numId w:val="1100"/>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100"/>
        </w:numPr>
      </w:pPr>
      <w:r>
        <w:t xml:space="preserve">Response carries an EE PO ID and a queueId; we poll /getQueueStatus until status = success</w:t>
      </w:r>
    </w:p>
    <w:p>
      <w:pPr>
        <w:pStyle w:val="Compact"/>
        <w:numPr>
          <w:ilvl w:val="0"/>
          <w:numId w:val="1100"/>
        </w:numPr>
      </w:pPr>
      <w:r>
        <w:t xml:space="preserve">Result stored in ecs_easyecom_po_id custom field on the PO</w:t>
      </w:r>
    </w:p>
    <w:p>
      <w:pPr>
        <w:pStyle w:val="Compact"/>
        <w:numPr>
          <w:ilvl w:val="0"/>
          <w:numId w:val="1100"/>
        </w:numPr>
      </w:pPr>
      <w:r>
        <w:t xml:space="preserve">Failure: queueId resolves to error → EasyEcom Queue Job moved to Failed; FDE notified; ERPNext PO is NOT cancelled (commercially valid PO is preserved)</w:t>
      </w:r>
    </w:p>
    <w:bookmarkEnd w:id="182"/>
    <w:bookmarkStart w:id="183"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101"/>
        </w:numPr>
      </w:pPr>
      <w:r>
        <w:t xml:space="preserve">Lines with target_warehouse linked to EE are grouped by location_key and pushed as separate EE POs (one per location_key)</w:t>
      </w:r>
    </w:p>
    <w:p>
      <w:pPr>
        <w:pStyle w:val="Compact"/>
        <w:numPr>
          <w:ilvl w:val="0"/>
          <w:numId w:val="1101"/>
        </w:numPr>
      </w:pPr>
      <w:r>
        <w:t xml:space="preserve">Lines with target_warehouse not linked to EE are NOT pushed and remain ERPNext-only</w:t>
      </w:r>
    </w:p>
    <w:p>
      <w:pPr>
        <w:pStyle w:val="Compact"/>
        <w:numPr>
          <w:ilvl w:val="0"/>
          <w:numId w:val="1101"/>
        </w:numPr>
      </w:pPr>
      <w:r>
        <w:t xml:space="preserve">The ERPNext PO maintains the unified view; EE sees one or more EE POs each covering a subset of lines</w:t>
      </w:r>
    </w:p>
    <w:p>
      <w:pPr>
        <w:pStyle w:val="Compact"/>
        <w:numPr>
          <w:ilvl w:val="0"/>
          <w:numId w:val="1101"/>
        </w:numPr>
      </w:pPr>
      <w:r>
        <w:t xml:space="preserve">ecs_easyecom_po_mappings child table on the PO records each (location_key, ee_po_id, frappe_lines) tuple</w:t>
      </w:r>
    </w:p>
    <w:bookmarkEnd w:id="183"/>
    <w:bookmarkStart w:id="186" w:name="grn-in-easyecom-detection-and-ingestion"/>
    <w:p>
      <w:pPr>
        <w:pStyle w:val="Heading2"/>
      </w:pPr>
      <w:r>
        <w:t xml:space="preserve">9.5 GRN-in-EasyEcom: detection and ingestion</w:t>
      </w:r>
    </w:p>
    <w:bookmarkStart w:id="184"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102"/>
        </w:numPr>
      </w:pPr>
      <w:r>
        <w:t xml:space="preserve">Polling cron runs every 30 minutes per operational location (company derived from the location)</w:t>
      </w:r>
    </w:p>
    <w:p>
      <w:pPr>
        <w:pStyle w:val="Compact"/>
        <w:numPr>
          <w:ilvl w:val="0"/>
          <w:numId w:val="1102"/>
        </w:numPr>
      </w:pPr>
      <w:r>
        <w:t xml:space="preserve">Calls /wms/getGrnDetails with last_pull_grn cursor as since timestamp</w:t>
      </w:r>
    </w:p>
    <w:p>
      <w:pPr>
        <w:pStyle w:val="Compact"/>
        <w:numPr>
          <w:ilvl w:val="0"/>
          <w:numId w:val="1102"/>
        </w:numPr>
      </w:pPr>
      <w:r>
        <w:t xml:space="preserve">New GRN records discovered → enqueued as EasyEcom Queue Job of type process_grn</w:t>
      </w:r>
    </w:p>
    <w:p>
      <w:pPr>
        <w:pStyle w:val="Compact"/>
        <w:numPr>
          <w:ilvl w:val="0"/>
          <w:numId w:val="1102"/>
        </w:numPr>
      </w:pPr>
      <w:r>
        <w:t xml:space="preserve">Webhook subscription (if EE supports for this client) accelerates detection — webhook receipt knocks the polling cycle into immediate execution for that location</w:t>
      </w:r>
    </w:p>
    <w:p>
      <w:pPr>
        <w:pStyle w:val="Compact"/>
        <w:numPr>
          <w:ilvl w:val="0"/>
          <w:numId w:val="1102"/>
        </w:numPr>
      </w:pPr>
      <w:r>
        <w:t xml:space="preserve">Webhook missed? Doesn’t matter — the next poll catches it (within 30 min)</w:t>
      </w:r>
    </w:p>
    <w:bookmarkEnd w:id="184"/>
    <w:bookmarkStart w:id="185" w:name="idempotency"/>
    <w:p>
      <w:pPr>
        <w:pStyle w:val="Heading3"/>
      </w:pPr>
      <w:r>
        <w:t xml:space="preserve">9.5.2 Idempotency</w:t>
      </w:r>
    </w:p>
    <w:p>
      <w:pPr>
        <w:pStyle w:val="Compact"/>
        <w:numPr>
          <w:ilvl w:val="0"/>
          <w:numId w:val="1103"/>
        </w:numPr>
      </w:pPr>
      <w:r>
        <w:t xml:space="preserve">Each GRN has a unique EE GRN ID</w:t>
      </w:r>
    </w:p>
    <w:p>
      <w:pPr>
        <w:pStyle w:val="Compact"/>
        <w:numPr>
          <w:ilvl w:val="0"/>
          <w:numId w:val="1103"/>
        </w:numPr>
      </w:pPr>
      <w:r>
        <w:t xml:space="preserve">Before processing, we check if a Purchase Receipt with ecs_easyecom_grn_id = this_grn_id already exists; if yes, skip</w:t>
      </w:r>
    </w:p>
    <w:p>
      <w:pPr>
        <w:pStyle w:val="Compact"/>
        <w:numPr>
          <w:ilvl w:val="0"/>
          <w:numId w:val="1103"/>
        </w:numPr>
      </w:pPr>
      <w:r>
        <w:t xml:space="preserve">Webhook + poll concurrency is safe — both paths converge on the same dedup check</w:t>
      </w:r>
    </w:p>
    <w:bookmarkEnd w:id="185"/>
    <w:bookmarkEnd w:id="186"/>
    <w:bookmarkStart w:id="189" w:name="grn-purchase-receipt-mapping"/>
    <w:p>
      <w:pPr>
        <w:pStyle w:val="Heading2"/>
      </w:pPr>
      <w:r>
        <w:t xml:space="preserve">9.6 GRN → Purchase Receipt mapping</w:t>
      </w:r>
    </w:p>
    <w:bookmarkStart w:id="187"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87"/>
    <w:bookmarkStart w:id="188"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88"/>
    <w:bookmarkEnd w:id="189"/>
    <w:bookmarkStart w:id="190"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04"/>
        </w:numPr>
      </w:pPr>
      <w:r>
        <w:t xml:space="preserve">Each Source-of-Truth Map row has a default_rejected_warehouse (configurable, optional)</w:t>
      </w:r>
    </w:p>
    <w:p>
      <w:pPr>
        <w:pStyle w:val="Compact"/>
        <w:numPr>
          <w:ilvl w:val="0"/>
          <w:numId w:val="1104"/>
        </w:numPr>
      </w:pPr>
      <w:r>
        <w:t xml:space="preserve">If rejected_qty &gt; 0 on a GRN line: PR Item gets rejected_qty populated, rejected_warehouse set</w:t>
      </w:r>
    </w:p>
    <w:p>
      <w:pPr>
        <w:pStyle w:val="Compact"/>
        <w:numPr>
          <w:ilvl w:val="0"/>
          <w:numId w:val="1104"/>
        </w:numPr>
      </w:pPr>
      <w:r>
        <w:t xml:space="preserve">If no Rejected Warehouse is configured: PR submission fails with a clear error — FDE configuration required</w:t>
      </w:r>
    </w:p>
    <w:p>
      <w:pPr>
        <w:pStyle w:val="Compact"/>
        <w:numPr>
          <w:ilvl w:val="0"/>
          <w:numId w:val="1104"/>
        </w:numPr>
      </w:pPr>
      <w:r>
        <w:t xml:space="preserve">ERPNext’s standard rejected-quantity handling kicks in: stock entry into rejected warehouse, separate from accepted stock</w:t>
      </w:r>
    </w:p>
    <w:p>
      <w:pPr>
        <w:pStyle w:val="Compact"/>
        <w:numPr>
          <w:ilvl w:val="0"/>
          <w:numId w:val="1104"/>
        </w:numPr>
      </w:pPr>
      <w:r>
        <w:t xml:space="preserve">Subsequent disposition (return-to-vendor, scrap, eventual acceptance) uses ERPNext’s standard flows — not integration-specific</w:t>
      </w:r>
    </w:p>
    <w:bookmarkEnd w:id="190"/>
    <w:bookmarkStart w:id="194" w:name="batch-serial-and-expiry"/>
    <w:p>
      <w:pPr>
        <w:pStyle w:val="Heading2"/>
      </w:pPr>
      <w:r>
        <w:t xml:space="preserve">9.8 Batch, serial, and expiry</w:t>
      </w:r>
    </w:p>
    <w:bookmarkStart w:id="191"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05"/>
        </w:numPr>
      </w:pPr>
      <w:r>
        <w:t xml:space="preserve">If EE GRN includes batch_no but Item.has_batch_no = False → error, FDE alerted</w:t>
      </w:r>
    </w:p>
    <w:p>
      <w:pPr>
        <w:pStyle w:val="Compact"/>
        <w:numPr>
          <w:ilvl w:val="0"/>
          <w:numId w:val="1105"/>
        </w:numPr>
      </w:pPr>
      <w:r>
        <w:t xml:space="preserve">If Item.has_batch_no = True but EE GRN omits batch_no → error, FDE alerted</w:t>
      </w:r>
    </w:p>
    <w:p>
      <w:pPr>
        <w:pStyle w:val="Compact"/>
        <w:numPr>
          <w:ilvl w:val="0"/>
          <w:numId w:val="1105"/>
        </w:numPr>
      </w:pPr>
      <w:r>
        <w:t xml:space="preserve">Same for serial_no and expiry_date</w:t>
      </w:r>
    </w:p>
    <w:p>
      <w:pPr>
        <w:pStyle w:val="Compact"/>
        <w:numPr>
          <w:ilvl w:val="0"/>
          <w:numId w:val="1105"/>
        </w:numPr>
      </w:pPr>
      <w:r>
        <w:t xml:space="preserve">Mismatches usually indicate Item master misconfiguration on one side</w:t>
      </w:r>
    </w:p>
    <w:bookmarkEnd w:id="191"/>
    <w:bookmarkStart w:id="192" w:name="batch-creation"/>
    <w:p>
      <w:pPr>
        <w:pStyle w:val="Heading3"/>
      </w:pPr>
      <w:r>
        <w:t xml:space="preserve">9.8.2 Batch creation</w:t>
      </w:r>
    </w:p>
    <w:p>
      <w:pPr>
        <w:pStyle w:val="Compact"/>
        <w:numPr>
          <w:ilvl w:val="0"/>
          <w:numId w:val="1106"/>
        </w:numPr>
      </w:pPr>
      <w:r>
        <w:t xml:space="preserve">New batch_no in EE GRN: create Batch record in ERPNext with item_code, batch_no, manufacturing_date, expiry_date</w:t>
      </w:r>
    </w:p>
    <w:p>
      <w:pPr>
        <w:pStyle w:val="Compact"/>
        <w:numPr>
          <w:ilvl w:val="0"/>
          <w:numId w:val="1106"/>
        </w:numPr>
      </w:pPr>
      <w:r>
        <w:t xml:space="preserve">Batch already exists: link the PR to it (multiple GRNs for the same batch are valid for restocks)</w:t>
      </w:r>
    </w:p>
    <w:p>
      <w:pPr>
        <w:pStyle w:val="Compact"/>
        <w:numPr>
          <w:ilvl w:val="0"/>
          <w:numId w:val="1106"/>
        </w:numPr>
      </w:pPr>
      <w:r>
        <w:t xml:space="preserve">Batch attributes update only if blank — never overwrite</w:t>
      </w:r>
    </w:p>
    <w:bookmarkEnd w:id="192"/>
    <w:bookmarkStart w:id="193" w:name="serial-number-creation"/>
    <w:p>
      <w:pPr>
        <w:pStyle w:val="Heading3"/>
      </w:pPr>
      <w:r>
        <w:t xml:space="preserve">9.8.3 Serial number creation</w:t>
      </w:r>
    </w:p>
    <w:p>
      <w:pPr>
        <w:pStyle w:val="Compact"/>
        <w:numPr>
          <w:ilvl w:val="0"/>
          <w:numId w:val="1107"/>
        </w:numPr>
      </w:pPr>
      <w:r>
        <w:t xml:space="preserve">Each serial in EE GRN becomes a Serial No record in ERPNext linked to the PR</w:t>
      </w:r>
    </w:p>
    <w:p>
      <w:pPr>
        <w:pStyle w:val="Compact"/>
        <w:numPr>
          <w:ilvl w:val="0"/>
          <w:numId w:val="1107"/>
        </w:numPr>
      </w:pPr>
      <w:r>
        <w:t xml:space="preserve">Serial-no validation: must be unique per item_code</w:t>
      </w:r>
    </w:p>
    <w:p>
      <w:pPr>
        <w:pStyle w:val="Compact"/>
        <w:numPr>
          <w:ilvl w:val="0"/>
          <w:numId w:val="1107"/>
        </w:numPr>
      </w:pPr>
      <w:r>
        <w:t xml:space="preserve">Conflict (serial already exists for the same item with a different status): integration aborts the GRN ingestion, FDE alerted</w:t>
      </w:r>
    </w:p>
    <w:bookmarkEnd w:id="193"/>
    <w:bookmarkEnd w:id="194"/>
    <w:bookmarkStart w:id="195" w:name="tax-category-and-gst-handling"/>
    <w:p>
      <w:pPr>
        <w:pStyle w:val="Heading2"/>
      </w:pPr>
      <w:r>
        <w:t xml:space="preserve">9.9 Tax category and GST handling</w:t>
      </w:r>
    </w:p>
    <w:p>
      <w:pPr>
        <w:pStyle w:val="Compact"/>
        <w:numPr>
          <w:ilvl w:val="0"/>
          <w:numId w:val="1108"/>
        </w:numPr>
      </w:pPr>
      <w:r>
        <w:t xml:space="preserve">Tax category for the PR line is resolved from the ERPNext Item Tax Template, not from the EE GRN payload</w:t>
      </w:r>
    </w:p>
    <w:p>
      <w:pPr>
        <w:pStyle w:val="Compact"/>
        <w:numPr>
          <w:ilvl w:val="0"/>
          <w:numId w:val="1108"/>
        </w:numPr>
      </w:pPr>
      <w:r>
        <w:t xml:space="preserve">EE-side tax amounts are sanity-checked against the ERPNext-derived tax — variance &gt; 1% triggers an Integration Discrepancy of severity Warning</w:t>
      </w:r>
    </w:p>
    <w:p>
      <w:pPr>
        <w:pStyle w:val="Compact"/>
        <w:numPr>
          <w:ilvl w:val="0"/>
          <w:numId w:val="1108"/>
        </w:numPr>
      </w:pPr>
      <w:r>
        <w:t xml:space="preserve">Place of supply rules per India Compliance app drive CGST/SGST vs IGST split</w:t>
      </w:r>
    </w:p>
    <w:p>
      <w:pPr>
        <w:pStyle w:val="Compact"/>
        <w:numPr>
          <w:ilvl w:val="0"/>
          <w:numId w:val="1108"/>
        </w:numPr>
      </w:pPr>
      <w:r>
        <w:t xml:space="preserve">ITC eligibility flag is preserved through the GRN → PR mapping</w:t>
      </w:r>
    </w:p>
    <w:p>
      <w:pPr>
        <w:pStyle w:val="Compact"/>
        <w:numPr>
          <w:ilvl w:val="0"/>
          <w:numId w:val="1108"/>
        </w:numPr>
      </w:pPr>
      <w:r>
        <w:t xml:space="preserve">e-invoice and e-waybill from the supplier (if provided) are stored as PR attachments</w:t>
      </w:r>
    </w:p>
    <w:bookmarkEnd w:id="195"/>
    <w:bookmarkStart w:id="196"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09"/>
        </w:numPr>
      </w:pPr>
      <w:r>
        <w:t xml:space="preserve">Each GRN produces a separate Purchase Receipt in ERPNext</w:t>
      </w:r>
    </w:p>
    <w:p>
      <w:pPr>
        <w:pStyle w:val="Compact"/>
        <w:numPr>
          <w:ilvl w:val="0"/>
          <w:numId w:val="1109"/>
        </w:numPr>
      </w:pPr>
      <w:r>
        <w:t xml:space="preserve">All PRs reference the same Purchase Order</w:t>
      </w:r>
    </w:p>
    <w:p>
      <w:pPr>
        <w:pStyle w:val="Compact"/>
        <w:numPr>
          <w:ilvl w:val="0"/>
          <w:numId w:val="1109"/>
        </w:numPr>
      </w:pPr>
      <w:r>
        <w:t xml:space="preserve">PO status progression: Draft → Submitted → Partially Received (after GRN-1) → Received (after GRN-2)</w:t>
      </w:r>
    </w:p>
    <w:p>
      <w:pPr>
        <w:pStyle w:val="Compact"/>
        <w:numPr>
          <w:ilvl w:val="0"/>
          <w:numId w:val="1109"/>
        </w:numPr>
      </w:pPr>
      <w:r>
        <w:t xml:space="preserve">Over-receipt: if cumulative received_qty exceeds PO qty (configurable tolerance, default 0%), the PR submission fails — FDE handles via PO amendment</w:t>
      </w:r>
    </w:p>
    <w:bookmarkEnd w:id="196"/>
    <w:bookmarkStart w:id="197"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197"/>
    <w:bookmarkStart w:id="198"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198"/>
    <w:bookmarkEnd w:id="199"/>
    <w:bookmarkStart w:id="208"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200"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200"/>
    <w:bookmarkStart w:id="201"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10"/>
        </w:numPr>
      </w:pPr>
      <w:r>
        <w:t xml:space="preserve">Allow the user to create a Stock Entry of type Material Transfer in ERPNext with source = non-linked WH, destination = linked WH</w:t>
      </w:r>
    </w:p>
    <w:p>
      <w:pPr>
        <w:pStyle w:val="Compact"/>
        <w:numPr>
          <w:ilvl w:val="0"/>
          <w:numId w:val="1110"/>
        </w:numPr>
      </w:pPr>
      <w:r>
        <w:t xml:space="preserve">On Stock Entry submit: source warehouse is debited (goods leave), but destination warehouse is NOT credited yet — the goods are in transit</w:t>
      </w:r>
    </w:p>
    <w:p>
      <w:pPr>
        <w:pStyle w:val="Compact"/>
        <w:numPr>
          <w:ilvl w:val="0"/>
          <w:numId w:val="1110"/>
        </w:numPr>
      </w:pPr>
      <w:r>
        <w:t xml:space="preserve">In-Transit Warehouse pattern: ERPNext’s standard support for transit warehouses is used. Stock moves source → in_transit_warehouse</w:t>
      </w:r>
    </w:p>
    <w:p>
      <w:pPr>
        <w:pStyle w:val="Compact"/>
        <w:numPr>
          <w:ilvl w:val="0"/>
          <w:numId w:val="1110"/>
        </w:numPr>
      </w:pPr>
      <w:r>
        <w:t xml:space="preserve">Goods physically arrive at EE location; warehouse staff does GRN in EE referencing the Stock Entry as the source document</w:t>
      </w:r>
    </w:p>
    <w:p>
      <w:pPr>
        <w:pStyle w:val="Compact"/>
        <w:numPr>
          <w:ilvl w:val="0"/>
          <w:numId w:val="1110"/>
        </w:numPr>
      </w:pPr>
      <w:r>
        <w:t xml:space="preserve">EE GRN polling detects the GRN; integration creates an Internal Purchase Receipt (Material Transfer-In type) in ERPNext</w:t>
      </w:r>
    </w:p>
    <w:p>
      <w:pPr>
        <w:pStyle w:val="Compact"/>
        <w:numPr>
          <w:ilvl w:val="0"/>
          <w:numId w:val="1110"/>
        </w:numPr>
      </w:pPr>
      <w:r>
        <w:t xml:space="preserve">Internal PR moves stock from in_transit_warehouse → destination linked warehouse</w:t>
      </w:r>
    </w:p>
    <w:p>
      <w:pPr>
        <w:pStyle w:val="Compact"/>
        <w:numPr>
          <w:ilvl w:val="0"/>
          <w:numId w:val="1110"/>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201"/>
    <w:bookmarkStart w:id="202"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11"/>
        </w:numPr>
      </w:pPr>
      <w:r>
        <w:t xml:space="preserve">Stock Entry created in ERPNext with source = linked WH, destination = non-linked WH</w:t>
      </w:r>
    </w:p>
    <w:p>
      <w:pPr>
        <w:pStyle w:val="Compact"/>
        <w:numPr>
          <w:ilvl w:val="0"/>
          <w:numId w:val="1111"/>
        </w:numPr>
      </w:pPr>
      <w:r>
        <w:t xml:space="preserve">Submit pushes a dispatch instruction to EE (POST /inventory/V3/updateInventory adjustment of type Stock-Out with reason Transfer)</w:t>
      </w:r>
    </w:p>
    <w:p>
      <w:pPr>
        <w:pStyle w:val="Compact"/>
        <w:numPr>
          <w:ilvl w:val="0"/>
          <w:numId w:val="1111"/>
        </w:numPr>
      </w:pPr>
      <w:r>
        <w:t xml:space="preserve">EE confirms; ERPNext stock moves source → in_transit_warehouse</w:t>
      </w:r>
    </w:p>
    <w:p>
      <w:pPr>
        <w:pStyle w:val="Compact"/>
        <w:numPr>
          <w:ilvl w:val="0"/>
          <w:numId w:val="1111"/>
        </w:numPr>
      </w:pPr>
      <w:r>
        <w:t xml:space="preserve">Goods physically arrive; user marks Stock Entry received in ERPNext (a manual step; the integration does not see the arrival)</w:t>
      </w:r>
    </w:p>
    <w:p>
      <w:pPr>
        <w:pStyle w:val="Compact"/>
        <w:numPr>
          <w:ilvl w:val="0"/>
          <w:numId w:val="1111"/>
        </w:numPr>
      </w:pPr>
      <w:r>
        <w:t xml:space="preserve">ERPNext stock moves in_transit_warehouse → destination</w:t>
      </w:r>
    </w:p>
    <w:bookmarkEnd w:id="202"/>
    <w:bookmarkStart w:id="203" w:name="linked-linked-ee-side-internal-transfer"/>
    <w:p>
      <w:pPr>
        <w:pStyle w:val="Heading2"/>
      </w:pPr>
      <w:r>
        <w:t xml:space="preserve">10.4 Linked → Linked (EE-side internal transfer)</w:t>
      </w:r>
    </w:p>
    <w:p>
      <w:pPr>
        <w:pStyle w:val="Compact"/>
        <w:numPr>
          <w:ilvl w:val="0"/>
          <w:numId w:val="1112"/>
        </w:numPr>
      </w:pPr>
      <w:r>
        <w:t xml:space="preserve">EE supports its own internal transfer between locations</w:t>
      </w:r>
    </w:p>
    <w:p>
      <w:pPr>
        <w:pStyle w:val="Compact"/>
        <w:numPr>
          <w:ilvl w:val="0"/>
          <w:numId w:val="1112"/>
        </w:numPr>
      </w:pPr>
      <w:r>
        <w:t xml:space="preserve">Originated either in ERPNext or in EE; the integration handles both directions</w:t>
      </w:r>
    </w:p>
    <w:p>
      <w:pPr>
        <w:pStyle w:val="Compact"/>
        <w:numPr>
          <w:ilvl w:val="0"/>
          <w:numId w:val="1112"/>
        </w:numPr>
      </w:pPr>
      <w:r>
        <w:t xml:space="preserve">ERPNext-originated: Stock Entry pushes a Transfer instruction to EE; EE executes, fires confirm webhook</w:t>
      </w:r>
    </w:p>
    <w:p>
      <w:pPr>
        <w:pStyle w:val="Compact"/>
        <w:numPr>
          <w:ilvl w:val="0"/>
          <w:numId w:val="1112"/>
        </w:numPr>
      </w:pPr>
      <w:r>
        <w:t xml:space="preserve">EE-originated: detected on inventory pull; ERPNext creates a corresponding Stock Entry</w:t>
      </w:r>
    </w:p>
    <w:p>
      <w:pPr>
        <w:pStyle w:val="Compact"/>
        <w:numPr>
          <w:ilvl w:val="0"/>
          <w:numId w:val="1112"/>
        </w:numPr>
      </w:pPr>
      <w:r>
        <w:t xml:space="preserve">In both cases, ERPNext stock movement is a single Stock Entry with both source and destination warehouses, no in-transit warehouse needed</w:t>
      </w:r>
    </w:p>
    <w:p>
      <w:pPr>
        <w:pStyle w:val="Compact"/>
        <w:numPr>
          <w:ilvl w:val="0"/>
          <w:numId w:val="1112"/>
        </w:numPr>
      </w:pPr>
      <w:r>
        <w:t xml:space="preserve">Confirmation is required from EE before ERPNext considers the transfer settled</w:t>
      </w:r>
    </w:p>
    <w:bookmarkEnd w:id="203"/>
    <w:bookmarkStart w:id="204"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204"/>
    <w:bookmarkStart w:id="205" w:name="multi-company-transfers"/>
    <w:p>
      <w:pPr>
        <w:pStyle w:val="Heading2"/>
      </w:pPr>
      <w:r>
        <w:t xml:space="preserve">10.6 Multi-company transfers</w:t>
      </w:r>
    </w:p>
    <w:p>
      <w:pPr>
        <w:pStyle w:val="Compact"/>
        <w:numPr>
          <w:ilvl w:val="0"/>
          <w:numId w:val="1113"/>
        </w:numPr>
      </w:pPr>
      <w:r>
        <w:t xml:space="preserve">Transfers crossing Company boundaries are NOT covered by this section</w:t>
      </w:r>
    </w:p>
    <w:p>
      <w:pPr>
        <w:pStyle w:val="Compact"/>
        <w:numPr>
          <w:ilvl w:val="0"/>
          <w:numId w:val="1113"/>
        </w:numPr>
      </w:pPr>
      <w:r>
        <w:t xml:space="preserve">Inter-Company stock movement uses ERPNext’s Inter-Company flow (Sales Invoice + Purchase Invoice) regardless of EE linkage</w:t>
      </w:r>
    </w:p>
    <w:p>
      <w:pPr>
        <w:pStyle w:val="Compact"/>
        <w:numPr>
          <w:ilvl w:val="0"/>
          <w:numId w:val="1113"/>
        </w:numPr>
      </w:pPr>
      <w:r>
        <w:t xml:space="preserve">The integration does, however, push the resulting movements to EE on each Company’s side per the Source-of-Truth Map for the warehouses involved</w:t>
      </w:r>
    </w:p>
    <w:bookmarkEnd w:id="205"/>
    <w:bookmarkStart w:id="206" w:name="edge-cases-1"/>
    <w:p>
      <w:pPr>
        <w:pStyle w:val="Heading2"/>
      </w:pPr>
      <w:r>
        <w:t xml:space="preserve">10.7 Edge cases</w:t>
      </w:r>
    </w:p>
    <w:p>
      <w:pPr>
        <w:pStyle w:val="Compact"/>
        <w:numPr>
          <w:ilvl w:val="0"/>
          <w:numId w:val="1114"/>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14"/>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14"/>
        </w:numPr>
      </w:pPr>
      <w:r>
        <w:t xml:space="preserve">Lost in transit: if no GRN arrives within configurable threshold (default 30 days), an Integration Discrepancy of severity Warning is raised; FDE investigates and posts adjustments</w:t>
      </w:r>
    </w:p>
    <w:p>
      <w:pPr>
        <w:pStyle w:val="Compact"/>
        <w:numPr>
          <w:ilvl w:val="0"/>
          <w:numId w:val="1114"/>
        </w:numPr>
      </w:pPr>
      <w:r>
        <w:t xml:space="preserve">EE-side transfer cancelled mid-flight: detected on next inventory pull as state mismatch; ERPNext Stock Entry must be reverse-and-replayed by FDE</w:t>
      </w:r>
    </w:p>
    <w:bookmarkEnd w:id="206"/>
    <w:bookmarkStart w:id="207" w:name="audit-trail"/>
    <w:p>
      <w:pPr>
        <w:pStyle w:val="Heading2"/>
      </w:pPr>
      <w:r>
        <w:t xml:space="preserve">10.8 Audit trail</w:t>
      </w:r>
    </w:p>
    <w:p>
      <w:pPr>
        <w:pStyle w:val="Compact"/>
        <w:numPr>
          <w:ilvl w:val="0"/>
          <w:numId w:val="1115"/>
        </w:numPr>
      </w:pPr>
      <w:r>
        <w:t xml:space="preserve">Every Stock Entry produced by the integration carries ecs_easyecom_source_event (link to EE event ID) and ecs_easyecom_source_type (transfer / GRN / dispatch / adjustment)</w:t>
      </w:r>
    </w:p>
    <w:p>
      <w:pPr>
        <w:pStyle w:val="Compact"/>
        <w:numPr>
          <w:ilvl w:val="0"/>
          <w:numId w:val="1115"/>
        </w:numPr>
      </w:pPr>
      <w:r>
        <w:t xml:space="preserve">Every Internal Purchase Receipt carries the same back-references plus ecs_source_stock_entry</w:t>
      </w:r>
    </w:p>
    <w:p>
      <w:pPr>
        <w:pStyle w:val="Compact"/>
        <w:numPr>
          <w:ilvl w:val="0"/>
          <w:numId w:val="1115"/>
        </w:numPr>
      </w:pPr>
      <w:r>
        <w:t xml:space="preserve">Stock Ledger Entries inherit these fields via standard Frappe document parent-link</w:t>
      </w:r>
    </w:p>
    <w:p>
      <w:pPr>
        <w:pStyle w:val="Compact"/>
        <w:numPr>
          <w:ilvl w:val="0"/>
          <w:numId w:val="1115"/>
        </w:numPr>
      </w:pPr>
      <w:r>
        <w:t xml:space="preserve">An auditor can trace any stock movement to its EE source</w:t>
      </w:r>
    </w:p>
    <w:bookmarkEnd w:id="207"/>
    <w:bookmarkEnd w:id="208"/>
    <w:bookmarkStart w:id="225"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09"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09"/>
    <w:bookmarkStart w:id="210"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10"/>
    <w:bookmarkStart w:id="213" w:name="so-push-payload-and-modes"/>
    <w:p>
      <w:pPr>
        <w:pStyle w:val="Heading2"/>
      </w:pPr>
      <w:r>
        <w:t xml:space="preserve">11.3 SO push: payload and modes</w:t>
      </w:r>
    </w:p>
    <w:bookmarkStart w:id="211" w:name="async-mode-default"/>
    <w:p>
      <w:pPr>
        <w:pStyle w:val="Heading3"/>
      </w:pPr>
      <w:r>
        <w:t xml:space="preserve">11.3.1 Async mode (default)</w:t>
      </w:r>
    </w:p>
    <w:p>
      <w:pPr>
        <w:pStyle w:val="Compact"/>
        <w:numPr>
          <w:ilvl w:val="0"/>
          <w:numId w:val="1116"/>
        </w:numPr>
      </w:pPr>
      <w:r>
        <w:t xml:space="preserve">Sales Order on_submit fires the push as an EasyEcom Queue Job</w:t>
      </w:r>
    </w:p>
    <w:p>
      <w:pPr>
        <w:pStyle w:val="Compact"/>
        <w:numPr>
          <w:ilvl w:val="0"/>
          <w:numId w:val="1116"/>
        </w:numPr>
      </w:pPr>
      <w:r>
        <w:t xml:space="preserve">ERPNext SO submission completes immediately regardless of EE availability</w:t>
      </w:r>
    </w:p>
    <w:p>
      <w:pPr>
        <w:pStyle w:val="Compact"/>
        <w:numPr>
          <w:ilvl w:val="0"/>
          <w:numId w:val="1116"/>
        </w:numPr>
      </w:pPr>
      <w:r>
        <w:t xml:space="preserve">EE acknowledgement updates ecs_easyecom_so_id custom field on the SO</w:t>
      </w:r>
    </w:p>
    <w:p>
      <w:pPr>
        <w:pStyle w:val="Compact"/>
        <w:numPr>
          <w:ilvl w:val="0"/>
          <w:numId w:val="1116"/>
        </w:numPr>
      </w:pPr>
      <w:r>
        <w:t xml:space="preserve">Failed pushes retry with back-off; persistent failures alert FDE; SO remains valid in ERPNext</w:t>
      </w:r>
    </w:p>
    <w:p>
      <w:pPr>
        <w:pStyle w:val="Compact"/>
        <w:numPr>
          <w:ilvl w:val="0"/>
          <w:numId w:val="1116"/>
        </w:numPr>
      </w:pPr>
      <w:r>
        <w:t xml:space="preserve">Trade-off accepted: ERPNext may have a confirmed SO that EE has rejected (e.g., for stock unavailability) for a short window — handled by FDE-monitored failure dashboard</w:t>
      </w:r>
    </w:p>
    <w:bookmarkEnd w:id="211"/>
    <w:bookmarkStart w:id="212" w:name="X306e83d6665637dc8dfc473a5b53d41b63dffe6"/>
    <w:p>
      <w:pPr>
        <w:pStyle w:val="Heading3"/>
      </w:pPr>
      <w:r>
        <w:t xml:space="preserve">11.3.2 Sync mode (configurable per Marketplace Account)</w:t>
      </w:r>
    </w:p>
    <w:p>
      <w:pPr>
        <w:pStyle w:val="Compact"/>
        <w:numPr>
          <w:ilvl w:val="0"/>
          <w:numId w:val="1117"/>
        </w:numPr>
      </w:pPr>
      <w:r>
        <w:t xml:space="preserve">on_submit blocks until EE confirms acceptance</w:t>
      </w:r>
    </w:p>
    <w:p>
      <w:pPr>
        <w:pStyle w:val="Compact"/>
        <w:numPr>
          <w:ilvl w:val="0"/>
          <w:numId w:val="1117"/>
        </w:numPr>
      </w:pPr>
      <w:r>
        <w:t xml:space="preserve">If EE rejects (e.g., stock unavailable, customer credit limit, item not found), the ERPNext on_submit fails and the SO is not submitted</w:t>
      </w:r>
    </w:p>
    <w:p>
      <w:pPr>
        <w:pStyle w:val="Compact"/>
        <w:numPr>
          <w:ilvl w:val="0"/>
          <w:numId w:val="1117"/>
        </w:numPr>
      </w:pPr>
      <w:r>
        <w:t xml:space="preserve">Latency: typically 200ms-2s; user sees a brief save delay</w:t>
      </w:r>
    </w:p>
    <w:p>
      <w:pPr>
        <w:pStyle w:val="Compact"/>
        <w:numPr>
          <w:ilvl w:val="0"/>
          <w:numId w:val="1117"/>
        </w:numPr>
      </w:pPr>
      <w:r>
        <w:t xml:space="preserve">Trade-off accepted: ERPNext UI hangs during the call; if EE is down, SO submissions are blocked entirely</w:t>
      </w:r>
    </w:p>
    <w:p>
      <w:pPr>
        <w:pStyle w:val="Compact"/>
        <w:numPr>
          <w:ilvl w:val="0"/>
          <w:numId w:val="1117"/>
        </w:numPr>
      </w:pPr>
      <w:r>
        <w:t xml:space="preserve">Configuration: per Marketplace Account, push_so_mode = Sync, push_so_block_on_error = True</w:t>
      </w:r>
    </w:p>
    <w:p>
      <w:pPr>
        <w:pStyle w:val="Compact"/>
        <w:numPr>
          <w:ilvl w:val="0"/>
          <w:numId w:val="1117"/>
        </w:numPr>
      </w:pPr>
      <w:r>
        <w:t xml:space="preserve">Recommended for high-value B2B clients where stock-promise consistency matters; not recommended for high-volume D2C</w:t>
      </w:r>
    </w:p>
    <w:bookmarkEnd w:id="212"/>
    <w:bookmarkEnd w:id="213"/>
    <w:bookmarkStart w:id="217"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14" w:name="the-flow-2"/>
    <w:p>
      <w:pPr>
        <w:pStyle w:val="Heading3"/>
      </w:pPr>
      <w:r>
        <w:t xml:space="preserve">11.4.1 The flow</w:t>
      </w:r>
    </w:p>
    <w:p>
      <w:pPr>
        <w:pStyle w:val="Compact"/>
        <w:numPr>
          <w:ilvl w:val="0"/>
          <w:numId w:val="1118"/>
        </w:numPr>
      </w:pPr>
      <w:r>
        <w:t xml:space="preserve">EE reserves stock for the order — fires a webhook event of type inventory.reserved with EE order ID, location_key, line items, qty</w:t>
      </w:r>
    </w:p>
    <w:p>
      <w:pPr>
        <w:pStyle w:val="Compact"/>
        <w:numPr>
          <w:ilvl w:val="0"/>
          <w:numId w:val="1118"/>
        </w:numPr>
      </w:pPr>
      <w:r>
        <w:t xml:space="preserve">Polling cron picks it up if webhook missed</w:t>
      </w:r>
    </w:p>
    <w:p>
      <w:pPr>
        <w:pStyle w:val="Compact"/>
        <w:numPr>
          <w:ilvl w:val="0"/>
          <w:numId w:val="1118"/>
        </w:numPr>
      </w:pPr>
      <w:r>
        <w:t xml:space="preserve">Resolve the EE order ID to the ERPNext Sales Order via ecs_easyecom_so_id</w:t>
      </w:r>
    </w:p>
    <w:p>
      <w:pPr>
        <w:pStyle w:val="Compact"/>
        <w:numPr>
          <w:ilvl w:val="0"/>
          <w:numId w:val="1118"/>
        </w:numPr>
      </w:pPr>
      <w:r>
        <w:t xml:space="preserve">Create Stock Reservation Entry against the SO for each line item, with reservation_based_on_voucher = Sales Order, against_warehouse = the SO’s target_warehouse</w:t>
      </w:r>
    </w:p>
    <w:p>
      <w:pPr>
        <w:pStyle w:val="Compact"/>
        <w:numPr>
          <w:ilvl w:val="0"/>
          <w:numId w:val="1118"/>
        </w:numPr>
      </w:pPr>
      <w:r>
        <w:t xml:space="preserve">Stock Ledger Entry shows the reserved qty as committed; available qty for other orders drops accordingly</w:t>
      </w:r>
    </w:p>
    <w:p>
      <w:pPr>
        <w:pStyle w:val="Compact"/>
        <w:numPr>
          <w:ilvl w:val="0"/>
          <w:numId w:val="1118"/>
        </w:numPr>
      </w:pPr>
      <w:r>
        <w:t xml:space="preserve">On EE dispatch, the SRE is automatically released as the Delivery Note (or Sales Invoice with stock movement) consumes the reservation</w:t>
      </w:r>
    </w:p>
    <w:bookmarkEnd w:id="214"/>
    <w:bookmarkStart w:id="215" w:name="configuration-gate"/>
    <w:p>
      <w:pPr>
        <w:pStyle w:val="Heading3"/>
      </w:pPr>
      <w:r>
        <w:t xml:space="preserve">11.4.2 Configuration gate</w:t>
      </w:r>
    </w:p>
    <w:p>
      <w:pPr>
        <w:pStyle w:val="Compact"/>
        <w:numPr>
          <w:ilvl w:val="0"/>
          <w:numId w:val="1119"/>
        </w:numPr>
      </w:pPr>
      <w:r>
        <w:t xml:space="preserve">Stock Reservation must be enabled in ERPNext Stock Settings (on by default in v16 fresh installs)</w:t>
      </w:r>
    </w:p>
    <w:p>
      <w:pPr>
        <w:pStyle w:val="Compact"/>
        <w:numPr>
          <w:ilvl w:val="0"/>
          <w:numId w:val="1119"/>
        </w:numPr>
      </w:pPr>
      <w:r>
        <w:t xml:space="preserve">Per Source-of-Truth Map row: mirror_stock_reservations = True (default)</w:t>
      </w:r>
    </w:p>
    <w:p>
      <w:pPr>
        <w:pStyle w:val="Compact"/>
        <w:numPr>
          <w:ilvl w:val="0"/>
          <w:numId w:val="1119"/>
        </w:numPr>
      </w:pPr>
      <w:r>
        <w:t xml:space="preserve">If unchecked, the inventory-reserved event is logged but no SRE is created — used for clients who don’t care about real-time reservation visibility</w:t>
      </w:r>
    </w:p>
    <w:bookmarkEnd w:id="215"/>
    <w:bookmarkStart w:id="216" w:name="edge-cases-2"/>
    <w:p>
      <w:pPr>
        <w:pStyle w:val="Heading3"/>
      </w:pPr>
      <w:r>
        <w:t xml:space="preserve">11.4.3 Edge cases</w:t>
      </w:r>
    </w:p>
    <w:p>
      <w:pPr>
        <w:pStyle w:val="Compact"/>
        <w:numPr>
          <w:ilvl w:val="0"/>
          <w:numId w:val="1120"/>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20"/>
        </w:numPr>
      </w:pPr>
      <w:r>
        <w:t xml:space="preserve">EE un-reserves (cancellation, change): inventory.unreserved event releases the SRE</w:t>
      </w:r>
    </w:p>
    <w:p>
      <w:pPr>
        <w:pStyle w:val="Compact"/>
        <w:numPr>
          <w:ilvl w:val="0"/>
          <w:numId w:val="1120"/>
        </w:numPr>
      </w:pPr>
      <w:r>
        <w:t xml:space="preserve">Partial reservation (EE reserves only some lines): partial SREs created accordingly</w:t>
      </w:r>
    </w:p>
    <w:p>
      <w:pPr>
        <w:pStyle w:val="Compact"/>
        <w:numPr>
          <w:ilvl w:val="0"/>
          <w:numId w:val="1120"/>
        </w:numPr>
      </w:pPr>
      <w:r>
        <w:t xml:space="preserve">Reservation expires in EE without dispatch: timeout handling — typically EE auto-cancels the reservation; we follow with SRE release</w:t>
      </w:r>
    </w:p>
    <w:bookmarkEnd w:id="216"/>
    <w:bookmarkEnd w:id="217"/>
    <w:bookmarkStart w:id="221" w:name="invoice-and-e-waybill-flow"/>
    <w:p>
      <w:pPr>
        <w:pStyle w:val="Heading2"/>
      </w:pPr>
      <w:r>
        <w:t xml:space="preserve">11.5 Invoice and e-waybill flow</w:t>
      </w:r>
    </w:p>
    <w:bookmarkStart w:id="218"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21"/>
        </w:numPr>
      </w:pPr>
      <w:r>
        <w:t xml:space="preserve">Resolve to ERPNext SO</w:t>
      </w:r>
    </w:p>
    <w:p>
      <w:pPr>
        <w:pStyle w:val="Compact"/>
        <w:numPr>
          <w:ilvl w:val="0"/>
          <w:numId w:val="1121"/>
        </w:numPr>
      </w:pPr>
      <w:r>
        <w:t xml:space="preserve">Create Sales Invoice from SO using standard ERPNext mechanism (sales_invoice from sales_order)</w:t>
      </w:r>
    </w:p>
    <w:p>
      <w:pPr>
        <w:pStyle w:val="Compact"/>
        <w:numPr>
          <w:ilvl w:val="0"/>
          <w:numId w:val="1121"/>
        </w:numPr>
      </w:pPr>
      <w:r>
        <w:t xml:space="preserve">Post tax lines via India Compliance app</w:t>
      </w:r>
    </w:p>
    <w:p>
      <w:pPr>
        <w:pStyle w:val="Compact"/>
        <w:numPr>
          <w:ilvl w:val="0"/>
          <w:numId w:val="1121"/>
        </w:numPr>
      </w:pPr>
      <w:r>
        <w:t xml:space="preserve">Submit the SI</w:t>
      </w:r>
    </w:p>
    <w:p>
      <w:pPr>
        <w:pStyle w:val="Compact"/>
        <w:numPr>
          <w:ilvl w:val="0"/>
          <w:numId w:val="1121"/>
        </w:numPr>
      </w:pPr>
      <w:r>
        <w:t xml:space="preserve">Generate e-invoice IRN via India Compliance</w:t>
      </w:r>
    </w:p>
    <w:p>
      <w:pPr>
        <w:pStyle w:val="Compact"/>
        <w:numPr>
          <w:ilvl w:val="0"/>
          <w:numId w:val="1121"/>
        </w:numPr>
      </w:pPr>
      <w:r>
        <w:t xml:space="preserve">Generate e-waybill via India Compliance with vehicle_no and transporter_id from EE payload</w:t>
      </w:r>
    </w:p>
    <w:p>
      <w:pPr>
        <w:pStyle w:val="Compact"/>
        <w:numPr>
          <w:ilvl w:val="0"/>
          <w:numId w:val="1121"/>
        </w:numPr>
      </w:pPr>
      <w:r>
        <w:t xml:space="preserve">Push back to EE: POST /b2b/uploadInvoice with PDF, IRN, e-waybill number</w:t>
      </w:r>
    </w:p>
    <w:p>
      <w:pPr>
        <w:pStyle w:val="Compact"/>
        <w:numPr>
          <w:ilvl w:val="0"/>
          <w:numId w:val="1121"/>
        </w:numPr>
      </w:pPr>
      <w:r>
        <w:t xml:space="preserve">EE acknowledges, prints, dispatches</w:t>
      </w:r>
    </w:p>
    <w:bookmarkEnd w:id="218"/>
    <w:bookmarkStart w:id="219" w:name="branch-b-ee-generates-its-own-invoice"/>
    <w:p>
      <w:pPr>
        <w:pStyle w:val="Heading3"/>
      </w:pPr>
      <w:r>
        <w:t xml:space="preserve">11.5.2 Branch B: EE generates its own invoice</w:t>
      </w:r>
    </w:p>
    <w:p>
      <w:pPr>
        <w:pStyle w:val="Compact"/>
        <w:numPr>
          <w:ilvl w:val="0"/>
          <w:numId w:val="1122"/>
        </w:numPr>
      </w:pPr>
      <w:r>
        <w:t xml:space="preserve">Operator’s choice if they prefer EE-generated invoices for B2B (rare but exists)</w:t>
      </w:r>
    </w:p>
    <w:p>
      <w:pPr>
        <w:pStyle w:val="Compact"/>
        <w:numPr>
          <w:ilvl w:val="0"/>
          <w:numId w:val="1122"/>
        </w:numPr>
      </w:pPr>
      <w:r>
        <w:t xml:space="preserve">EE generates and dispatches</w:t>
      </w:r>
    </w:p>
    <w:p>
      <w:pPr>
        <w:pStyle w:val="Compact"/>
        <w:numPr>
          <w:ilvl w:val="0"/>
          <w:numId w:val="1122"/>
        </w:numPr>
      </w:pPr>
      <w:r>
        <w:t xml:space="preserve">Dispatch webhook fires with invoice payload</w:t>
      </w:r>
    </w:p>
    <w:p>
      <w:pPr>
        <w:pStyle w:val="Compact"/>
        <w:numPr>
          <w:ilvl w:val="0"/>
          <w:numId w:val="1122"/>
        </w:numPr>
      </w:pPr>
      <w:r>
        <w:t xml:space="preserve">Integration creates Sales Invoice in ERPNext mirroring EE invoice values exactly (rate, taxes, totals)</w:t>
      </w:r>
    </w:p>
    <w:p>
      <w:pPr>
        <w:pStyle w:val="Compact"/>
        <w:numPr>
          <w:ilvl w:val="0"/>
          <w:numId w:val="1122"/>
        </w:numPr>
      </w:pPr>
      <w:r>
        <w:t xml:space="preserve">Variance check: if mirrored SI total differs from SO total by more than 1%, Integration Discrepancy raised</w:t>
      </w:r>
    </w:p>
    <w:bookmarkEnd w:id="219"/>
    <w:bookmarkStart w:id="220"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23"/>
        </w:numPr>
      </w:pPr>
      <w:r>
        <w:t xml:space="preserve">ERPNext-generated invoice has full tax-template control, complete back-references, and fits cleanly into the GL</w:t>
      </w:r>
    </w:p>
    <w:p>
      <w:pPr>
        <w:pStyle w:val="Compact"/>
        <w:numPr>
          <w:ilvl w:val="0"/>
          <w:numId w:val="1123"/>
        </w:numPr>
      </w:pPr>
      <w:r>
        <w:t xml:space="preserve">e-invoice and e-waybill compliance via India Compliance is more reliable than relying on EE’s GST handling</w:t>
      </w:r>
    </w:p>
    <w:p>
      <w:pPr>
        <w:pStyle w:val="Compact"/>
        <w:numPr>
          <w:ilvl w:val="0"/>
          <w:numId w:val="1123"/>
        </w:numPr>
      </w:pPr>
      <w:r>
        <w:t>ERPNext Sales Invoice is the auditor-readable artefact; mirroring an EE invoice introduces lossy translation Branch B exists for edge cases: clients with EE-managed B2B catalogues where EE controls all invoice generation.</w:t>
      </w:r>
    </w:p>
    <w:bookmarkEnd w:id="220"/>
    <w:bookmarkEnd w:id="221"/>
    <w:bookmarkStart w:id="222" w:name="si-to-delivery-completion"/>
    <w:p>
      <w:pPr>
        <w:pStyle w:val="Heading2"/>
      </w:pPr>
      <w:r>
        <w:t xml:space="preserve">11.6 SI to delivery completion</w:t>
      </w:r>
    </w:p>
    <w:p>
      <w:pPr>
        <w:pStyle w:val="Compact"/>
        <w:numPr>
          <w:ilvl w:val="0"/>
          <w:numId w:val="1124"/>
        </w:numPr>
      </w:pPr>
      <w:r>
        <w:t xml:space="preserve">EE dispatch event (post-invoice for Branch A, with-invoice for Branch B) fires confirmation webhook</w:t>
      </w:r>
    </w:p>
    <w:p>
      <w:pPr>
        <w:pStyle w:val="Compact"/>
        <w:numPr>
          <w:ilvl w:val="0"/>
          <w:numId w:val="1124"/>
        </w:numPr>
      </w:pPr>
      <w:r>
        <w:t xml:space="preserve">ERPNext SI moves to Delivered status (custom workflow status; standard SI doesn’t have Delivered)</w:t>
      </w:r>
    </w:p>
    <w:p>
      <w:pPr>
        <w:pStyle w:val="Compact"/>
        <w:numPr>
          <w:ilvl w:val="0"/>
          <w:numId w:val="1124"/>
        </w:numPr>
      </w:pPr>
      <w:r>
        <w:t xml:space="preserve">Stock movement: standard SI mechanism with update_stock = True moves stock from warehouse to outgoing</w:t>
      </w:r>
    </w:p>
    <w:p>
      <w:pPr>
        <w:pStyle w:val="Compact"/>
        <w:numPr>
          <w:ilvl w:val="0"/>
          <w:numId w:val="1124"/>
        </w:numPr>
      </w:pPr>
      <w:r>
        <w:t xml:space="preserve">Stock Reservation Entry is consumed automatically</w:t>
      </w:r>
    </w:p>
    <w:p>
      <w:pPr>
        <w:pStyle w:val="Compact"/>
        <w:numPr>
          <w:ilvl w:val="0"/>
          <w:numId w:val="1124"/>
        </w:numPr>
      </w:pPr>
      <w:r>
        <w:t xml:space="preserve">Outstanding amount on the SI sits in Customer’s debtors account until payment</w:t>
      </w:r>
    </w:p>
    <w:bookmarkEnd w:id="222"/>
    <w:bookmarkStart w:id="223"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25"/>
        </w:numPr>
      </w:pPr>
      <w:r>
        <w:t xml:space="preserve">Pushed as separate EE orders, one per location_key (similar to PO multi-warehouse handling)</w:t>
      </w:r>
    </w:p>
    <w:p>
      <w:pPr>
        <w:pStyle w:val="Compact"/>
        <w:numPr>
          <w:ilvl w:val="0"/>
          <w:numId w:val="1125"/>
        </w:numPr>
      </w:pPr>
      <w:r>
        <w:t xml:space="preserve">Stock reservations and dispatches happen per EE order</w:t>
      </w:r>
    </w:p>
    <w:p>
      <w:pPr>
        <w:pStyle w:val="Compact"/>
        <w:numPr>
          <w:ilvl w:val="0"/>
          <w:numId w:val="1125"/>
        </w:numPr>
      </w:pPr>
      <w:r>
        <w:t xml:space="preserve">Single ERPNext SO; multiple ecs_easyecom_so_mappings tracking each EE order</w:t>
      </w:r>
    </w:p>
    <w:p>
      <w:pPr>
        <w:pStyle w:val="Compact"/>
        <w:numPr>
          <w:ilvl w:val="0"/>
          <w:numId w:val="1125"/>
        </w:numPr>
      </w:pPr>
      <w:r>
        <w:t xml:space="preserve">Single ERPNext SI consolidates the deliveries (or multiple SIs if delivery dates differ)</w:t>
      </w:r>
    </w:p>
    <w:bookmarkEnd w:id="223"/>
    <w:bookmarkStart w:id="224"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24"/>
    <w:bookmarkEnd w:id="225"/>
    <w:bookmarkStart w:id="240"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27"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26"/>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26"/>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26"/>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6"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6"/>
    <w:bookmarkEnd w:id="227"/>
    <w:bookmarkStart w:id="228"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27"/>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27"/>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27"/>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28"/>
    <w:bookmarkStart w:id="231" w:name="manifest-creation-as-the-trigger-event"/>
    <w:p>
      <w:pPr>
        <w:pStyle w:val="Heading2"/>
      </w:pPr>
      <w:r>
        <w:t xml:space="preserve">12.3 Manifest-creation as the trigger event</w:t>
      </w:r>
    </w:p>
    <w:bookmarkStart w:id="229"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29"/>
    <w:bookmarkStart w:id="230" w:name="detection-1"/>
    <w:p>
      <w:pPr>
        <w:pStyle w:val="Heading3"/>
      </w:pPr>
      <w:r>
        <w:t xml:space="preserve">12.3.2 Detection</w:t>
      </w:r>
    </w:p>
    <w:p>
      <w:pPr>
        <w:pStyle w:val="Compact"/>
        <w:numPr>
          <w:ilvl w:val="0"/>
          <w:numId w:val="1128"/>
        </w:numPr>
      </w:pPr>
      <w:r>
        <w:t xml:space="preserve">Polling cron every 5 minutes per operational location (company derived from the location) on /orders/V2/getAllOrders with status filter Manifested or higher</w:t>
      </w:r>
    </w:p>
    <w:p>
      <w:pPr>
        <w:pStyle w:val="Compact"/>
        <w:numPr>
          <w:ilvl w:val="0"/>
          <w:numId w:val="1128"/>
        </w:numPr>
      </w:pPr>
      <w:r>
        <w:t xml:space="preserve">Cursor field last_pull_orders advances on each successful poll</w:t>
      </w:r>
    </w:p>
    <w:p>
      <w:pPr>
        <w:pStyle w:val="Compact"/>
        <w:numPr>
          <w:ilvl w:val="0"/>
          <w:numId w:val="1128"/>
        </w:numPr>
      </w:pPr>
      <w:r>
        <w:t xml:space="preserve">Webhook of type ready_to_dispatch knocks the polling cycle into immediate execution</w:t>
      </w:r>
    </w:p>
    <w:p>
      <w:pPr>
        <w:pStyle w:val="Compact"/>
        <w:numPr>
          <w:ilvl w:val="0"/>
          <w:numId w:val="1128"/>
        </w:numPr>
      </w:pPr>
      <w:r>
        <w:t xml:space="preserve">Webhook of type manifested is the canonical trigger</w:t>
      </w:r>
    </w:p>
    <w:p>
      <w:pPr>
        <w:pStyle w:val="Compact"/>
        <w:numPr>
          <w:ilvl w:val="0"/>
          <w:numId w:val="1128"/>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30"/>
    <w:bookmarkEnd w:id="231"/>
    <w:bookmarkStart w:id="232"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32"/>
    <w:bookmarkStart w:id="233"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29"/>
        </w:numPr>
      </w:pPr>
      <w:r>
        <w:t xml:space="preserve">SI rate field comes from EE order line.unit_price</w:t>
      </w:r>
    </w:p>
    <w:p>
      <w:pPr>
        <w:pStyle w:val="Compact"/>
        <w:numPr>
          <w:ilvl w:val="0"/>
          <w:numId w:val="1129"/>
        </w:numPr>
      </w:pPr>
      <w:r>
        <w:t xml:space="preserve">ERPNext catalogue price (Item Price for the relevant Price List) is NOT used for SI generation</w:t>
      </w:r>
    </w:p>
    <w:p>
      <w:pPr>
        <w:pStyle w:val="Compact"/>
        <w:numPr>
          <w:ilvl w:val="0"/>
          <w:numId w:val="1129"/>
        </w:numPr>
      </w:pPr>
      <w:r>
        <w:t xml:space="preserve">Variance between catalogue and actual is captured for the recon engine’s pricing diagnostics (Section 4.6 of the PRD: marketplace algorithmic repricing detection)</w:t>
      </w:r>
    </w:p>
    <w:p>
      <w:pPr>
        <w:pStyle w:val="Compact"/>
        <w:numPr>
          <w:ilvl w:val="0"/>
          <w:numId w:val="1129"/>
        </w:numPr>
      </w:pPr>
      <w:r>
        <w:t xml:space="preserve">Tax computation uses ERPNext Item Tax Template — never EE-supplied tax — to ensure tax correctness</w:t>
      </w:r>
    </w:p>
    <w:bookmarkEnd w:id="233"/>
    <w:bookmarkStart w:id="234" w:name="e-invoice-handling"/>
    <w:p>
      <w:pPr>
        <w:pStyle w:val="Heading2"/>
      </w:pPr>
      <w:r>
        <w:t xml:space="preserve">12.6 e-invoice handling</w:t>
      </w:r>
    </w:p>
    <w:p>
      <w:pPr>
        <w:pStyle w:val="Compact"/>
        <w:numPr>
          <w:ilvl w:val="0"/>
          <w:numId w:val="1130"/>
        </w:numPr>
      </w:pPr>
      <w:r>
        <w:t xml:space="preserve">B2C invoices ≥ ₹50,000 require e-invoice IRN per Indian GST rules</w:t>
      </w:r>
    </w:p>
    <w:p>
      <w:pPr>
        <w:pStyle w:val="Compact"/>
        <w:numPr>
          <w:ilvl w:val="0"/>
          <w:numId w:val="1130"/>
        </w:numPr>
      </w:pPr>
      <w:r>
        <w:t xml:space="preserve">India Compliance app handles IRN generation</w:t>
      </w:r>
    </w:p>
    <w:p>
      <w:pPr>
        <w:pStyle w:val="Compact"/>
        <w:numPr>
          <w:ilvl w:val="0"/>
          <w:numId w:val="1130"/>
        </w:numPr>
      </w:pPr>
      <w:r>
        <w:t xml:space="preserve">Integration triggers IRN generation immediately after SI submit, before EE acknowledgement</w:t>
      </w:r>
    </w:p>
    <w:p>
      <w:pPr>
        <w:pStyle w:val="Compact"/>
        <w:numPr>
          <w:ilvl w:val="0"/>
          <w:numId w:val="1130"/>
        </w:numPr>
      </w:pPr>
      <w:r>
        <w:t xml:space="preserve">If IRN generation fails: SI is in Submitted status with no IRN; FDE alerted; standard India Compliance retry mechanism applies</w:t>
      </w:r>
    </w:p>
    <w:p>
      <w:pPr>
        <w:pStyle w:val="Compact"/>
        <w:numPr>
          <w:ilvl w:val="0"/>
          <w:numId w:val="1130"/>
        </w:numPr>
      </w:pPr>
      <w:r>
        <w:t xml:space="preserve">Below threshold: no IRN required; SI submitted normally</w:t>
      </w:r>
    </w:p>
    <w:bookmarkEnd w:id="234"/>
    <w:bookmarkStart w:id="235" w:name="inventory-accounting"/>
    <w:p>
      <w:pPr>
        <w:pStyle w:val="Heading2"/>
      </w:pPr>
      <w:r>
        <w:t xml:space="preserve">12.7 Inventory accounting</w:t>
      </w:r>
    </w:p>
    <w:p>
      <w:pPr>
        <w:pStyle w:val="Compact"/>
        <w:numPr>
          <w:ilvl w:val="0"/>
          <w:numId w:val="1131"/>
        </w:numPr>
      </w:pPr>
      <w:r>
        <w:t xml:space="preserve">SI created with update_stock = True (so SI movement does the inventory reduction)</w:t>
      </w:r>
    </w:p>
    <w:p>
      <w:pPr>
        <w:pStyle w:val="Compact"/>
        <w:numPr>
          <w:ilvl w:val="0"/>
          <w:numId w:val="1131"/>
        </w:numPr>
      </w:pPr>
      <w:r>
        <w:t xml:space="preserve">Source warehouse: per Source-of-Truth Map for the EE location_key</w:t>
      </w:r>
    </w:p>
    <w:p>
      <w:pPr>
        <w:pStyle w:val="Compact"/>
        <w:numPr>
          <w:ilvl w:val="0"/>
          <w:numId w:val="1131"/>
        </w:numPr>
      </w:pPr>
      <w:r>
        <w:t xml:space="preserve">Stock Ledger Entry deducts inventory at SI valuation</w:t>
      </w:r>
    </w:p>
    <w:p>
      <w:pPr>
        <w:pStyle w:val="Compact"/>
        <w:numPr>
          <w:ilvl w:val="0"/>
          <w:numId w:val="1131"/>
        </w:numPr>
      </w:pPr>
      <w:r>
        <w:t xml:space="preserve">If the SO had an SRE (rare for B2C — usually no SO at all), the SRE is auto-released</w:t>
      </w:r>
    </w:p>
    <w:p>
      <w:pPr>
        <w:pStyle w:val="Compact"/>
        <w:numPr>
          <w:ilvl w:val="0"/>
          <w:numId w:val="1131"/>
        </w:numPr>
      </w:pPr>
      <w:r>
        <w:t xml:space="preserve">For multi-warehouse orders (rare in B2C but possible): one SI with multiple lines each from its own warehouse</w:t>
      </w:r>
    </w:p>
    <w:bookmarkEnd w:id="235"/>
    <w:bookmarkStart w:id="236"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32"/>
        </w:numPr>
      </w:pPr>
      <w:r>
        <w:t xml:space="preserve">Created at SI creation time</w:t>
      </w:r>
    </w:p>
    <w:p>
      <w:pPr>
        <w:pStyle w:val="Compact"/>
        <w:numPr>
          <w:ilvl w:val="0"/>
          <w:numId w:val="1132"/>
        </w:numPr>
      </w:pPr>
      <w:r>
        <w:t xml:space="preserve">Fields: marketplace, marketplace_order_id, channel, marketplace_account, sales_invoice (Link), settlement_status (Forecast / Partial / Settled / Disputed)</w:t>
      </w:r>
    </w:p>
    <w:p>
      <w:pPr>
        <w:pStyle w:val="Compact"/>
        <w:numPr>
          <w:ilvl w:val="0"/>
          <w:numId w:val="1132"/>
        </w:numPr>
      </w:pPr>
      <w:r>
        <w:t xml:space="preserve">Settlement Forecast (per Section 4 of the PRD) is created in parallel against this Map record</w:t>
      </w:r>
    </w:p>
    <w:p>
      <w:pPr>
        <w:pStyle w:val="Compact"/>
        <w:numPr>
          <w:ilvl w:val="0"/>
          <w:numId w:val="1132"/>
        </w:numPr>
      </w:pPr>
      <w:r>
        <w:t xml:space="preserve">When Settlement Lines arrive, recon engine joins on (marketplace, marketplace_order_id) → Marketplace Order Map → Sales Invoice → Settlement Forecast</w:t>
      </w:r>
    </w:p>
    <w:bookmarkEnd w:id="236"/>
    <w:bookmarkStart w:id="237" w:name="variance-and-discrepancy-handling"/>
    <w:p>
      <w:pPr>
        <w:pStyle w:val="Heading2"/>
      </w:pPr>
      <w:r>
        <w:t xml:space="preserve">12.9 Variance and discrepancy handling</w:t>
      </w:r>
    </w:p>
    <w:p>
      <w:pPr>
        <w:pStyle w:val="Compact"/>
        <w:numPr>
          <w:ilvl w:val="0"/>
          <w:numId w:val="1133"/>
        </w:numPr>
      </w:pPr>
      <w:r>
        <w:t xml:space="preserve">EE order amount vs SI total: must match within 1 paisa; mismatch raises Integration Discrepancy</w:t>
      </w:r>
    </w:p>
    <w:p>
      <w:pPr>
        <w:pStyle w:val="Compact"/>
        <w:numPr>
          <w:ilvl w:val="0"/>
          <w:numId w:val="1133"/>
        </w:numPr>
      </w:pPr>
      <w:r>
        <w:t xml:space="preserve">EE-quoted tax vs ERPNext-computed tax: variance &gt; 1% raises Integration Discrepancy of severity Warning (informational; ERPNext tax stands)</w:t>
      </w:r>
    </w:p>
    <w:p>
      <w:pPr>
        <w:pStyle w:val="Compact"/>
        <w:numPr>
          <w:ilvl w:val="0"/>
          <w:numId w:val="1133"/>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33"/>
        </w:numPr>
      </w:pPr>
      <w:r>
        <w:t xml:space="preserve">EE order whose channel (marketplace_id) is not yet in the flat Marketplace list or is unclassified: same per-record treatment — Failed Sync Record for that order; FDE classifies the channel and retries</w:t>
      </w:r>
    </w:p>
    <w:bookmarkEnd w:id="237"/>
    <w:bookmarkStart w:id="238" w:name="multi-channel-handling"/>
    <w:p>
      <w:pPr>
        <w:pStyle w:val="Heading2"/>
      </w:pPr>
      <w:r>
        <w:t xml:space="preserve">12.10 Multi-channel handling</w:t>
      </w:r>
    </w:p>
    <w:p>
      <w:pPr>
        <w:pStyle w:val="Compact"/>
        <w:numPr>
          <w:ilvl w:val="0"/>
          <w:numId w:val="1134"/>
        </w:numPr>
      </w:pPr>
      <w:r>
        <w:t xml:space="preserve">Same Item, multiple marketplace listings: handled via marketplace_skus child table on Item</w:t>
      </w:r>
    </w:p>
    <w:p>
      <w:pPr>
        <w:pStyle w:val="Compact"/>
        <w:numPr>
          <w:ilvl w:val="0"/>
          <w:numId w:val="1134"/>
        </w:numPr>
      </w:pPr>
      <w:r>
        <w:t xml:space="preserve">EE returns the marketplace SKU; integration resolves to ERPNext item_code</w:t>
      </w:r>
    </w:p>
    <w:p>
      <w:pPr>
        <w:pStyle w:val="Compact"/>
        <w:numPr>
          <w:ilvl w:val="0"/>
          <w:numId w:val="1134"/>
        </w:numPr>
      </w:pPr>
      <w:r>
        <w:t xml:space="preserve">Channel-specific pricing: not modelled in v1.0 — the EE-supplied actual rate is used (which already reflects channel-specific pricing applied at order time)</w:t>
      </w:r>
    </w:p>
    <w:p>
      <w:pPr>
        <w:pStyle w:val="Compact"/>
        <w:numPr>
          <w:ilvl w:val="0"/>
          <w:numId w:val="1134"/>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38"/>
    <w:bookmarkStart w:id="239" w:name="what-this-enables-for-reconciliation-1"/>
    <w:p>
      <w:pPr>
        <w:pStyle w:val="Heading2"/>
      </w:pPr>
      <w:r>
        <w:t xml:space="preserve">12.11 What this enables for reconciliation</w:t>
      </w:r>
    </w:p>
    <w:p>
      <w:pPr>
        <w:pStyle w:val="Compact"/>
        <w:numPr>
          <w:ilvl w:val="0"/>
          <w:numId w:val="1135"/>
        </w:numPr>
      </w:pPr>
      <w:r>
        <w:t xml:space="preserve">Order-to-Settlement reconciliation (PRD Section 9.2.1) needs the SI to exist with ecs_marketplace_order_id populated. The B2C flow’s SI creation at manifest is what produces this.</w:t>
      </w:r>
    </w:p>
    <w:p>
      <w:pPr>
        <w:pStyle w:val="Compact"/>
        <w:numPr>
          <w:ilvl w:val="0"/>
          <w:numId w:val="1135"/>
        </w:numPr>
      </w:pPr>
      <w:r>
        <w:t xml:space="preserve">Settlement Forecast (PRD Section 10.3) is created at SI creation, against the Marketplace Order Map</w:t>
      </w:r>
    </w:p>
    <w:p>
      <w:pPr>
        <w:pStyle w:val="Compact"/>
        <w:numPr>
          <w:ilvl w:val="0"/>
          <w:numId w:val="1135"/>
        </w:numPr>
      </w:pPr>
      <w:r>
        <w:t xml:space="preserve">Net Receivables view (PRD Section 10.3.1) lists open Marketplace Order Map records grouped by marketplace and forecast settlement date</w:t>
      </w:r>
    </w:p>
    <w:p>
      <w:pPr>
        <w:pStyle w:val="Compact"/>
        <w:numPr>
          <w:ilvl w:val="0"/>
          <w:numId w:val="1135"/>
        </w:numPr>
      </w:pPr>
      <w:r>
        <w:t xml:space="preserve">Per-SKU margin breakdown (PRD Section 10.5) joins Settlement Lines to SI line items via the Map</w:t>
      </w:r>
    </w:p>
    <w:bookmarkEnd w:id="239"/>
    <w:bookmarkEnd w:id="240"/>
    <w:bookmarkStart w:id="252"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41"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41"/>
    <w:bookmarkStart w:id="242" w:name="b2b-cancellation-pre-dispatch"/>
    <w:p>
      <w:pPr>
        <w:pStyle w:val="Heading2"/>
      </w:pPr>
      <w:r>
        <w:t xml:space="preserve">13.2 B2B cancellation pre-dispatch</w:t>
      </w:r>
    </w:p>
    <w:p>
      <w:pPr>
        <w:pStyle w:val="Compact"/>
        <w:numPr>
          <w:ilvl w:val="0"/>
          <w:numId w:val="1136"/>
        </w:numPr>
      </w:pPr>
      <w:r>
        <w:t xml:space="preserve">Triggered by: cancellation in EE before any dispatch event</w:t>
      </w:r>
    </w:p>
    <w:p>
      <w:pPr>
        <w:pStyle w:val="Compact"/>
        <w:numPr>
          <w:ilvl w:val="0"/>
          <w:numId w:val="1136"/>
        </w:numPr>
      </w:pPr>
      <w:r>
        <w:t xml:space="preserve">EE webhook order.cancelled or polling detects status change</w:t>
      </w:r>
    </w:p>
    <w:p>
      <w:pPr>
        <w:pStyle w:val="Compact"/>
        <w:numPr>
          <w:ilvl w:val="0"/>
          <w:numId w:val="1136"/>
        </w:numPr>
      </w:pPr>
      <w:r>
        <w:t xml:space="preserve">Resolve EE order ID to ERPNext SO via ecs_easyecom_so_id</w:t>
      </w:r>
    </w:p>
    <w:p>
      <w:pPr>
        <w:pStyle w:val="Compact"/>
        <w:numPr>
          <w:ilvl w:val="0"/>
          <w:numId w:val="1136"/>
        </w:numPr>
      </w:pPr>
      <w:r>
        <w:t xml:space="preserve">If SI not yet generated: cancel the ERPNext SO (move to Cancelled status)</w:t>
      </w:r>
    </w:p>
    <w:p>
      <w:pPr>
        <w:pStyle w:val="Compact"/>
        <w:numPr>
          <w:ilvl w:val="0"/>
          <w:numId w:val="1136"/>
        </w:numPr>
      </w:pPr>
      <w:r>
        <w:t xml:space="preserve">Release the Stock Reservation Entry</w:t>
      </w:r>
    </w:p>
    <w:p>
      <w:pPr>
        <w:pStyle w:val="Compact"/>
        <w:numPr>
          <w:ilvl w:val="0"/>
          <w:numId w:val="1136"/>
        </w:numPr>
      </w:pPr>
      <w:r>
        <w:t xml:space="preserve">If a Sales Invoice was created (Branch A pre-dispatch invoice case): cancel the SI; create reversing journal if SI was already submitted</w:t>
      </w:r>
    </w:p>
    <w:p>
      <w:pPr>
        <w:pStyle w:val="Compact"/>
        <w:numPr>
          <w:ilvl w:val="0"/>
          <w:numId w:val="1136"/>
        </w:numPr>
      </w:pPr>
      <w:r>
        <w:t xml:space="preserve">Notify FDE if cancellation came in unexpectedly late (post-invoice)</w:t>
      </w:r>
    </w:p>
    <w:bookmarkEnd w:id="242"/>
    <w:bookmarkStart w:id="243"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37"/>
        </w:numPr>
      </w:pPr>
      <w:r>
        <w:t xml:space="preserve">EE marks order cancelled and goods en route or at courier</w:t>
      </w:r>
    </w:p>
    <w:p>
      <w:pPr>
        <w:pStyle w:val="Compact"/>
        <w:numPr>
          <w:ilvl w:val="0"/>
          <w:numId w:val="1137"/>
        </w:numPr>
      </w:pPr>
      <w:r>
        <w:t xml:space="preserve">Goods physically return to warehouse, processed via EE return-receipt</w:t>
      </w:r>
    </w:p>
    <w:p>
      <w:pPr>
        <w:pStyle w:val="Compact"/>
        <w:numPr>
          <w:ilvl w:val="0"/>
          <w:numId w:val="1137"/>
        </w:numPr>
      </w:pPr>
      <w:r>
        <w:t xml:space="preserve">Integration creates a Credit Note against the original Sales Invoice in ERPNext</w:t>
      </w:r>
    </w:p>
    <w:p>
      <w:pPr>
        <w:pStyle w:val="Compact"/>
        <w:numPr>
          <w:ilvl w:val="0"/>
          <w:numId w:val="1137"/>
        </w:numPr>
      </w:pPr>
      <w:r>
        <w:t xml:space="preserve">Credit Note carries reverse_stock = True so inventory is added back at the original valuation</w:t>
      </w:r>
    </w:p>
    <w:p>
      <w:pPr>
        <w:pStyle w:val="Compact"/>
        <w:numPr>
          <w:ilvl w:val="0"/>
          <w:numId w:val="1137"/>
        </w:numPr>
      </w:pPr>
      <w:r>
        <w:t xml:space="preserve">Marketplace Order Map status moves to Returned</w:t>
      </w:r>
    </w:p>
    <w:p>
      <w:pPr>
        <w:pStyle w:val="Compact"/>
        <w:numPr>
          <w:ilvl w:val="0"/>
          <w:numId w:val="1137"/>
        </w:numPr>
      </w:pPr>
      <w:r>
        <w:t xml:space="preserve">Recon engine treats this exactly like a marketplace return event</w:t>
      </w:r>
    </w:p>
    <w:bookmarkEnd w:id="243"/>
    <w:bookmarkStart w:id="244" w:name="Xd8d0dcf1ebbc6723e2a02da59d5f04bd881f251"/>
    <w:p>
      <w:pPr>
        <w:pStyle w:val="Heading2"/>
      </w:pPr>
      <w:r>
        <w:t xml:space="preserve">13.4 B2B return (post-delivery, customer-returned goods)</w:t>
      </w:r>
    </w:p>
    <w:p>
      <w:pPr>
        <w:pStyle w:val="Compact"/>
        <w:numPr>
          <w:ilvl w:val="0"/>
          <w:numId w:val="1138"/>
        </w:numPr>
      </w:pPr>
      <w:r>
        <w:t xml:space="preserve">Customer initiates return via the seller’s process or via EE</w:t>
      </w:r>
    </w:p>
    <w:p>
      <w:pPr>
        <w:pStyle w:val="Compact"/>
        <w:numPr>
          <w:ilvl w:val="0"/>
          <w:numId w:val="1138"/>
        </w:numPr>
      </w:pPr>
      <w:r>
        <w:t xml:space="preserve">Return shipment dispatched back to warehouse</w:t>
      </w:r>
    </w:p>
    <w:p>
      <w:pPr>
        <w:pStyle w:val="Compact"/>
        <w:numPr>
          <w:ilvl w:val="0"/>
          <w:numId w:val="1138"/>
        </w:numPr>
      </w:pPr>
      <w:r>
        <w:t xml:space="preserve">EE return-receipt event fires (with quality inspection results)</w:t>
      </w:r>
    </w:p>
    <w:p>
      <w:pPr>
        <w:pStyle w:val="Compact"/>
        <w:numPr>
          <w:ilvl w:val="0"/>
          <w:numId w:val="1138"/>
        </w:numPr>
      </w:pPr>
      <w:r>
        <w:t xml:space="preserve">Integration creates a Sales Return (Sales Invoice with is_return = True) referencing the original SI</w:t>
      </w:r>
    </w:p>
    <w:p>
      <w:pPr>
        <w:pStyle w:val="Compact"/>
        <w:numPr>
          <w:ilvl w:val="0"/>
          <w:numId w:val="1138"/>
        </w:numPr>
      </w:pPr>
      <w:r>
        <w:t xml:space="preserve">Stock returned to source warehouse OR to a quarantine warehouse (configurable)</w:t>
      </w:r>
    </w:p>
    <w:p>
      <w:pPr>
        <w:pStyle w:val="Compact"/>
        <w:numPr>
          <w:ilvl w:val="0"/>
          <w:numId w:val="1138"/>
        </w:numPr>
      </w:pPr>
      <w:r>
        <w:t xml:space="preserve">Refund process handled via Payment Entry — the SR creates a debit balance, payment entry clears it</w:t>
      </w:r>
    </w:p>
    <w:p>
      <w:pPr>
        <w:pStyle w:val="Compact"/>
        <w:numPr>
          <w:ilvl w:val="0"/>
          <w:numId w:val="1138"/>
        </w:numPr>
      </w:pPr>
      <w:r>
        <w:t xml:space="preserve">Quality-failed items: rejected_qty pattern routes them to Rejected Warehouse instead of standard return location</w:t>
      </w:r>
    </w:p>
    <w:bookmarkEnd w:id="244"/>
    <w:bookmarkStart w:id="245"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39"/>
        </w:numPr>
      </w:pPr>
      <w:r>
        <w:t xml:space="preserve">Polling continues to fetch order list; cancelled orders are filtered out from the manifest poll</w:t>
      </w:r>
    </w:p>
    <w:p>
      <w:pPr>
        <w:pStyle w:val="Compact"/>
        <w:numPr>
          <w:ilvl w:val="0"/>
          <w:numId w:val="1139"/>
        </w:numPr>
      </w:pPr>
      <w:r>
        <w:t xml:space="preserve">If a cancelled order’s SI was somehow created (shouldn’t happen but safety check): integration detects mismatch and raises Integration Discrepancy</w:t>
      </w:r>
    </w:p>
    <w:bookmarkEnd w:id="245"/>
    <w:bookmarkStart w:id="246" w:name="b2c-cancellation-post-manifest"/>
    <w:p>
      <w:pPr>
        <w:pStyle w:val="Heading2"/>
      </w:pPr>
      <w:r>
        <w:t xml:space="preserve">13.6 B2C cancellation post-manifest</w:t>
      </w:r>
    </w:p>
    <w:p>
      <w:pPr>
        <w:pStyle w:val="Compact"/>
        <w:numPr>
          <w:ilvl w:val="0"/>
          <w:numId w:val="1140"/>
        </w:numPr>
      </w:pPr>
      <w:r>
        <w:t xml:space="preserve">EE order is post-manifest (so SI exists in ERPNext) but cancelled before customer accepts delivery</w:t>
      </w:r>
    </w:p>
    <w:p>
      <w:pPr>
        <w:pStyle w:val="Compact"/>
        <w:numPr>
          <w:ilvl w:val="0"/>
          <w:numId w:val="1140"/>
        </w:numPr>
      </w:pPr>
      <w:r>
        <w:t xml:space="preserve">Common case: courier-side RTO before delivery</w:t>
      </w:r>
    </w:p>
    <w:p>
      <w:pPr>
        <w:pStyle w:val="Compact"/>
        <w:numPr>
          <w:ilvl w:val="0"/>
          <w:numId w:val="1140"/>
        </w:numPr>
      </w:pPr>
      <w:r>
        <w:t xml:space="preserve">EE return-receipt event fires (RTO)</w:t>
      </w:r>
    </w:p>
    <w:p>
      <w:pPr>
        <w:pStyle w:val="Compact"/>
        <w:numPr>
          <w:ilvl w:val="0"/>
          <w:numId w:val="1140"/>
        </w:numPr>
      </w:pPr>
      <w:r>
        <w:t xml:space="preserve">Integration creates Credit Note against the SI in ERPNext</w:t>
      </w:r>
    </w:p>
    <w:p>
      <w:pPr>
        <w:pStyle w:val="Compact"/>
        <w:numPr>
          <w:ilvl w:val="0"/>
          <w:numId w:val="1140"/>
        </w:numPr>
      </w:pPr>
      <w:r>
        <w:t xml:space="preserve">Credit Note has reverse_stock = True; stock returns to warehouse at original valuation</w:t>
      </w:r>
    </w:p>
    <w:p>
      <w:pPr>
        <w:pStyle w:val="Compact"/>
        <w:numPr>
          <w:ilvl w:val="0"/>
          <w:numId w:val="1140"/>
        </w:numPr>
      </w:pPr>
      <w:r>
        <w:t xml:space="preserve">Marketplace Order Map status: Cancelled-RTO</w:t>
      </w:r>
    </w:p>
    <w:p>
      <w:pPr>
        <w:pStyle w:val="Compact"/>
        <w:numPr>
          <w:ilvl w:val="0"/>
          <w:numId w:val="1140"/>
        </w:numPr>
      </w:pPr>
      <w:r>
        <w:t xml:space="preserve">This event correlates to settlement file Refund event from the marketplace — recon engine matches via marketplace_order_id</w:t>
      </w:r>
    </w:p>
    <w:bookmarkEnd w:id="246"/>
    <w:bookmarkStart w:id="247" w:name="b2c-return-post-delivery"/>
    <w:p>
      <w:pPr>
        <w:pStyle w:val="Heading2"/>
      </w:pPr>
      <w:r>
        <w:t xml:space="preserve">13.7 B2C return (post-delivery)</w:t>
      </w:r>
    </w:p>
    <w:p>
      <w:pPr>
        <w:pStyle w:val="Compact"/>
        <w:numPr>
          <w:ilvl w:val="0"/>
          <w:numId w:val="1141"/>
        </w:numPr>
      </w:pPr>
      <w:r>
        <w:t xml:space="preserve">Customer returns the product to the marketplace; marketplace ships back to seller’s warehouse</w:t>
      </w:r>
    </w:p>
    <w:p>
      <w:pPr>
        <w:pStyle w:val="Compact"/>
        <w:numPr>
          <w:ilvl w:val="0"/>
          <w:numId w:val="1141"/>
        </w:numPr>
      </w:pPr>
      <w:r>
        <w:t xml:space="preserve">EE return-receipt event with return_reason and inspection result</w:t>
      </w:r>
    </w:p>
    <w:p>
      <w:pPr>
        <w:pStyle w:val="Compact"/>
        <w:numPr>
          <w:ilvl w:val="0"/>
          <w:numId w:val="1141"/>
        </w:numPr>
      </w:pPr>
      <w:r>
        <w:t xml:space="preserve">Integration creates a Sales Return referencing the original SI</w:t>
      </w:r>
    </w:p>
    <w:p>
      <w:pPr>
        <w:pStyle w:val="Compact"/>
        <w:numPr>
          <w:ilvl w:val="0"/>
          <w:numId w:val="1141"/>
        </w:numPr>
      </w:pPr>
      <w:r>
        <w:t xml:space="preserve">Stock impact: depends on inspection result</w:t>
      </w:r>
    </w:p>
    <w:p>
      <w:pPr>
        <w:pStyle w:val="Compact"/>
        <w:numPr>
          <w:ilvl w:val="0"/>
          <w:numId w:val="1142"/>
        </w:numPr>
      </w:pPr>
      <w:r>
        <w:t xml:space="preserve">Accepted returns: stock back to default warehouse at original valuation</w:t>
      </w:r>
    </w:p>
    <w:p>
      <w:pPr>
        <w:pStyle w:val="Compact"/>
        <w:numPr>
          <w:ilvl w:val="0"/>
          <w:numId w:val="1142"/>
        </w:numPr>
      </w:pPr>
      <w:r>
        <w:t xml:space="preserve">Damaged returns: stock to a Damaged Returns Warehouse (configurable)</w:t>
      </w:r>
    </w:p>
    <w:p>
      <w:pPr>
        <w:pStyle w:val="Compact"/>
        <w:numPr>
          <w:ilvl w:val="0"/>
          <w:numId w:val="1142"/>
        </w:numPr>
      </w:pPr>
      <w:r>
        <w:t xml:space="preserve">Refused / lost returns: NO stock back; ERPNext Sales Return shows zero qty; financial reversal proceeds; an Integration Discrepancy of type Return-Without-Goods-Receipt is raised — see PRD Section 9.2.3</w:t>
      </w:r>
    </w:p>
    <w:bookmarkEnd w:id="247"/>
    <w:bookmarkStart w:id="248"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43"/>
        </w:numPr>
      </w:pPr>
      <w:r>
        <w:t xml:space="preserve">Detected by integration: settlement file shows Refund event; no corresponding EE return-receipt within configurable threshold (default 30 days)</w:t>
      </w:r>
    </w:p>
    <w:p>
      <w:pPr>
        <w:pStyle w:val="Compact"/>
        <w:numPr>
          <w:ilvl w:val="0"/>
          <w:numId w:val="1143"/>
        </w:numPr>
      </w:pPr>
      <w:r>
        <w:t xml:space="preserve">Integration raises an Integration Discrepancy of severity Error</w:t>
      </w:r>
    </w:p>
    <w:p>
      <w:pPr>
        <w:pStyle w:val="Compact"/>
        <w:numPr>
          <w:ilvl w:val="0"/>
          <w:numId w:val="1143"/>
        </w:numPr>
      </w:pPr>
      <w:r>
        <w:t xml:space="preserve">Recon engine creates a corresponding Discrepancy for FDE-led claim filing with the marketplace</w:t>
      </w:r>
    </w:p>
    <w:p>
      <w:pPr>
        <w:pStyle w:val="Compact"/>
        <w:numPr>
          <w:ilvl w:val="0"/>
          <w:numId w:val="1143"/>
        </w:numPr>
      </w:pPr>
      <w:r>
        <w:t xml:space="preserve">Methodology default (per PRD Section 3.5): unreceived returns past 30 days are reclassified as Lost Inventory and posted to Shrinkage account</w:t>
      </w:r>
    </w:p>
    <w:bookmarkEnd w:id="248"/>
    <w:bookmarkStart w:id="249" w:name="refund-accounting"/>
    <w:p>
      <w:pPr>
        <w:pStyle w:val="Heading2"/>
      </w:pPr>
      <w:r>
        <w:t xml:space="preserve">13.9 Refund accounting</w:t>
      </w:r>
    </w:p>
    <w:p>
      <w:pPr>
        <w:pStyle w:val="Compact"/>
        <w:numPr>
          <w:ilvl w:val="0"/>
          <w:numId w:val="1144"/>
        </w:numPr>
      </w:pPr>
      <w:r>
        <w:t xml:space="preserve">Credit Note creates a debit balance in the Customer (or pseudo-customer) account</w:t>
      </w:r>
    </w:p>
    <w:p>
      <w:pPr>
        <w:pStyle w:val="Compact"/>
        <w:numPr>
          <w:ilvl w:val="0"/>
          <w:numId w:val="1144"/>
        </w:numPr>
      </w:pPr>
      <w:r>
        <w:t xml:space="preserve">Refund settled via Payment Entry: the marketplace’s settlement file Refund event maps to a payment outflow that clears the debit</w:t>
      </w:r>
    </w:p>
    <w:p>
      <w:pPr>
        <w:pStyle w:val="Compact"/>
        <w:numPr>
          <w:ilvl w:val="0"/>
          <w:numId w:val="1144"/>
        </w:numPr>
      </w:pPr>
      <w:r>
        <w:t xml:space="preserve">For B2C: the marketplace handles refund to buyer; the seller’s books only show Customer Refund Payable until the settlement deduction</w:t>
      </w:r>
    </w:p>
    <w:p>
      <w:pPr>
        <w:pStyle w:val="Compact"/>
        <w:numPr>
          <w:ilvl w:val="0"/>
          <w:numId w:val="1144"/>
        </w:numPr>
      </w:pPr>
      <w:r>
        <w:t xml:space="preserve">For B2B: refund processed directly to customer via Payment Entry against the SR’s outstanding</w:t>
      </w:r>
    </w:p>
    <w:bookmarkEnd w:id="249"/>
    <w:bookmarkStart w:id="250"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45"/>
        </w:numPr>
      </w:pPr>
      <w:r>
        <w:t xml:space="preserve">ecs_easyecom_event_type — cancellation_pre_dispatch / cancellation_post_dispatch / return / rto</w:t>
      </w:r>
    </w:p>
    <w:p>
      <w:pPr>
        <w:pStyle w:val="Compact"/>
        <w:numPr>
          <w:ilvl w:val="0"/>
          <w:numId w:val="1145"/>
        </w:numPr>
      </w:pPr>
      <w:r>
        <w:t xml:space="preserve">ecs_easyecom_event_id — the EE event ID</w:t>
      </w:r>
    </w:p>
    <w:p>
      <w:pPr>
        <w:pStyle w:val="Compact"/>
        <w:numPr>
          <w:ilvl w:val="0"/>
          <w:numId w:val="1145"/>
        </w:numPr>
      </w:pPr>
      <w:r>
        <w:t xml:space="preserve">ecs_original_sales_invoice — link to the SI (for SR or CN)</w:t>
      </w:r>
    </w:p>
    <w:p>
      <w:pPr>
        <w:pStyle w:val="Compact"/>
        <w:numPr>
          <w:ilvl w:val="0"/>
          <w:numId w:val="1145"/>
        </w:numPr>
      </w:pPr>
      <w:r>
        <w:t xml:space="preserve">ecs_original_sales_order — link to the SO (for B2B)</w:t>
      </w:r>
    </w:p>
    <w:p>
      <w:pPr>
        <w:pStyle w:val="Compact"/>
        <w:numPr>
          <w:ilvl w:val="0"/>
          <w:numId w:val="1145"/>
        </w:numPr>
      </w:pPr>
      <w:r>
        <w:t xml:space="preserve">ecs_easyecom_return_reason — verbatim reason text from EE</w:t>
      </w:r>
    </w:p>
    <w:p>
      <w:pPr>
        <w:pStyle w:val="Compact"/>
        <w:numPr>
          <w:ilvl w:val="0"/>
          <w:numId w:val="1145"/>
        </w:numPr>
      </w:pPr>
      <w:r>
        <w:t xml:space="preserve">ecs_inspection_result — accepted / damaged / refused / lost</w:t>
      </w:r>
    </w:p>
    <w:bookmarkEnd w:id="250"/>
    <w:bookmarkStart w:id="251"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46"/>
        </w:numPr>
      </w:pPr>
      <w:r>
        <w:t xml:space="preserve">B2B SR → no settlement file involvement (B2B is not on marketplace)</w:t>
      </w:r>
    </w:p>
    <w:p>
      <w:pPr>
        <w:pStyle w:val="Compact"/>
        <w:numPr>
          <w:ilvl w:val="0"/>
          <w:numId w:val="1146"/>
        </w:numPr>
      </w:pPr>
      <w:r>
        <w:t xml:space="preserve">B2C Credit Note (post-manifest cancellation, RTO) → marketplace Settlement Line of type Refund or RTO-Charge</w:t>
      </w:r>
    </w:p>
    <w:p>
      <w:pPr>
        <w:pStyle w:val="Compact"/>
        <w:numPr>
          <w:ilvl w:val="0"/>
          <w:numId w:val="1146"/>
        </w:numPr>
      </w:pPr>
      <w:r>
        <w:t xml:space="preserve">B2C Sales Return (customer return) → marketplace Settlement Line of type Refund + Return-Commission-Reversal</w:t>
      </w:r>
    </w:p>
    <w:p>
      <w:pPr>
        <w:pStyle w:val="Compact"/>
        <w:numPr>
          <w:ilvl w:val="0"/>
          <w:numId w:val="1146"/>
        </w:numPr>
      </w:pPr>
      <w:r>
        <w:t xml:space="preserve">Settlement Line carries marketplace_return_id; recon engine joins on this to find the matching ERPNext artefact</w:t>
      </w:r>
    </w:p>
    <w:p>
      <w:pPr>
        <w:pStyle w:val="Compact"/>
        <w:numPr>
          <w:ilvl w:val="0"/>
          <w:numId w:val="1146"/>
        </w:numPr>
      </w:pPr>
      <w:r>
        <w:t xml:space="preserve">Mismatched cases (SR exists but no settlement event, or vice versa) become reconciliation Discrepancies of the Return Without Credit Note or Return Marked Goods Not Received types per PRD Section 9.2.3</w:t>
      </w:r>
    </w:p>
    <w:bookmarkEnd w:id="251"/>
    <w:bookmarkEnd w:id="252"/>
    <w:bookmarkStart w:id="253"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53"/>
    <w:bookmarkStart w:id="262"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54" w:name="the-topology-one-model"/>
    <w:p>
      <w:pPr>
        <w:pStyle w:val="Heading2"/>
      </w:pPr>
      <w:r>
        <w:t xml:space="preserve">14.1 The topology (one model)</w:t>
      </w:r>
    </w:p>
    <w:p>
      <w:pPr>
        <w:pStyle w:val="Compact"/>
        <w:numPr>
          <w:ilvl w:val="0"/>
          <w:numId w:val="1147"/>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47"/>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47"/>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47"/>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47"/>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47"/>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54"/>
    <w:bookmarkStart w:id="255" w:name="per-company-isolation"/>
    <w:p>
      <w:pPr>
        <w:pStyle w:val="Heading2"/>
      </w:pPr>
      <w:r>
        <w:t xml:space="preserve">14.2 Per-Company isolation</w:t>
      </w:r>
    </w:p>
    <w:p>
      <w:pPr>
        <w:pStyle w:val="Compact"/>
        <w:numPr>
          <w:ilvl w:val="0"/>
          <w:numId w:val="1148"/>
        </w:numPr>
      </w:pPr>
      <w:r>
        <w:t xml:space="preserve">EasyEcom Account: one per deployment; holds credentials and account-wide configuration.</w:t>
      </w:r>
    </w:p>
    <w:p>
      <w:pPr>
        <w:pStyle w:val="Compact"/>
        <w:numPr>
          <w:ilvl w:val="0"/>
          <w:numId w:val="1148"/>
        </w:numPr>
      </w:pPr>
      <w:r>
        <w:t xml:space="preserve">Per-Company settings record: one per operational Company; holds alert recipients, assigned FDE, and per-Company overrides.</w:t>
      </w:r>
    </w:p>
    <w:p>
      <w:pPr>
        <w:pStyle w:val="Compact"/>
        <w:numPr>
          <w:ilvl w:val="0"/>
          <w:numId w:val="1148"/>
        </w:numPr>
      </w:pPr>
      <w:r>
        <w:t xml:space="preserve">EasyEcom Location: one per location_key; carries frappe_company (nullable, non-unique) resolving the location to its Company.</w:t>
      </w:r>
    </w:p>
    <w:p>
      <w:pPr>
        <w:pStyle w:val="Compact"/>
        <w:numPr>
          <w:ilvl w:val="0"/>
          <w:numId w:val="1148"/>
        </w:numPr>
      </w:pPr>
      <w:r>
        <w:t xml:space="preserve">Marketplace Account: per Company. Composite unique key (company, marketplace, marketplace_seller_id).</w:t>
      </w:r>
    </w:p>
    <w:p>
      <w:pPr>
        <w:pStyle w:val="Compact"/>
        <w:numPr>
          <w:ilvl w:val="0"/>
          <w:numId w:val="1148"/>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48"/>
        </w:numPr>
      </w:pPr>
      <w:r>
        <w:t xml:space="preserve">All Frappe queries in the integration filter by company explicitly — never reliant on global session state.</w:t>
      </w:r>
    </w:p>
    <w:p>
      <w:pPr>
        <w:pStyle w:val="Compact"/>
        <w:numPr>
          <w:ilvl w:val="0"/>
          <w:numId w:val="1148"/>
        </w:numPr>
      </w:pPr>
      <w:r>
        <w:t xml:space="preserve">Database-level: every operational table is indexed on (company, …) as the leading composite key for query performance and isolation.</w:t>
      </w:r>
    </w:p>
    <w:p>
      <w:pPr>
        <w:pStyle w:val="Compact"/>
        <w:numPr>
          <w:ilvl w:val="0"/>
          <w:numId w:val="1148"/>
        </w:numPr>
      </w:pPr>
      <w:r>
        <w:t xml:space="preserve">User Permissions ensure a Company A user cannot see Company B sync state or sync logs.</w:t>
      </w:r>
    </w:p>
    <w:bookmarkEnd w:id="255"/>
    <w:bookmarkStart w:id="256"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6"/>
    <w:bookmarkStart w:id="257"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57"/>
    <w:bookmarkStart w:id="258" w:name="cross-company-transfers"/>
    <w:p>
      <w:pPr>
        <w:pStyle w:val="Heading2"/>
      </w:pPr>
      <w:r>
        <w:t xml:space="preserve">14.5 Cross-Company transfers</w:t>
      </w:r>
    </w:p>
    <w:p>
      <w:pPr>
        <w:pStyle w:val="Compact"/>
        <w:numPr>
          <w:ilvl w:val="0"/>
          <w:numId w:val="1149"/>
        </w:numPr>
      </w:pPr>
      <w:r>
        <w:t xml:space="preserve">Stock movements crossing Company boundaries use ERPNext’s Inter-Company flow (Sales Invoice on selling Company + Purchase Invoice on receiving Company)</w:t>
      </w:r>
    </w:p>
    <w:p>
      <w:pPr>
        <w:pStyle w:val="Compact"/>
        <w:numPr>
          <w:ilvl w:val="0"/>
          <w:numId w:val="1149"/>
        </w:numPr>
      </w:pPr>
      <w:r>
        <w:t xml:space="preserve">Each Company’s side independently applies the integration based on its Source-of-Truth Map</w:t>
      </w:r>
    </w:p>
    <w:p>
      <w:pPr>
        <w:pStyle w:val="Compact"/>
        <w:numPr>
          <w:ilvl w:val="0"/>
          <w:numId w:val="1149"/>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49"/>
        </w:numPr>
      </w:pPr>
      <w:r>
        <w:t xml:space="preserve">Correlation: ecs_intercompany_link field on both the SI and PI carries the same UUID so the two halves can be correlated</w:t>
      </w:r>
    </w:p>
    <w:bookmarkEnd w:id="258"/>
    <w:bookmarkStart w:id="259" w:name="gst-registration-per-company"/>
    <w:p>
      <w:pPr>
        <w:pStyle w:val="Heading2"/>
      </w:pPr>
      <w:r>
        <w:t xml:space="preserve">14.6 GST registration per Company</w:t>
      </w:r>
    </w:p>
    <w:p>
      <w:pPr>
        <w:pStyle w:val="Compact"/>
        <w:numPr>
          <w:ilvl w:val="0"/>
          <w:numId w:val="1150"/>
        </w:numPr>
      </w:pPr>
      <w:r>
        <w:t xml:space="preserve">Each Company has its own GSTINs (one per state of registration via India Compliance)</w:t>
      </w:r>
    </w:p>
    <w:p>
      <w:pPr>
        <w:pStyle w:val="Compact"/>
        <w:numPr>
          <w:ilvl w:val="0"/>
          <w:numId w:val="1150"/>
        </w:numPr>
      </w:pPr>
      <w:r>
        <w:t xml:space="preserve">Each Marketplace Account holds the relevant GSTIN for the seller account</w:t>
      </w:r>
    </w:p>
    <w:p>
      <w:pPr>
        <w:pStyle w:val="Compact"/>
        <w:numPr>
          <w:ilvl w:val="0"/>
          <w:numId w:val="1150"/>
        </w:numPr>
      </w:pPr>
      <w:r>
        <w:t xml:space="preserve">Tax categories and place-of-supply rules apply per-Company</w:t>
      </w:r>
    </w:p>
    <w:p>
      <w:pPr>
        <w:pStyle w:val="Compact"/>
        <w:numPr>
          <w:ilvl w:val="0"/>
          <w:numId w:val="1150"/>
        </w:numPr>
      </w:pPr>
      <w:r>
        <w:t xml:space="preserve">e-invoice and e-waybill issuance is scoped to the Company’s GSTIN</w:t>
      </w:r>
    </w:p>
    <w:bookmarkEnd w:id="259"/>
    <w:bookmarkStart w:id="260" w:name="fde-assignment"/>
    <w:p>
      <w:pPr>
        <w:pStyle w:val="Heading2"/>
      </w:pPr>
      <w:r>
        <w:t xml:space="preserve">14.7 FDE assignment</w:t>
      </w:r>
    </w:p>
    <w:p>
      <w:pPr>
        <w:pStyle w:val="Compact"/>
        <w:numPr>
          <w:ilvl w:val="0"/>
          <w:numId w:val="1151"/>
        </w:numPr>
      </w:pPr>
      <w:r>
        <w:t xml:space="preserve">Each operational Company has an assigned_fde field (Link to User) on its per-Company settings record — drives auto-routing of Discrepancy creation</w:t>
      </w:r>
    </w:p>
    <w:p>
      <w:pPr>
        <w:pStyle w:val="Compact"/>
        <w:numPr>
          <w:ilvl w:val="0"/>
          <w:numId w:val="1151"/>
        </w:numPr>
      </w:pPr>
      <w:r>
        <w:t xml:space="preserve">FDEs see only their assigned Companies in standard list views (User Permissions enforce this)</w:t>
      </w:r>
    </w:p>
    <w:p>
      <w:pPr>
        <w:pStyle w:val="Compact"/>
        <w:numPr>
          <w:ilvl w:val="0"/>
          <w:numId w:val="1151"/>
        </w:numPr>
      </w:pPr>
      <w:r>
        <w:t xml:space="preserve">System Manager bypasses per-Company FDE assignment for cross-Company views</w:t>
      </w:r>
    </w:p>
    <w:p>
      <w:pPr>
        <w:pStyle w:val="Compact"/>
        <w:numPr>
          <w:ilvl w:val="0"/>
          <w:numId w:val="1151"/>
        </w:numPr>
      </w:pPr>
      <w:r>
        <w:t xml:space="preserve">Workload metrics computed per-FDE: count of assigned Companies × open-discrepancy-weight (Section 22.6)</w:t>
      </w:r>
    </w:p>
    <w:bookmarkEnd w:id="260"/>
    <w:bookmarkStart w:id="261"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61"/>
    <w:bookmarkEnd w:id="262"/>
    <w:bookmarkStart w:id="270"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63"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63"/>
    <w:bookmarkStart w:id="264"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the UoM mapping (UoM lookup / Field Mapping) and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64"/>
    <w:bookmarkStart w:id="265" w:name="buying-flow-failures"/>
    <w:p>
      <w:pPr>
        <w:pStyle w:val="Heading2"/>
      </w:pPr>
      <w:r>
        <w:t xml:space="preserve">15.3 Buying flow failures</w:t>
      </w:r>
    </w:p>
    <w:p>
      <w:pPr>
        <w:pStyle w:val="Compact"/>
        <w:numPr>
          <w:ilvl w:val="0"/>
          <w:numId w:val="1152"/>
        </w:numPr>
      </w:pPr>
      <w:r>
        <w:t xml:space="preserve">PO push fails (precondition unmet) — fix master sync and resubmit</w:t>
      </w:r>
    </w:p>
    <w:p>
      <w:pPr>
        <w:pStyle w:val="Compact"/>
        <w:numPr>
          <w:ilvl w:val="0"/>
          <w:numId w:val="1152"/>
        </w:numPr>
      </w:pPr>
      <w:r>
        <w:t xml:space="preserve">PO push fails (EE rejects post-validation) — inspect Queue Job; usually master mismatch; FDE corrects and retries</w:t>
      </w:r>
    </w:p>
    <w:p>
      <w:pPr>
        <w:pStyle w:val="Compact"/>
        <w:numPr>
          <w:ilvl w:val="0"/>
          <w:numId w:val="1152"/>
        </w:numPr>
      </w:pPr>
      <w:r>
        <w:t xml:space="preserve">GRN webhook missed — automatic catch-up via 30-min poll</w:t>
      </w:r>
    </w:p>
    <w:p>
      <w:pPr>
        <w:pStyle w:val="Compact"/>
        <w:numPr>
          <w:ilvl w:val="0"/>
          <w:numId w:val="1152"/>
        </w:numPr>
      </w:pPr>
      <w:r>
        <w:t xml:space="preserve">GRN ingestion partial-failure (PR built but submit failed) — fix root cause (often account configuration), retry the Queue Job</w:t>
      </w:r>
    </w:p>
    <w:p>
      <w:pPr>
        <w:pStyle w:val="Compact"/>
        <w:numPr>
          <w:ilvl w:val="0"/>
          <w:numId w:val="1152"/>
        </w:numPr>
      </w:pPr>
      <w:r>
        <w:t xml:space="preserve">Out-of-order: GRN arrives before EE PO is fully created — Queue Job loops up to 6 times waiting; manual investigation if persistent</w:t>
      </w:r>
    </w:p>
    <w:p>
      <w:pPr>
        <w:pStyle w:val="Compact"/>
        <w:numPr>
          <w:ilvl w:val="0"/>
          <w:numId w:val="1152"/>
        </w:numPr>
      </w:pPr>
      <w:r>
        <w:t xml:space="preserve">Over-receipt — fail PR submission; FDE amends PO or splits the GRN</w:t>
      </w:r>
    </w:p>
    <w:bookmarkEnd w:id="265"/>
    <w:bookmarkStart w:id="266" w:name="sales-flow-failures"/>
    <w:p>
      <w:pPr>
        <w:pStyle w:val="Heading2"/>
      </w:pPr>
      <w:r>
        <w:t xml:space="preserve">15.4 Sales flow failures</w:t>
      </w:r>
    </w:p>
    <w:p>
      <w:pPr>
        <w:pStyle w:val="Compact"/>
        <w:numPr>
          <w:ilvl w:val="0"/>
          <w:numId w:val="1153"/>
        </w:numPr>
      </w:pPr>
      <w:r>
        <w:t xml:space="preserve">B2B SO push fails (Sync mode) — user sees error immediately; fix and resubmit</w:t>
      </w:r>
    </w:p>
    <w:p>
      <w:pPr>
        <w:pStyle w:val="Compact"/>
        <w:numPr>
          <w:ilvl w:val="0"/>
          <w:numId w:val="1153"/>
        </w:numPr>
      </w:pPr>
      <w:r>
        <w:t xml:space="preserve">B2B SO push fails (Async mode) — Queue Job in Failed; FDE inspects, fixes, retries; meanwhile SO is valid in ERPNext but EE doesn’t know</w:t>
      </w:r>
    </w:p>
    <w:p>
      <w:pPr>
        <w:pStyle w:val="Compact"/>
        <w:numPr>
          <w:ilvl w:val="0"/>
          <w:numId w:val="1153"/>
        </w:numPr>
      </w:pPr>
      <w:r>
        <w:t xml:space="preserve">B2B inventory reserve event mismatch — ERPNext shows lower available than EE expects; SRE creation fails; FDE investigates inventory drift</w:t>
      </w:r>
    </w:p>
    <w:p>
      <w:pPr>
        <w:pStyle w:val="Compact"/>
        <w:numPr>
          <w:ilvl w:val="0"/>
          <w:numId w:val="1153"/>
        </w:numPr>
      </w:pPr>
      <w:r>
        <w:t xml:space="preserve">B2C manifest event without a matching order in our pull cache — pull orders explicitly first, then process the manifest</w:t>
      </w:r>
    </w:p>
    <w:p>
      <w:pPr>
        <w:pStyle w:val="Compact"/>
        <w:numPr>
          <w:ilvl w:val="0"/>
          <w:numId w:val="1153"/>
        </w:numPr>
      </w:pPr>
      <w:r>
        <w:t xml:space="preserve">B2C SI creation fails (item not synced) — fix sync, retry Queue Job; meanwhile EE has already dispatched, so the SI will lag dispatch</w:t>
      </w:r>
    </w:p>
    <w:p>
      <w:pPr>
        <w:pStyle w:val="Compact"/>
        <w:numPr>
          <w:ilvl w:val="0"/>
          <w:numId w:val="1153"/>
        </w:numPr>
      </w:pPr>
      <w:r>
        <w:t xml:space="preserve">e-invoice IRN failure — India Compliance auto-retries; FDE investigates if persistent (often IRP API issues)</w:t>
      </w:r>
    </w:p>
    <w:bookmarkEnd w:id="266"/>
    <w:bookmarkStart w:id="267" w:name="returns-and-cancellations-failures"/>
    <w:p>
      <w:pPr>
        <w:pStyle w:val="Heading2"/>
      </w:pPr>
      <w:r>
        <w:t xml:space="preserve">15.5 Returns and cancellations failures</w:t>
      </w:r>
    </w:p>
    <w:p>
      <w:pPr>
        <w:pStyle w:val="Compact"/>
        <w:numPr>
          <w:ilvl w:val="0"/>
          <w:numId w:val="1154"/>
        </w:numPr>
      </w:pPr>
      <w:r>
        <w:t xml:space="preserve">Cancellation arrives but original SO/SI not in ERPNext — out-of-order; loop with retries</w:t>
      </w:r>
    </w:p>
    <w:p>
      <w:pPr>
        <w:pStyle w:val="Compact"/>
        <w:numPr>
          <w:ilvl w:val="0"/>
          <w:numId w:val="1154"/>
        </w:numPr>
      </w:pPr>
      <w:r>
        <w:t xml:space="preserve">SR creation fails — usually Item-level setting mismatch (batch tracking, etc.); fix and retry</w:t>
      </w:r>
    </w:p>
    <w:p>
      <w:pPr>
        <w:pStyle w:val="Compact"/>
        <w:numPr>
          <w:ilvl w:val="0"/>
          <w:numId w:val="1154"/>
        </w:numPr>
      </w:pPr>
      <w:r>
        <w:t xml:space="preserve">Return-without-goods — not a failure but a Discrepancy; recon engine routes to claim queue per PRD Section 9.4</w:t>
      </w:r>
    </w:p>
    <w:p>
      <w:pPr>
        <w:pStyle w:val="Compact"/>
        <w:numPr>
          <w:ilvl w:val="0"/>
          <w:numId w:val="1154"/>
        </w:numPr>
      </w:pPr>
      <w:r>
        <w:t xml:space="preserve">Refund Payment Entry fails — usually account configuration; fix and retry</w:t>
      </w:r>
    </w:p>
    <w:bookmarkEnd w:id="267"/>
    <w:bookmarkStart w:id="268"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55"/>
        </w:numPr>
      </w:pPr>
      <w:r>
        <w:t xml:space="preserve">Daily full inventory pull from EasyEcom (/inventory/getInventoryDetailsV3)</w:t>
      </w:r>
    </w:p>
    <w:p>
      <w:pPr>
        <w:pStyle w:val="Compact"/>
        <w:numPr>
          <w:ilvl w:val="0"/>
          <w:numId w:val="1155"/>
        </w:numPr>
      </w:pPr>
      <w:r>
        <w:t xml:space="preserve">Compared per (Item, location) against ERPNext Bin balance</w:t>
      </w:r>
    </w:p>
    <w:p>
      <w:pPr>
        <w:pStyle w:val="Compact"/>
        <w:numPr>
          <w:ilvl w:val="0"/>
          <w:numId w:val="1155"/>
        </w:numPr>
      </w:pPr>
      <w:r>
        <w:t xml:space="preserve">Variance &gt; tolerance (default 1 unit) raises Integration Discrepancy of severity Warning</w:t>
      </w:r>
    </w:p>
    <w:p>
      <w:pPr>
        <w:pStyle w:val="Compact"/>
        <w:numPr>
          <w:ilvl w:val="0"/>
          <w:numId w:val="1155"/>
        </w:numPr>
      </w:pPr>
      <w:r>
        <w:t xml:space="preserve">FDE investigates — common causes: missed webhook, manual override on one side, inter-Company transfer not reflected</w:t>
      </w:r>
    </w:p>
    <w:p>
      <w:pPr>
        <w:pStyle w:val="Compact"/>
        <w:numPr>
          <w:ilvl w:val="0"/>
          <w:numId w:val="1155"/>
        </w:numPr>
      </w:pPr>
      <w:r>
        <w:t xml:space="preserve">Resolution: usually a Stock Reconciliation in ERPNext to align with EE; never the reverse direction (EE inventory adjusted from ERPNext) without explicit approval</w:t>
      </w:r>
    </w:p>
    <w:bookmarkEnd w:id="268"/>
    <w:bookmarkStart w:id="269" w:name="critical-severity-incidents"/>
    <w:p>
      <w:pPr>
        <w:pStyle w:val="Heading2"/>
      </w:pPr>
      <w:r>
        <w:t xml:space="preserve">15.7 Critical-severity incidents</w:t>
      </w:r>
    </w:p>
    <w:p>
      <w:pPr>
        <w:pStyle w:val="Compact"/>
        <w:numPr>
          <w:ilvl w:val="0"/>
          <w:numId w:val="1156"/>
        </w:numPr>
      </w:pPr>
      <w:r>
        <w:t xml:space="preserve">Data-loss potential (e.g., webhook indicates GL-impacting event but ingestion failed) → page the on-call FDE immediately</w:t>
      </w:r>
    </w:p>
    <w:p>
      <w:pPr>
        <w:pStyle w:val="Compact"/>
        <w:numPr>
          <w:ilvl w:val="0"/>
          <w:numId w:val="1156"/>
        </w:numPr>
      </w:pPr>
      <w:r>
        <w:t xml:space="preserve">Cross-Company data leak (Company A user sees Company B data) → kill switch on user; investigate; report</w:t>
      </w:r>
    </w:p>
    <w:p>
      <w:pPr>
        <w:pStyle w:val="Compact"/>
        <w:numPr>
          <w:ilvl w:val="0"/>
          <w:numId w:val="1156"/>
        </w:numPr>
      </w:pPr>
      <w:r>
        <w:t xml:space="preserve">Credential compromise (api_key leaked, JWT exposed) → rotate immediately; audit all API Call entries since last rotation</w:t>
      </w:r>
    </w:p>
    <w:p>
      <w:pPr>
        <w:pStyle w:val="Compact"/>
        <w:numPr>
          <w:ilvl w:val="0"/>
          <w:numId w:val="1156"/>
        </w:numPr>
      </w:pPr>
      <w:r>
        <w:t xml:space="preserve">Sustained data divergence (&gt;10 Discrepancies/day for &gt;3 days on one Company) → engage methodology team for root-cause</w:t>
      </w:r>
    </w:p>
    <w:bookmarkEnd w:id="269"/>
    <w:bookmarkEnd w:id="270"/>
    <w:bookmarkStart w:id="280"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71"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71"/>
    <w:bookmarkStart w:id="272" w:name="per-site-scale-envelopes"/>
    <w:p>
      <w:pPr>
        <w:pStyle w:val="Heading2"/>
      </w:pPr>
      <w:r>
        <w:t xml:space="preserve">16.2 Per-site scale envelopes</w:t>
      </w:r>
    </w:p>
    <w:p>
      <w:pPr>
        <w:pStyle w:val="Compact"/>
        <w:numPr>
          <w:ilvl w:val="0"/>
          <w:numId w:val="1157"/>
        </w:numPr>
      </w:pPr>
      <w:r>
        <w:t xml:space="preserve">v0.1: tested at 5,000 orders/month, 10,000 SKUs, 5 marketplaces, 1 Company</w:t>
      </w:r>
    </w:p>
    <w:p>
      <w:pPr>
        <w:pStyle w:val="Compact"/>
        <w:numPr>
          <w:ilvl w:val="0"/>
          <w:numId w:val="1157"/>
        </w:numPr>
      </w:pPr>
      <w:r>
        <w:t xml:space="preserve">v0.5: tested at 30,000 orders/month, 50,000 SKUs, 8 marketplaces, 5 Companies (aggregator)</w:t>
      </w:r>
    </w:p>
    <w:p>
      <w:pPr>
        <w:pStyle w:val="Compact"/>
        <w:numPr>
          <w:ilvl w:val="0"/>
          <w:numId w:val="1157"/>
        </w:numPr>
      </w:pPr>
      <w:r>
        <w:t xml:space="preserve">v1.0: tested at 100,000 orders/month, 100,000 SKUs, 10 marketplaces, 10 Companies</w:t>
      </w:r>
    </w:p>
    <w:bookmarkEnd w:id="272"/>
    <w:bookmarkStart w:id="273"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73"/>
    <w:bookmarkStart w:id="274" w:name="memory-and-concurrency-envelopes"/>
    <w:p>
      <w:pPr>
        <w:pStyle w:val="Heading2"/>
      </w:pPr>
      <w:r>
        <w:t xml:space="preserve">16.4 Memory and concurrency envelopes</w:t>
      </w:r>
    </w:p>
    <w:p>
      <w:pPr>
        <w:pStyle w:val="Compact"/>
        <w:numPr>
          <w:ilvl w:val="0"/>
          <w:numId w:val="1158"/>
        </w:numPr>
      </w:pPr>
      <w:r>
        <w:t xml:space="preserve">Worker memory ceiling: each background worker stays under 512 MB resident memory; jobs streaming large payloads (e.g., bulk Item sync) use chunk-based processing</w:t>
      </w:r>
    </w:p>
    <w:p>
      <w:pPr>
        <w:pStyle w:val="Compact"/>
        <w:numPr>
          <w:ilvl w:val="0"/>
          <w:numId w:val="1158"/>
        </w:numPr>
      </w:pPr>
      <w:r>
        <w:t xml:space="preserve">API client connection pool: 10 connections per worker per location_key; reused across calls within a worker process</w:t>
      </w:r>
    </w:p>
    <w:p>
      <w:pPr>
        <w:pStyle w:val="Compact"/>
        <w:numPr>
          <w:ilvl w:val="0"/>
          <w:numId w:val="1158"/>
        </w:numPr>
      </w:pPr>
      <w:r>
        <w:t xml:space="preserve">Redis cache budget: 100 MB per Company for compiled Field Mappings, JWT tokens, master ID lookups</w:t>
      </w:r>
    </w:p>
    <w:p>
      <w:pPr>
        <w:pStyle w:val="Compact"/>
        <w:numPr>
          <w:ilvl w:val="0"/>
          <w:numId w:val="1158"/>
        </w:numPr>
      </w:pPr>
      <w:r>
        <w:t xml:space="preserve">Database connection pool: shared with Frappe; integration code uses Frappe’s connection — no separate pool</w:t>
      </w:r>
    </w:p>
    <w:bookmarkEnd w:id="274"/>
    <w:bookmarkStart w:id="275" w:name="backpressure-handling"/>
    <w:p>
      <w:pPr>
        <w:pStyle w:val="Heading2"/>
      </w:pPr>
      <w:r>
        <w:t xml:space="preserve">16.5 Backpressure handling</w:t>
      </w:r>
    </w:p>
    <w:p>
      <w:pPr>
        <w:pStyle w:val="Compact"/>
        <w:numPr>
          <w:ilvl w:val="0"/>
          <w:numId w:val="1159"/>
        </w:numPr>
      </w:pPr>
      <w:r>
        <w:t xml:space="preserve">Queue depth &gt;Settings.queue_depth_warning_threshold (default 500): scheduler logs Warning and continues</w:t>
      </w:r>
    </w:p>
    <w:p>
      <w:pPr>
        <w:pStyle w:val="Compact"/>
        <w:numPr>
          <w:ilvl w:val="0"/>
          <w:numId w:val="1159"/>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59"/>
        </w:numPr>
      </w:pPr>
      <w:r>
        <w:t xml:space="preserve">Webhook receiver always returns 200 within 200 ms regardless of queue depth (processing fully decoupled)</w:t>
      </w:r>
    </w:p>
    <w:p>
      <w:pPr>
        <w:pStyle w:val="Compact"/>
        <w:numPr>
          <w:ilvl w:val="0"/>
          <w:numId w:val="1159"/>
        </w:numPr>
      </w:pPr>
      <w:r>
        <w:t xml:space="preserve">Per-Company throttle on outbound EE calls: Settings.max_throughput_per_sec (default 30) enforced via token bucket in Redis</w:t>
      </w:r>
    </w:p>
    <w:p>
      <w:pPr>
        <w:pStyle w:val="Compact"/>
        <w:numPr>
          <w:ilvl w:val="0"/>
          <w:numId w:val="1159"/>
        </w:numPr>
      </w:pPr>
      <w:r>
        <w:t xml:space="preserve">Persistent backpressure (queue at critical for &gt;30 min) surfaces as a Critical alert per Section 18</w:t>
      </w:r>
    </w:p>
    <w:bookmarkEnd w:id="275"/>
    <w:bookmarkStart w:id="276" w:name="timeout-configuration"/>
    <w:p>
      <w:pPr>
        <w:pStyle w:val="Heading2"/>
      </w:pPr>
      <w:r>
        <w:t xml:space="preserve">16.6 Timeout configuration</w:t>
      </w:r>
    </w:p>
    <w:p>
      <w:pPr>
        <w:pStyle w:val="Compact"/>
        <w:numPr>
          <w:ilvl w:val="0"/>
          <w:numId w:val="1160"/>
        </w:numPr>
      </w:pPr>
      <w:r>
        <w:t xml:space="preserve">HTTP request timeout to EasyEcom: 30 seconds connect + 60 seconds read (configurable per endpoint)</w:t>
      </w:r>
    </w:p>
    <w:p>
      <w:pPr>
        <w:pStyle w:val="Compact"/>
        <w:numPr>
          <w:ilvl w:val="0"/>
          <w:numId w:val="1160"/>
        </w:numPr>
      </w:pPr>
      <w:r>
        <w:t xml:space="preserve">Webhook receiver max processing time: 200 ms (synchronous portion); deferred work goes to queue</w:t>
      </w:r>
    </w:p>
    <w:p>
      <w:pPr>
        <w:pStyle w:val="Compact"/>
        <w:numPr>
          <w:ilvl w:val="0"/>
          <w:numId w:val="1160"/>
        </w:numPr>
      </w:pPr>
      <w:r>
        <w:t xml:space="preserve">Job execution max wall time: 5 minutes per attempt (kill and retry if exceeded; classify as transient)</w:t>
      </w:r>
    </w:p>
    <w:p>
      <w:pPr>
        <w:pStyle w:val="Compact"/>
        <w:numPr>
          <w:ilvl w:val="0"/>
          <w:numId w:val="1160"/>
        </w:numPr>
      </w:pPr>
      <w:r>
        <w:t xml:space="preserve">Scheduler tick interval: 60 seconds (Frappe default; not changed)</w:t>
      </w:r>
    </w:p>
    <w:bookmarkEnd w:id="276"/>
    <w:bookmarkStart w:id="277" w:name="rate-limit-handling"/>
    <w:p>
      <w:pPr>
        <w:pStyle w:val="Heading2"/>
      </w:pPr>
      <w:r>
        <w:t xml:space="preserve">16.7 Rate limit handling</w:t>
      </w:r>
    </w:p>
    <w:p>
      <w:pPr>
        <w:pStyle w:val="Compact"/>
        <w:numPr>
          <w:ilvl w:val="0"/>
          <w:numId w:val="1161"/>
        </w:numPr>
      </w:pPr>
      <w:r>
        <w:t xml:space="preserve">EasyEcom rate limits are tiered and documented (Section 3.10); the integration throttles to the account’s rate_limit_tier and tracks daily-quota consumption to stay under the cap</w:t>
      </w:r>
    </w:p>
    <w:p>
      <w:pPr>
        <w:pStyle w:val="Compact"/>
        <w:numPr>
          <w:ilvl w:val="0"/>
          <w:numId w:val="1161"/>
        </w:numPr>
      </w:pPr>
      <w:r>
        <w:t xml:space="preserve">On 429 response: read Retry-After header if present, otherwise back off 60 seconds</w:t>
      </w:r>
    </w:p>
    <w:p>
      <w:pPr>
        <w:pStyle w:val="Compact"/>
        <w:numPr>
          <w:ilvl w:val="0"/>
          <w:numId w:val="1161"/>
        </w:numPr>
      </w:pPr>
      <w:r>
        <w:t xml:space="preserve">On sustained 429 (&gt;5 in 60 seconds): pause that endpoint group for that Company for 5 minutes</w:t>
      </w:r>
    </w:p>
    <w:p>
      <w:pPr>
        <w:pStyle w:val="Compact"/>
        <w:numPr>
          <w:ilvl w:val="0"/>
          <w:numId w:val="1161"/>
        </w:numPr>
      </w:pPr>
      <w:r>
        <w:t xml:space="preserve">Token bucket implementation in Redis prevents our own runaway syncs</w:t>
      </w:r>
    </w:p>
    <w:bookmarkEnd w:id="277"/>
    <w:bookmarkStart w:id="278" w:name="Xafe86b41e14c75c899abefc6cfb116946dd1ac2"/>
    <w:p>
      <w:pPr>
        <w:pStyle w:val="Heading2"/>
      </w:pPr>
      <w:r>
        <w:t xml:space="preserve">16.8 Stress testing approach for v0.1 sign-off</w:t>
      </w:r>
    </w:p>
    <w:p>
      <w:pPr>
        <w:pStyle w:val="Compact"/>
        <w:numPr>
          <w:ilvl w:val="0"/>
          <w:numId w:val="1162"/>
        </w:numPr>
      </w:pPr>
      <w:r>
        <w:t xml:space="preserve">Synthetic data generation: tooling to populate a test EE sandbox + ERPNext site with 1000 orders, 5000 SKUs, all flow types</w:t>
      </w:r>
    </w:p>
    <w:p>
      <w:pPr>
        <w:pStyle w:val="Compact"/>
        <w:numPr>
          <w:ilvl w:val="0"/>
          <w:numId w:val="1162"/>
        </w:numPr>
      </w:pPr>
      <w:r>
        <w:t xml:space="preserve">End-to-end flow test: order placed → manifest → SI → settlement file upload → recon. All 10 flows executed at least 100x each</w:t>
      </w:r>
    </w:p>
    <w:p>
      <w:pPr>
        <w:pStyle w:val="Compact"/>
        <w:numPr>
          <w:ilvl w:val="0"/>
          <w:numId w:val="1162"/>
        </w:numPr>
      </w:pPr>
      <w:r>
        <w:t xml:space="preserve">Burst test: 200 webhooks/min for 30 minutes — verify no drops, no duplicates, no out-of-order processing failures</w:t>
      </w:r>
    </w:p>
    <w:p>
      <w:pPr>
        <w:pStyle w:val="Compact"/>
        <w:numPr>
          <w:ilvl w:val="0"/>
          <w:numId w:val="1162"/>
        </w:numPr>
      </w:pPr>
      <w:r>
        <w:t xml:space="preserve">Failure-injection test: random EE API errors (rate limit, 5xx, auth fail) — verify auto-recovery within tolerance</w:t>
      </w:r>
    </w:p>
    <w:p>
      <w:pPr>
        <w:pStyle w:val="Compact"/>
        <w:numPr>
          <w:ilvl w:val="0"/>
          <w:numId w:val="1162"/>
        </w:numPr>
      </w:pPr>
      <w:r>
        <w:t xml:space="preserve">Concurrency test: 4 simultaneous workers per Company processing pulls + pushes + webhooks — verify no race conditions, no double-processing</w:t>
      </w:r>
    </w:p>
    <w:p>
      <w:pPr>
        <w:pStyle w:val="Compact"/>
        <w:numPr>
          <w:ilvl w:val="0"/>
          <w:numId w:val="1162"/>
        </w:numPr>
      </w:pPr>
      <w:r>
        <w:t xml:space="preserve">Memory soak: 24-hour run at sustained 500 orders/hour — verify no memory leak, RSS stays under ceiling</w:t>
      </w:r>
    </w:p>
    <w:p>
      <w:pPr>
        <w:pStyle w:val="Compact"/>
        <w:numPr>
          <w:ilvl w:val="0"/>
          <w:numId w:val="1162"/>
        </w:numPr>
      </w:pPr>
      <w:r>
        <w:t xml:space="preserve">Data integrity audit: full reconciliation of test-site state vs expected state after stress run</w:t>
      </w:r>
    </w:p>
    <w:bookmarkEnd w:id="278"/>
    <w:bookmarkStart w:id="279" w:name="performance-regression-detection"/>
    <w:p>
      <w:pPr>
        <w:pStyle w:val="Heading2"/>
      </w:pPr>
      <w:r>
        <w:t xml:space="preserve">16.9 Performance regression detection</w:t>
      </w:r>
    </w:p>
    <w:p>
      <w:pPr>
        <w:pStyle w:val="Compact"/>
        <w:numPr>
          <w:ilvl w:val="0"/>
          <w:numId w:val="1163"/>
        </w:numPr>
      </w:pPr>
      <w:r>
        <w:t xml:space="preserve">Per-endpoint p50/p95/p99 latency tracked in API Call records</w:t>
      </w:r>
    </w:p>
    <w:p>
      <w:pPr>
        <w:pStyle w:val="Compact"/>
        <w:numPr>
          <w:ilvl w:val="0"/>
          <w:numId w:val="1163"/>
        </w:numPr>
      </w:pPr>
      <w:r>
        <w:t xml:space="preserve">Hourly cron computes rolling 24-hour percentiles per endpoint</w:t>
      </w:r>
    </w:p>
    <w:p>
      <w:pPr>
        <w:pStyle w:val="Compact"/>
        <w:numPr>
          <w:ilvl w:val="0"/>
          <w:numId w:val="1163"/>
        </w:numPr>
      </w:pPr>
      <w:r>
        <w:t xml:space="preserve">Regression detected when p95 deviates &gt;2× from prior 7-day baseline</w:t>
      </w:r>
    </w:p>
    <w:p>
      <w:pPr>
        <w:pStyle w:val="Compact"/>
        <w:numPr>
          <w:ilvl w:val="0"/>
          <w:numId w:val="1163"/>
        </w:numPr>
      </w:pPr>
      <w:r>
        <w:t xml:space="preserve">Alert per Section 18 (Warning severity by default; Error if affecting a flow with active SLA Budget)</w:t>
      </w:r>
    </w:p>
    <w:bookmarkEnd w:id="279"/>
    <w:bookmarkEnd w:id="280"/>
    <w:bookmarkStart w:id="281"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81"/>
    <w:bookmarkStart w:id="316"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82" w:name="design-philosophy"/>
    <w:p>
      <w:pPr>
        <w:pStyle w:val="Heading2"/>
      </w:pPr>
      <w:r>
        <w:t xml:space="preserve">17.1 Design philosophy</w:t>
      </w:r>
    </w:p>
    <w:p>
      <w:pPr>
        <w:pStyle w:val="Compact"/>
        <w:numPr>
          <w:ilvl w:val="0"/>
          <w:numId w:val="1164"/>
        </w:numPr>
      </w:pPr>
      <w:r>
        <w:t xml:space="preserve">Every flow has a UI surface. If a flow exists in the integration, the operator can see its current state, history, and pending work in the desk</w:t>
      </w:r>
    </w:p>
    <w:p>
      <w:pPr>
        <w:pStyle w:val="Compact"/>
        <w:numPr>
          <w:ilvl w:val="0"/>
          <w:numId w:val="1164"/>
        </w:numPr>
      </w:pPr>
      <w:r>
        <w:t xml:space="preserve">Every action is reversible or replayable. No destructive button is one click away; every retry shows what will happen before committing</w:t>
      </w:r>
    </w:p>
    <w:p>
      <w:pPr>
        <w:pStyle w:val="Compact"/>
        <w:numPr>
          <w:ilvl w:val="0"/>
          <w:numId w:val="1164"/>
        </w:numPr>
      </w:pPr>
      <w:r>
        <w:t xml:space="preserve">Every error has a story. From the moment an alert fires, the operator can navigate alert → underlying error → relevant document → suggested remediation in a single thread</w:t>
      </w:r>
    </w:p>
    <w:p>
      <w:pPr>
        <w:pStyle w:val="Compact"/>
        <w:numPr>
          <w:ilvl w:val="0"/>
          <w:numId w:val="1164"/>
        </w:numPr>
      </w:pPr>
      <w:r>
        <w:t xml:space="preserve">Every screen states its scope. Multi-Company users always know which Company they’re looking at; Sandbox users always know they’re in Sandbox</w:t>
      </w:r>
    </w:p>
    <w:p>
      <w:pPr>
        <w:pStyle w:val="Compact"/>
        <w:numPr>
          <w:ilvl w:val="0"/>
          <w:numId w:val="1164"/>
        </w:numPr>
      </w:pPr>
      <w:r>
        <w:t xml:space="preserve">Information density over decoration. Lists show enough columns to make decisions without opening rows; status badges use colour and icon, not just colour</w:t>
      </w:r>
    </w:p>
    <w:p>
      <w:pPr>
        <w:pStyle w:val="Compact"/>
        <w:numPr>
          <w:ilvl w:val="0"/>
          <w:numId w:val="1164"/>
        </w:numPr>
      </w:pPr>
      <w:r>
        <w:t xml:space="preserve">No vendor-staring. The FDE should be doing investigation in our UI 95% of the time, not in the EasyEcom dashboard</w:t>
      </w:r>
    </w:p>
    <w:bookmarkEnd w:id="282"/>
    <w:bookmarkStart w:id="288"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83" w:name="top-row-environment-and-connection"/>
    <w:p>
      <w:pPr>
        <w:pStyle w:val="Heading3"/>
      </w:pPr>
      <w:r>
        <w:t xml:space="preserve">17.2.1 Top row — environment and connection</w:t>
      </w:r>
    </w:p>
    <w:p>
      <w:pPr>
        <w:pStyle w:val="Compact"/>
        <w:numPr>
          <w:ilvl w:val="0"/>
          <w:numId w:val="1165"/>
        </w:numPr>
      </w:pPr>
      <w:r>
        <w:t xml:space="preserve">Environment badge: large, coloured. Sandbox = orange, Production = green. Cannot be missed</w:t>
      </w:r>
    </w:p>
    <w:p>
      <w:pPr>
        <w:pStyle w:val="Compact"/>
        <w:numPr>
          <w:ilvl w:val="0"/>
          <w:numId w:val="1165"/>
        </w:numPr>
      </w:pPr>
      <w:r>
        <w:t xml:space="preserve">Connection status per Company: green/yellow/red dot per Company in scope, with last-successful-call timestamp</w:t>
      </w:r>
    </w:p>
    <w:p>
      <w:pPr>
        <w:pStyle w:val="Compact"/>
        <w:numPr>
          <w:ilvl w:val="0"/>
          <w:numId w:val="1165"/>
        </w:numPr>
      </w:pPr>
      <w:r>
        <w:t xml:space="preserve">Pause All Syncs kill-switch: the panic button. One click pauses all background syncs for the current Company; surfaces a desk-wide banner so the operator never forgets it’s paused</w:t>
      </w:r>
    </w:p>
    <w:bookmarkEnd w:id="283"/>
    <w:bookmarkStart w:id="284"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66"/>
        </w:numPr>
      </w:pPr>
      <w:r>
        <w:t xml:space="preserve">Open Sync Records (failed) — red number. Click to filter Sync Record list to status=Failed</w:t>
      </w:r>
    </w:p>
    <w:p>
      <w:pPr>
        <w:pStyle w:val="Compact"/>
        <w:numPr>
          <w:ilvl w:val="0"/>
          <w:numId w:val="1166"/>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66"/>
        </w:numPr>
      </w:pPr>
      <w:r>
        <w:t xml:space="preserve">API Calls last 1h — total count + success rate. Click to API Call list filtered to last 1h</w:t>
      </w:r>
    </w:p>
    <w:p>
      <w:pPr>
        <w:pStyle w:val="Compact"/>
        <w:numPr>
          <w:ilvl w:val="0"/>
          <w:numId w:val="1166"/>
        </w:numPr>
      </w:pPr>
      <w:r>
        <w:t xml:space="preserve">Webhook Events last 1h — total count + processed-vs-pending split. Click to Webhook Event list</w:t>
      </w:r>
    </w:p>
    <w:p>
      <w:pPr>
        <w:pStyle w:val="Compact"/>
        <w:numPr>
          <w:ilvl w:val="0"/>
          <w:numId w:val="1166"/>
        </w:numPr>
      </w:pPr>
      <w:r>
        <w:t xml:space="preserve">Queue Job depth — current count of Queued + Retrying. Click to Queue Job list filtered accordingly</w:t>
      </w:r>
    </w:p>
    <w:p>
      <w:pPr>
        <w:pStyle w:val="Compact"/>
        <w:numPr>
          <w:ilvl w:val="0"/>
          <w:numId w:val="1166"/>
        </w:numPr>
      </w:pPr>
      <w:r>
        <w:t xml:space="preserve">Cursor lag (max across all pull cursors) — minutes behind real-time. Click to Sync Cursor list</w:t>
      </w:r>
    </w:p>
    <w:p>
      <w:pPr>
        <w:pStyle w:val="Compact"/>
        <w:numPr>
          <w:ilvl w:val="0"/>
          <w:numId w:val="1166"/>
        </w:numPr>
      </w:pPr>
      <w:r>
        <w:t xml:space="preserve">Open Integration Discrepancies — count, with financial impact rolled up. Click to Discrepancy list</w:t>
      </w:r>
    </w:p>
    <w:bookmarkEnd w:id="284"/>
    <w:bookmarkStart w:id="285" w:name="dashboard-charts-row"/>
    <w:p>
      <w:pPr>
        <w:pStyle w:val="Heading3"/>
      </w:pPr>
      <w:r>
        <w:t xml:space="preserve">17.2.3 Dashboard Charts row</w:t>
      </w:r>
    </w:p>
    <w:p>
      <w:pPr>
        <w:pStyle w:val="FirstParagraph"/>
      </w:pPr>
      <w:r>
        <w:t xml:space="preserve">Three multi-day trend charts:</w:t>
      </w:r>
    </w:p>
    <w:p>
      <w:pPr>
        <w:pStyle w:val="Compact"/>
        <w:numPr>
          <w:ilvl w:val="0"/>
          <w:numId w:val="1167"/>
        </w:numPr>
      </w:pPr>
      <w:r>
        <w:t xml:space="preserve">API success rate over last 7 days, hourly granularity, stacked per endpoint group (auth/orders/inventory/grn/returns)</w:t>
      </w:r>
    </w:p>
    <w:p>
      <w:pPr>
        <w:pStyle w:val="Compact"/>
        <w:numPr>
          <w:ilvl w:val="0"/>
          <w:numId w:val="1167"/>
        </w:numPr>
      </w:pPr>
      <w:r>
        <w:t xml:space="preserve">API call volume over last 7 days, with the same grouping. Anomaly badges where today’s volume diverges from the previous-7-day baseline by &gt;2σ</w:t>
      </w:r>
    </w:p>
    <w:p>
      <w:pPr>
        <w:pStyle w:val="Compact"/>
        <w:numPr>
          <w:ilvl w:val="0"/>
          <w:numId w:val="1167"/>
        </w:numPr>
      </w:pPr>
      <w:r>
        <w:t xml:space="preserve">Sync Record state distribution over last 30 days — stacked area of Pending/Success/Failed/AlreadySynced per day</w:t>
      </w:r>
    </w:p>
    <w:bookmarkEnd w:id="285"/>
    <w:bookmarkStart w:id="286"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68"/>
        </w:numPr>
      </w:pPr>
      <w:r>
        <w:t xml:space="preserve">EasyEcom Account (account-level configuration) and per-Company settings</w:t>
      </w:r>
    </w:p>
    <w:p>
      <w:pPr>
        <w:pStyle w:val="Compact"/>
        <w:numPr>
          <w:ilvl w:val="0"/>
          <w:numId w:val="1168"/>
        </w:numPr>
      </w:pPr>
      <w:r>
        <w:t xml:space="preserve">EasyEcom Field Mapping list</w:t>
      </w:r>
    </w:p>
    <w:p>
      <w:pPr>
        <w:pStyle w:val="Compact"/>
        <w:numPr>
          <w:ilvl w:val="0"/>
          <w:numId w:val="1168"/>
        </w:numPr>
      </w:pPr>
      <w:r>
        <w:t xml:space="preserve">Sync Record list (with default filter to last 24h)</w:t>
      </w:r>
    </w:p>
    <w:p>
      <w:pPr>
        <w:pStyle w:val="Compact"/>
        <w:numPr>
          <w:ilvl w:val="0"/>
          <w:numId w:val="1168"/>
        </w:numPr>
      </w:pPr>
      <w:r>
        <w:t xml:space="preserve">API Call list</w:t>
      </w:r>
    </w:p>
    <w:p>
      <w:pPr>
        <w:pStyle w:val="Compact"/>
        <w:numPr>
          <w:ilvl w:val="0"/>
          <w:numId w:val="1168"/>
        </w:numPr>
      </w:pPr>
      <w:r>
        <w:t xml:space="preserve">Webhook Event list</w:t>
      </w:r>
    </w:p>
    <w:p>
      <w:pPr>
        <w:pStyle w:val="Compact"/>
        <w:numPr>
          <w:ilvl w:val="0"/>
          <w:numId w:val="1168"/>
        </w:numPr>
      </w:pPr>
      <w:r>
        <w:t xml:space="preserve">Queue Job list</w:t>
      </w:r>
    </w:p>
    <w:p>
      <w:pPr>
        <w:pStyle w:val="Compact"/>
        <w:numPr>
          <w:ilvl w:val="0"/>
          <w:numId w:val="1168"/>
        </w:numPr>
      </w:pPr>
      <w:r>
        <w:t xml:space="preserve">Integration Discrepancy list</w:t>
      </w:r>
    </w:p>
    <w:p>
      <w:pPr>
        <w:pStyle w:val="Compact"/>
        <w:numPr>
          <w:ilvl w:val="0"/>
          <w:numId w:val="1168"/>
        </w:numPr>
      </w:pPr>
      <w:r>
        <w:t xml:space="preserve">Replay Plan list</w:t>
      </w:r>
    </w:p>
    <w:p>
      <w:pPr>
        <w:pStyle w:val="Compact"/>
        <w:numPr>
          <w:ilvl w:val="0"/>
          <w:numId w:val="1168"/>
        </w:numPr>
      </w:pPr>
      <w:r>
        <w:t xml:space="preserve">Morning Brief (today’s snapshot)</w:t>
      </w:r>
    </w:p>
    <w:p>
      <w:pPr>
        <w:pStyle w:val="Compact"/>
        <w:numPr>
          <w:ilvl w:val="0"/>
          <w:numId w:val="1168"/>
        </w:numPr>
      </w:pPr>
      <w:r>
        <w:t xml:space="preserve">Error Translation library</w:t>
      </w:r>
    </w:p>
    <w:p>
      <w:pPr>
        <w:pStyle w:val="Compact"/>
        <w:numPr>
          <w:ilvl w:val="0"/>
          <w:numId w:val="1168"/>
        </w:numPr>
      </w:pPr>
      <w:r>
        <w:t xml:space="preserve">Configuration Audit log</w:t>
      </w:r>
    </w:p>
    <w:bookmarkEnd w:id="286"/>
    <w:bookmarkStart w:id="287"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69"/>
        </w:numPr>
      </w:pPr>
      <w:r>
        <w:t xml:space="preserve">Configure EasyEcom Account → Setup section</w:t>
      </w:r>
    </w:p>
    <w:p>
      <w:pPr>
        <w:pStyle w:val="Compact"/>
        <w:numPr>
          <w:ilvl w:val="0"/>
          <w:numId w:val="1169"/>
        </w:numPr>
      </w:pPr>
      <w:r>
        <w:t xml:space="preserve">Configure EasyEcom Account → Sync Tuning section</w:t>
      </w:r>
    </w:p>
    <w:p>
      <w:pPr>
        <w:pStyle w:val="Compact"/>
        <w:numPr>
          <w:ilvl w:val="0"/>
          <w:numId w:val="1169"/>
        </w:numPr>
      </w:pPr>
      <w:r>
        <w:t xml:space="preserve">Configure EasyEcom Account → Webhook Auth section</w:t>
      </w:r>
    </w:p>
    <w:p>
      <w:pPr>
        <w:pStyle w:val="Compact"/>
        <w:numPr>
          <w:ilvl w:val="0"/>
          <w:numId w:val="1169"/>
        </w:numPr>
      </w:pPr>
      <w:r>
        <w:t xml:space="preserve">Configure EasyEcom Account → GRN Policy section</w:t>
      </w:r>
    </w:p>
    <w:p>
      <w:pPr>
        <w:pStyle w:val="Compact"/>
        <w:numPr>
          <w:ilvl w:val="0"/>
          <w:numId w:val="1169"/>
        </w:numPr>
      </w:pPr>
      <w:r>
        <w:t xml:space="preserve">Configure per-Company settings → Alerts section</w:t>
      </w:r>
    </w:p>
    <w:p>
      <w:pPr>
        <w:pStyle w:val="Compact"/>
        <w:numPr>
          <w:ilvl w:val="0"/>
          <w:numId w:val="1169"/>
        </w:numPr>
      </w:pPr>
      <w:r>
        <w:t xml:space="preserve">Pull Locations from EasyEcom</w:t>
      </w:r>
    </w:p>
    <w:p>
      <w:pPr>
        <w:pStyle w:val="Compact"/>
        <w:numPr>
          <w:ilvl w:val="0"/>
          <w:numId w:val="1169"/>
        </w:numPr>
      </w:pPr>
      <w:r>
        <w:t xml:space="preserve">Map every Location to a Frappe Warehouse via Source-of-Truth Map</w:t>
      </w:r>
    </w:p>
    <w:p>
      <w:pPr>
        <w:pStyle w:val="Compact"/>
        <w:numPr>
          <w:ilvl w:val="0"/>
          <w:numId w:val="1169"/>
        </w:numPr>
      </w:pPr>
      <w:r>
        <w:t xml:space="preserve">Pull Channels from EasyEcom</w:t>
      </w:r>
    </w:p>
    <w:p>
      <w:pPr>
        <w:pStyle w:val="Compact"/>
        <w:numPr>
          <w:ilvl w:val="0"/>
          <w:numId w:val="1169"/>
        </w:numPr>
      </w:pPr>
      <w:r>
        <w:t xml:space="preserve">Configure Marketplace Accounts per (Company, Marketplace) in use</w:t>
      </w:r>
    </w:p>
    <w:p>
      <w:pPr>
        <w:pStyle w:val="Compact"/>
        <w:numPr>
          <w:ilvl w:val="0"/>
          <w:numId w:val="1169"/>
        </w:numPr>
      </w:pPr>
      <w:r>
        <w:t xml:space="preserve">Run sandbox smoke test (PO + GRN + B2C order + cancellation + return)</w:t>
      </w:r>
    </w:p>
    <w:p>
      <w:pPr>
        <w:pStyle w:val="Compact"/>
        <w:numPr>
          <w:ilvl w:val="0"/>
          <w:numId w:val="1169"/>
        </w:numPr>
      </w:pPr>
      <w:r>
        <w:t>FDE sign-off on pre-flight checklist The checklist is not a wizard — it’s a live-state checklist that auto-checks completed items by inspecting actual configuration. An FDE can return to it any time and see what’s left.</w:t>
      </w:r>
    </w:p>
    <w:bookmarkEnd w:id="287"/>
    <w:bookmarkEnd w:id="288"/>
    <w:bookmarkStart w:id="289"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70"/>
        </w:numPr>
      </w:pPr>
      <w:r>
        <w:t xml:space="preserve">Today’s API call volume by Company</w:t>
      </w:r>
    </w:p>
    <w:p>
      <w:pPr>
        <w:pStyle w:val="Compact"/>
        <w:numPr>
          <w:ilvl w:val="0"/>
          <w:numId w:val="1170"/>
        </w:numPr>
      </w:pPr>
      <w:r>
        <w:t xml:space="preserve">Average API latency last 1h by endpoint</w:t>
      </w:r>
    </w:p>
    <w:p>
      <w:pPr>
        <w:pStyle w:val="Compact"/>
        <w:numPr>
          <w:ilvl w:val="0"/>
          <w:numId w:val="1170"/>
        </w:numPr>
      </w:pPr>
      <w:r>
        <w:t xml:space="preserve">Sync Record retry rate (Sync Records that needed &gt;1 attempt)</w:t>
      </w:r>
    </w:p>
    <w:p>
      <w:pPr>
        <w:pStyle w:val="Compact"/>
        <w:numPr>
          <w:ilvl w:val="0"/>
          <w:numId w:val="1170"/>
        </w:numPr>
      </w:pPr>
      <w:r>
        <w:t xml:space="preserve">Webhook receipt rate vs expected (heuristic — flags sustained anomaly)</w:t>
      </w:r>
    </w:p>
    <w:p>
      <w:pPr>
        <w:pStyle w:val="Compact"/>
        <w:numPr>
          <w:ilvl w:val="0"/>
          <w:numId w:val="1170"/>
        </w:numPr>
      </w:pPr>
      <w:r>
        <w:t xml:space="preserve">SLA compliance percentage by flow over current week</w:t>
      </w:r>
    </w:p>
    <w:p>
      <w:pPr>
        <w:pStyle w:val="Compact"/>
        <w:numPr>
          <w:ilvl w:val="0"/>
          <w:numId w:val="1170"/>
        </w:numPr>
      </w:pPr>
      <w:r>
        <w:t xml:space="preserve">Integration Discrepancy ageing (count &gt;24h, &gt;7d, &gt;30d)</w:t>
      </w:r>
    </w:p>
    <w:p>
      <w:pPr>
        <w:pStyle w:val="Compact"/>
        <w:numPr>
          <w:ilvl w:val="0"/>
          <w:numId w:val="1170"/>
        </w:numPr>
      </w:pPr>
      <w:r>
        <w:t xml:space="preserve">Field Mapping coverage (% of fields in real payloads matched by an explicit rule)</w:t>
      </w:r>
    </w:p>
    <w:p>
      <w:pPr>
        <w:pStyle w:val="Compact"/>
        <w:numPr>
          <w:ilvl w:val="0"/>
          <w:numId w:val="1170"/>
        </w:numPr>
      </w:pPr>
      <w:r>
        <w:t xml:space="preserve">Schema drift count — number of new schema variants observed last 7d</w:t>
      </w:r>
    </w:p>
    <w:p>
      <w:pPr>
        <w:pStyle w:val="Compact"/>
        <w:numPr>
          <w:ilvl w:val="0"/>
          <w:numId w:val="1170"/>
        </w:numPr>
      </w:pPr>
      <w:r>
        <w:t xml:space="preserve">Cross-Company sync activity (for aggregators) — calls per Company today</w:t>
      </w:r>
    </w:p>
    <w:p>
      <w:pPr>
        <w:pStyle w:val="Compact"/>
        <w:numPr>
          <w:ilvl w:val="0"/>
          <w:numId w:val="1170"/>
        </w:numPr>
      </w:pPr>
      <w:r>
        <w:t xml:space="preserve">Top Error Translation hits (which translated errors are firing most)</w:t>
      </w:r>
    </w:p>
    <w:bookmarkEnd w:id="289"/>
    <w:bookmarkStart w:id="290"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71"/>
        </w:numPr>
      </w:pPr>
      <w:r>
        <w:t xml:space="preserve">API latency p50/p95/p99 over time per endpoint</w:t>
      </w:r>
    </w:p>
    <w:p>
      <w:pPr>
        <w:pStyle w:val="Compact"/>
        <w:numPr>
          <w:ilvl w:val="0"/>
          <w:numId w:val="1171"/>
        </w:numPr>
      </w:pPr>
      <w:r>
        <w:t xml:space="preserve">Queue Job state transitions over time (Queued → Running → Success/Failed) — sankey-style</w:t>
      </w:r>
    </w:p>
    <w:p>
      <w:pPr>
        <w:pStyle w:val="Compact"/>
        <w:numPr>
          <w:ilvl w:val="0"/>
          <w:numId w:val="1171"/>
        </w:numPr>
      </w:pPr>
      <w:r>
        <w:t xml:space="preserve">Per-flow success rate over time (Master sync, Buying, B2C sales, etc.)</w:t>
      </w:r>
    </w:p>
    <w:p>
      <w:pPr>
        <w:pStyle w:val="Compact"/>
        <w:numPr>
          <w:ilvl w:val="0"/>
          <w:numId w:val="1171"/>
        </w:numPr>
      </w:pPr>
      <w:r>
        <w:t xml:space="preserve">Integration Discrepancy created vs resolved over time</w:t>
      </w:r>
    </w:p>
    <w:p>
      <w:pPr>
        <w:pStyle w:val="Compact"/>
        <w:numPr>
          <w:ilvl w:val="0"/>
          <w:numId w:val="1171"/>
        </w:numPr>
      </w:pPr>
      <w:r>
        <w:t xml:space="preserve">Webhook gap heatmap — calendar view showing minutes between consecutive webhooks per type per day</w:t>
      </w:r>
    </w:p>
    <w:p>
      <w:pPr>
        <w:pStyle w:val="Compact"/>
        <w:numPr>
          <w:ilvl w:val="0"/>
          <w:numId w:val="1171"/>
        </w:numPr>
      </w:pPr>
      <w:r>
        <w:t xml:space="preserve">Per-marketplace sync health — small multiples, one chart per Marketplace Account</w:t>
      </w:r>
    </w:p>
    <w:p>
      <w:pPr>
        <w:pStyle w:val="Compact"/>
        <w:numPr>
          <w:ilvl w:val="0"/>
          <w:numId w:val="1171"/>
        </w:numPr>
      </w:pPr>
      <w:r>
        <w:t xml:space="preserve">Per-Item sync history — for a selected SKU, every Sync Record event over time</w:t>
      </w:r>
    </w:p>
    <w:bookmarkEnd w:id="290"/>
    <w:bookmarkStart w:id="291"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72"/>
        </w:numPr>
      </w:pPr>
      <w:r>
        <w:t xml:space="preserve">Daily Sync Health — per Company, per flow: total attempted, succeeded, failed, retried; mean and p95 latency; cursor lag at end-of-day</w:t>
      </w:r>
    </w:p>
    <w:p>
      <w:pPr>
        <w:pStyle w:val="Compact"/>
        <w:numPr>
          <w:ilvl w:val="0"/>
          <w:numId w:val="1172"/>
        </w:numPr>
      </w:pPr>
      <w:r>
        <w:t xml:space="preserve">Failed Jobs by Reason — aggregated by translated-error-key over selectable time window. The triage report</w:t>
      </w:r>
    </w:p>
    <w:p>
      <w:pPr>
        <w:pStyle w:val="Compact"/>
        <w:numPr>
          <w:ilvl w:val="0"/>
          <w:numId w:val="1172"/>
        </w:numPr>
      </w:pPr>
      <w:r>
        <w:t xml:space="preserve">Latency by Endpoint — every endpoint’s count, mean, p50/p95/p99 latency, error rate</w:t>
      </w:r>
    </w:p>
    <w:p>
      <w:pPr>
        <w:pStyle w:val="Compact"/>
        <w:numPr>
          <w:ilvl w:val="0"/>
          <w:numId w:val="1172"/>
        </w:numPr>
      </w:pPr>
      <w:r>
        <w:t xml:space="preserve">Drift by SKU — Items where ERPNext stock and EasyEcom stock disagree, sorted by absolute drift</w:t>
      </w:r>
    </w:p>
    <w:p>
      <w:pPr>
        <w:pStyle w:val="Compact"/>
        <w:numPr>
          <w:ilvl w:val="0"/>
          <w:numId w:val="1172"/>
        </w:numPr>
      </w:pPr>
      <w:r>
        <w:t xml:space="preserve">Discrepancies by Severity and Age — Integration Discrepancies grouped by severity, with ageing buckets</w:t>
      </w:r>
    </w:p>
    <w:p>
      <w:pPr>
        <w:pStyle w:val="Compact"/>
        <w:numPr>
          <w:ilvl w:val="0"/>
          <w:numId w:val="1172"/>
        </w:numPr>
      </w:pPr>
      <w:r>
        <w:t xml:space="preserve">Field Mapping Coverage — per ruleset: explicitly mapped %, identity-matched %, dropped %, with sample dropped fields</w:t>
      </w:r>
    </w:p>
    <w:p>
      <w:pPr>
        <w:pStyle w:val="Compact"/>
        <w:numPr>
          <w:ilvl w:val="0"/>
          <w:numId w:val="1172"/>
        </w:numPr>
      </w:pPr>
      <w:r>
        <w:t xml:space="preserve">Webhook Reliability — per webhook type: received count, processed count, failed count, dedup count, gap-detection results</w:t>
      </w:r>
    </w:p>
    <w:p>
      <w:pPr>
        <w:pStyle w:val="Compact"/>
        <w:numPr>
          <w:ilvl w:val="0"/>
          <w:numId w:val="1172"/>
        </w:numPr>
      </w:pPr>
      <w:r>
        <w:t xml:space="preserve">SLA Compliance — per Company per flow per week: target %, actual %, breach count, breach financial impact</w:t>
      </w:r>
    </w:p>
    <w:p>
      <w:pPr>
        <w:pStyle w:val="Compact"/>
        <w:numPr>
          <w:ilvl w:val="0"/>
          <w:numId w:val="1172"/>
        </w:numPr>
      </w:pPr>
      <w:r>
        <w:t xml:space="preserve">API Call Audit — full-text searchable across redacted request and response bodies; for forensic investigation</w:t>
      </w:r>
    </w:p>
    <w:p>
      <w:pPr>
        <w:pStyle w:val="Compact"/>
        <w:numPr>
          <w:ilvl w:val="0"/>
          <w:numId w:val="1172"/>
        </w:numPr>
      </w:pPr>
      <w:r>
        <w:t xml:space="preserve">Replay History — every Replay Plan executed: filter, dry-run result, commit result, who executed</w:t>
      </w:r>
    </w:p>
    <w:p>
      <w:pPr>
        <w:pStyle w:val="Compact"/>
        <w:numPr>
          <w:ilvl w:val="0"/>
          <w:numId w:val="1172"/>
        </w:numPr>
      </w:pPr>
      <w:r>
        <w:t xml:space="preserve">Configuration Change Log — every Settings, Field Mapping, Source-of-Truth Map change with before/after</w:t>
      </w:r>
    </w:p>
    <w:p>
      <w:pPr>
        <w:pStyle w:val="Compact"/>
        <w:numPr>
          <w:ilvl w:val="0"/>
          <w:numId w:val="1172"/>
        </w:numPr>
      </w:pPr>
      <w:r>
        <w:t xml:space="preserve">Cross-Company Health Rollup — for aggregator FDEs: side-by-side health view across all managed Companies</w:t>
      </w:r>
    </w:p>
    <w:p>
      <w:pPr>
        <w:pStyle w:val="Compact"/>
        <w:numPr>
          <w:ilvl w:val="0"/>
          <w:numId w:val="1172"/>
        </w:numPr>
      </w:pPr>
      <w:r>
        <w:t xml:space="preserve">Morning Brief Archive — historical Morning Brief snapshots for retrospectives</w:t>
      </w:r>
    </w:p>
    <w:bookmarkEnd w:id="291"/>
    <w:bookmarkStart w:id="297"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92" w:name="sync-record-actions"/>
    <w:p>
      <w:pPr>
        <w:pStyle w:val="Heading3"/>
      </w:pPr>
      <w:r>
        <w:t xml:space="preserve">17.6.1 Sync Record actions</w:t>
      </w:r>
    </w:p>
    <w:p>
      <w:pPr>
        <w:pStyle w:val="Compact"/>
        <w:numPr>
          <w:ilvl w:val="0"/>
          <w:numId w:val="1173"/>
        </w:numPr>
      </w:pPr>
      <w:r>
        <w:t xml:space="preserve">Retry Now — re-attempts the sync with current configuration</w:t>
      </w:r>
    </w:p>
    <w:p>
      <w:pPr>
        <w:pStyle w:val="Compact"/>
        <w:numPr>
          <w:ilvl w:val="0"/>
          <w:numId w:val="1173"/>
        </w:numPr>
      </w:pPr>
      <w:r>
        <w:t xml:space="preserve">Retry With Override — opens a dialog to set override values for the retry attempt (e.g., manually correct the WMS code before retry)</w:t>
      </w:r>
    </w:p>
    <w:p>
      <w:pPr>
        <w:pStyle w:val="Compact"/>
        <w:numPr>
          <w:ilvl w:val="0"/>
          <w:numId w:val="1173"/>
        </w:numPr>
      </w:pPr>
      <w:r>
        <w:t xml:space="preserve">Mark as Already Synced — accepts an EasyEcom-side ID; closes the Sync Record without an API call. Used after FDE manually fixes the EE side</w:t>
      </w:r>
    </w:p>
    <w:p>
      <w:pPr>
        <w:pStyle w:val="Compact"/>
        <w:numPr>
          <w:ilvl w:val="0"/>
          <w:numId w:val="1173"/>
        </w:numPr>
      </w:pPr>
      <w:r>
        <w:t xml:space="preserve">Force Resync — pulls the EasyEcom-side state and pushes ERPNext state, even if hashes match (for suspected drift)</w:t>
      </w:r>
    </w:p>
    <w:p>
      <w:pPr>
        <w:pStyle w:val="Compact"/>
        <w:numPr>
          <w:ilvl w:val="0"/>
          <w:numId w:val="1173"/>
        </w:numPr>
      </w:pPr>
      <w:r>
        <w:t xml:space="preserve">View ERPNext Document — opens the underlying ERPNext doc in a new tab</w:t>
      </w:r>
    </w:p>
    <w:p>
      <w:pPr>
        <w:pStyle w:val="Compact"/>
        <w:numPr>
          <w:ilvl w:val="0"/>
          <w:numId w:val="1173"/>
        </w:numPr>
      </w:pPr>
      <w:r>
        <w:t xml:space="preserve">View EasyEcom Record — opens the EE-side record in a new tab via deep link</w:t>
      </w:r>
    </w:p>
    <w:p>
      <w:pPr>
        <w:pStyle w:val="Compact"/>
        <w:numPr>
          <w:ilvl w:val="0"/>
          <w:numId w:val="1173"/>
        </w:numPr>
      </w:pPr>
      <w:r>
        <w:t xml:space="preserve">View Related API Calls — filtered API Call list for this Sync Record’s correlation ID</w:t>
      </w:r>
    </w:p>
    <w:p>
      <w:pPr>
        <w:pStyle w:val="Compact"/>
        <w:numPr>
          <w:ilvl w:val="0"/>
          <w:numId w:val="1173"/>
        </w:numPr>
      </w:pPr>
      <w:r>
        <w:t xml:space="preserve">View Translated Error — if status=Failed, jumps to the Error Translation entry that matched</w:t>
      </w:r>
    </w:p>
    <w:p>
      <w:pPr>
        <w:pStyle w:val="Compact"/>
        <w:numPr>
          <w:ilvl w:val="0"/>
          <w:numId w:val="1173"/>
        </w:numPr>
      </w:pPr>
      <w:r>
        <w:t xml:space="preserve">Cancel Sync — for Pending Sync Records, marks as Cancelled, no further attempts</w:t>
      </w:r>
    </w:p>
    <w:bookmarkEnd w:id="292"/>
    <w:bookmarkStart w:id="293" w:name="api-call-actions"/>
    <w:p>
      <w:pPr>
        <w:pStyle w:val="Heading3"/>
      </w:pPr>
      <w:r>
        <w:t xml:space="preserve">17.6.2 API Call actions</w:t>
      </w:r>
    </w:p>
    <w:p>
      <w:pPr>
        <w:pStyle w:val="Compact"/>
        <w:numPr>
          <w:ilvl w:val="0"/>
          <w:numId w:val="1174"/>
        </w:numPr>
      </w:pPr>
      <w:r>
        <w:t xml:space="preserve">Replay This Call — re-issues the exact same request (idempotency-key-aware; identical responses are detected)</w:t>
      </w:r>
    </w:p>
    <w:p>
      <w:pPr>
        <w:pStyle w:val="Compact"/>
        <w:numPr>
          <w:ilvl w:val="0"/>
          <w:numId w:val="1174"/>
        </w:numPr>
      </w:pPr>
      <w:r>
        <w:t xml:space="preserve">View Request Payload — opens a JSON viewer with copy button</w:t>
      </w:r>
    </w:p>
    <w:p>
      <w:pPr>
        <w:pStyle w:val="Compact"/>
        <w:numPr>
          <w:ilvl w:val="0"/>
          <w:numId w:val="1174"/>
        </w:numPr>
      </w:pPr>
      <w:r>
        <w:t xml:space="preserve">View Response — same</w:t>
      </w:r>
    </w:p>
    <w:p>
      <w:pPr>
        <w:pStyle w:val="Compact"/>
        <w:numPr>
          <w:ilvl w:val="0"/>
          <w:numId w:val="1174"/>
        </w:numPr>
      </w:pPr>
      <w:r>
        <w:t xml:space="preserve">Download Trace — exports correlation-ID-bound records (this API Call, parent Sync Record, related Webhook Events) as JSON for offline analysis</w:t>
      </w:r>
    </w:p>
    <w:p>
      <w:pPr>
        <w:pStyle w:val="Compact"/>
        <w:numPr>
          <w:ilvl w:val="0"/>
          <w:numId w:val="1174"/>
        </w:numPr>
      </w:pPr>
      <w:r>
        <w:t xml:space="preserve">View Translated Error — if status=Failed</w:t>
      </w:r>
    </w:p>
    <w:bookmarkEnd w:id="293"/>
    <w:bookmarkStart w:id="294" w:name="webhook-event-actions"/>
    <w:p>
      <w:pPr>
        <w:pStyle w:val="Heading3"/>
      </w:pPr>
      <w:r>
        <w:t xml:space="preserve">17.6.3 Webhook Event actions</w:t>
      </w:r>
    </w:p>
    <w:p>
      <w:pPr>
        <w:pStyle w:val="Compact"/>
        <w:numPr>
          <w:ilvl w:val="0"/>
          <w:numId w:val="1175"/>
        </w:numPr>
      </w:pPr>
      <w:r>
        <w:t xml:space="preserve">Reprocess — runs the original payload through the current ingestion logic (useful when ingestion has been bug-fixed since)</w:t>
      </w:r>
    </w:p>
    <w:p>
      <w:pPr>
        <w:pStyle w:val="Compact"/>
        <w:numPr>
          <w:ilvl w:val="0"/>
          <w:numId w:val="1175"/>
        </w:numPr>
      </w:pPr>
      <w:r>
        <w:t xml:space="preserve">View Raw Payload — JSON viewer</w:t>
      </w:r>
    </w:p>
    <w:p>
      <w:pPr>
        <w:pStyle w:val="Compact"/>
        <w:numPr>
          <w:ilvl w:val="0"/>
          <w:numId w:val="1175"/>
        </w:numPr>
      </w:pPr>
      <w:r>
        <w:t xml:space="preserve">View Downstream Documents — list of Frappe documents created/updated by this webhook’s processing</w:t>
      </w:r>
    </w:p>
    <w:p>
      <w:pPr>
        <w:pStyle w:val="Compact"/>
        <w:numPr>
          <w:ilvl w:val="0"/>
          <w:numId w:val="1175"/>
        </w:numPr>
      </w:pPr>
      <w:r>
        <w:t xml:space="preserve">Mark as Manually Handled — for webhooks the FDE has resolved out-of-band</w:t>
      </w:r>
    </w:p>
    <w:p>
      <w:pPr>
        <w:pStyle w:val="Compact"/>
        <w:numPr>
          <w:ilvl w:val="0"/>
          <w:numId w:val="1175"/>
        </w:numPr>
      </w:pPr>
      <w:r>
        <w:t xml:space="preserve">View Auth Result — debug pane showing which header carried the token and whether it matched</w:t>
      </w:r>
    </w:p>
    <w:bookmarkEnd w:id="294"/>
    <w:bookmarkStart w:id="295" w:name="queue-job-actions"/>
    <w:p>
      <w:pPr>
        <w:pStyle w:val="Heading3"/>
      </w:pPr>
      <w:r>
        <w:t xml:space="preserve">17.6.4 Queue Job actions</w:t>
      </w:r>
    </w:p>
    <w:p>
      <w:pPr>
        <w:pStyle w:val="Compact"/>
        <w:numPr>
          <w:ilvl w:val="0"/>
          <w:numId w:val="1176"/>
        </w:numPr>
      </w:pPr>
      <w:r>
        <w:t xml:space="preserve">Retry Now — same as Sync Record Retry, scoped to the job</w:t>
      </w:r>
    </w:p>
    <w:p>
      <w:pPr>
        <w:pStyle w:val="Compact"/>
        <w:numPr>
          <w:ilvl w:val="0"/>
          <w:numId w:val="1176"/>
        </w:numPr>
      </w:pPr>
      <w:r>
        <w:t xml:space="preserve">Cancel — for Queued or Retrying jobs</w:t>
      </w:r>
    </w:p>
    <w:p>
      <w:pPr>
        <w:pStyle w:val="Compact"/>
        <w:numPr>
          <w:ilvl w:val="0"/>
          <w:numId w:val="1176"/>
        </w:numPr>
      </w:pPr>
      <w:r>
        <w:t xml:space="preserve">View Stack Trace — for Failed jobs, full Python traceback</w:t>
      </w:r>
    </w:p>
    <w:p>
      <w:pPr>
        <w:pStyle w:val="Compact"/>
        <w:numPr>
          <w:ilvl w:val="0"/>
          <w:numId w:val="1176"/>
        </w:numPr>
      </w:pPr>
      <w:r>
        <w:t xml:space="preserve">Bulk Retry — from list view, retries all selected Failed jobs</w:t>
      </w:r>
    </w:p>
    <w:p>
      <w:pPr>
        <w:pStyle w:val="Compact"/>
        <w:numPr>
          <w:ilvl w:val="0"/>
          <w:numId w:val="1176"/>
        </w:numPr>
      </w:pPr>
      <w:r>
        <w:t xml:space="preserve">Bulk Cancel — same for selected Queued jobs</w:t>
      </w:r>
    </w:p>
    <w:bookmarkEnd w:id="295"/>
    <w:bookmarkStart w:id="296" w:name="integration-discrepancy-actions"/>
    <w:p>
      <w:pPr>
        <w:pStyle w:val="Heading3"/>
      </w:pPr>
      <w:r>
        <w:t xml:space="preserve">17.6.5 Integration Discrepancy actions</w:t>
      </w:r>
    </w:p>
    <w:p>
      <w:pPr>
        <w:pStyle w:val="Compact"/>
        <w:numPr>
          <w:ilvl w:val="0"/>
          <w:numId w:val="1177"/>
        </w:numPr>
      </w:pPr>
      <w:r>
        <w:t xml:space="preserve">Acknowledge — moves to In Review status, assigns to current user</w:t>
      </w:r>
    </w:p>
    <w:p>
      <w:pPr>
        <w:pStyle w:val="Compact"/>
        <w:numPr>
          <w:ilvl w:val="0"/>
          <w:numId w:val="1177"/>
        </w:numPr>
      </w:pPr>
      <w:r>
        <w:t xml:space="preserve">Resolve — captures resolution note and closes</w:t>
      </w:r>
    </w:p>
    <w:p>
      <w:pPr>
        <w:pStyle w:val="Compact"/>
        <w:numPr>
          <w:ilvl w:val="0"/>
          <w:numId w:val="1177"/>
        </w:numPr>
      </w:pPr>
      <w:r>
        <w:t xml:space="preserve">Escalate — re-routes to a different alert recipient list</w:t>
      </w:r>
    </w:p>
    <w:p>
      <w:pPr>
        <w:pStyle w:val="Compact"/>
        <w:numPr>
          <w:ilvl w:val="0"/>
          <w:numId w:val="1177"/>
        </w:numPr>
      </w:pPr>
      <w:r>
        <w:t xml:space="preserve">Link to Recon Discrepancy — if this Integration Discrepancy has a downstream recon impact</w:t>
      </w:r>
    </w:p>
    <w:p>
      <w:pPr>
        <w:pStyle w:val="Compact"/>
        <w:numPr>
          <w:ilvl w:val="0"/>
          <w:numId w:val="1177"/>
        </w:numPr>
      </w:pPr>
      <w:r>
        <w:t xml:space="preserve">View Suggested Actions — from Error Translation entry</w:t>
      </w:r>
    </w:p>
    <w:p>
      <w:pPr>
        <w:pStyle w:val="Compact"/>
        <w:numPr>
          <w:ilvl w:val="0"/>
          <w:numId w:val="1177"/>
        </w:numPr>
      </w:pPr>
      <w:r>
        <w:t xml:space="preserve">Create Replay Plan — generates a Replay Plan pre-filtered to the affected records</w:t>
      </w:r>
    </w:p>
    <w:bookmarkEnd w:id="296"/>
    <w:bookmarkEnd w:id="297"/>
    <w:bookmarkStart w:id="303"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298" w:name="on-sales-invoice"/>
    <w:p>
      <w:pPr>
        <w:pStyle w:val="Heading3"/>
      </w:pPr>
      <w:r>
        <w:t xml:space="preserve">17.7.1 On Sales Invoice</w:t>
      </w:r>
    </w:p>
    <w:p>
      <w:pPr>
        <w:pStyle w:val="Compact"/>
        <w:numPr>
          <w:ilvl w:val="0"/>
          <w:numId w:val="1178"/>
        </w:numPr>
      </w:pPr>
      <w:r>
        <w:t xml:space="preserve">EasyEcom Order — link to the EE order ID</w:t>
      </w:r>
    </w:p>
    <w:p>
      <w:pPr>
        <w:pStyle w:val="Compact"/>
        <w:numPr>
          <w:ilvl w:val="0"/>
          <w:numId w:val="1178"/>
        </w:numPr>
      </w:pPr>
      <w:r>
        <w:t xml:space="preserve">Marketplace Order Map — the recon join record</w:t>
      </w:r>
    </w:p>
    <w:p>
      <w:pPr>
        <w:pStyle w:val="Compact"/>
        <w:numPr>
          <w:ilvl w:val="0"/>
          <w:numId w:val="1178"/>
        </w:numPr>
      </w:pPr>
      <w:r>
        <w:t xml:space="preserve">Settlement Forecast — expected settlement</w:t>
      </w:r>
    </w:p>
    <w:p>
      <w:pPr>
        <w:pStyle w:val="Compact"/>
        <w:numPr>
          <w:ilvl w:val="0"/>
          <w:numId w:val="1178"/>
        </w:numPr>
      </w:pPr>
      <w:r>
        <w:t xml:space="preserve">Sync Records — full sync history of this SI</w:t>
      </w:r>
    </w:p>
    <w:p>
      <w:pPr>
        <w:pStyle w:val="Compact"/>
        <w:numPr>
          <w:ilvl w:val="0"/>
          <w:numId w:val="1178"/>
        </w:numPr>
      </w:pPr>
      <w:r>
        <w:t xml:space="preserve">API Calls — every call related to creating/updating this SI</w:t>
      </w:r>
    </w:p>
    <w:p>
      <w:pPr>
        <w:pStyle w:val="Compact"/>
        <w:numPr>
          <w:ilvl w:val="0"/>
          <w:numId w:val="1178"/>
        </w:numPr>
      </w:pPr>
      <w:r>
        <w:t xml:space="preserve">Webhook Events — every webhook that touched this SI (manifest, dispatch, return)</w:t>
      </w:r>
    </w:p>
    <w:p>
      <w:pPr>
        <w:pStyle w:val="Compact"/>
        <w:numPr>
          <w:ilvl w:val="0"/>
          <w:numId w:val="1178"/>
        </w:numPr>
      </w:pPr>
      <w:r>
        <w:t xml:space="preserve">Integration Discrepancies — any open Discrepancies referencing this SI</w:t>
      </w:r>
    </w:p>
    <w:p>
      <w:pPr>
        <w:pStyle w:val="Compact"/>
        <w:numPr>
          <w:ilvl w:val="0"/>
          <w:numId w:val="1178"/>
        </w:numPr>
      </w:pPr>
      <w:r>
        <w:t xml:space="preserve">Recon Discrepancies — downstream recon-engine Discrepancies</w:t>
      </w:r>
    </w:p>
    <w:p>
      <w:pPr>
        <w:pStyle w:val="Compact"/>
        <w:numPr>
          <w:ilvl w:val="0"/>
          <w:numId w:val="1178"/>
        </w:numPr>
      </w:pPr>
      <w:r>
        <w:t xml:space="preserve">Event Timeline — the chronological view (Section 17.8)</w:t>
      </w:r>
    </w:p>
    <w:bookmarkEnd w:id="298"/>
    <w:bookmarkStart w:id="299" w:name="on-purchase-receipt"/>
    <w:p>
      <w:pPr>
        <w:pStyle w:val="Heading3"/>
      </w:pPr>
      <w:r>
        <w:t xml:space="preserve">17.7.2 On Purchase Receipt</w:t>
      </w:r>
    </w:p>
    <w:p>
      <w:pPr>
        <w:pStyle w:val="Compact"/>
        <w:numPr>
          <w:ilvl w:val="0"/>
          <w:numId w:val="1179"/>
        </w:numPr>
      </w:pPr>
      <w:r>
        <w:t xml:space="preserve">EasyEcom GRN — link to the EE GRN ID</w:t>
      </w:r>
    </w:p>
    <w:p>
      <w:pPr>
        <w:pStyle w:val="Compact"/>
        <w:numPr>
          <w:ilvl w:val="0"/>
          <w:numId w:val="1179"/>
        </w:numPr>
      </w:pPr>
      <w:r>
        <w:t xml:space="preserve">Source Purchase Order — the parent PO</w:t>
      </w:r>
    </w:p>
    <w:p>
      <w:pPr>
        <w:pStyle w:val="Compact"/>
        <w:numPr>
          <w:ilvl w:val="0"/>
          <w:numId w:val="1179"/>
        </w:numPr>
      </w:pPr>
      <w:r>
        <w:t xml:space="preserve">Sync Records, API Calls, Webhook Events</w:t>
      </w:r>
    </w:p>
    <w:p>
      <w:pPr>
        <w:pStyle w:val="Compact"/>
        <w:numPr>
          <w:ilvl w:val="0"/>
          <w:numId w:val="1179"/>
        </w:numPr>
      </w:pPr>
      <w:r>
        <w:t xml:space="preserve">Event Timeline</w:t>
      </w:r>
    </w:p>
    <w:bookmarkEnd w:id="299"/>
    <w:bookmarkStart w:id="300" w:name="on-sales-order"/>
    <w:p>
      <w:pPr>
        <w:pStyle w:val="Heading3"/>
      </w:pPr>
      <w:r>
        <w:t xml:space="preserve">17.7.3 On Sales Order</w:t>
      </w:r>
    </w:p>
    <w:p>
      <w:pPr>
        <w:pStyle w:val="Compact"/>
        <w:numPr>
          <w:ilvl w:val="0"/>
          <w:numId w:val="1180"/>
        </w:numPr>
      </w:pPr>
      <w:r>
        <w:t xml:space="preserve">EasyEcom Order — if pushed</w:t>
      </w:r>
    </w:p>
    <w:p>
      <w:pPr>
        <w:pStyle w:val="Compact"/>
        <w:numPr>
          <w:ilvl w:val="0"/>
          <w:numId w:val="1180"/>
        </w:numPr>
      </w:pPr>
      <w:r>
        <w:t xml:space="preserve">Stock Reservation Entries — if mirrored from EE inventory-reserve</w:t>
      </w:r>
    </w:p>
    <w:p>
      <w:pPr>
        <w:pStyle w:val="Compact"/>
        <w:numPr>
          <w:ilvl w:val="0"/>
          <w:numId w:val="1180"/>
        </w:numPr>
      </w:pPr>
      <w:r>
        <w:t xml:space="preserve">Settlement Forecast</w:t>
      </w:r>
    </w:p>
    <w:p>
      <w:pPr>
        <w:pStyle w:val="Compact"/>
        <w:numPr>
          <w:ilvl w:val="0"/>
          <w:numId w:val="1180"/>
        </w:numPr>
      </w:pPr>
      <w:r>
        <w:t xml:space="preserve">Sync Records, API Calls, Webhook Events</w:t>
      </w:r>
    </w:p>
    <w:p>
      <w:pPr>
        <w:pStyle w:val="Compact"/>
        <w:numPr>
          <w:ilvl w:val="0"/>
          <w:numId w:val="1180"/>
        </w:numPr>
      </w:pPr>
      <w:r>
        <w:t xml:space="preserve">Event Timeline</w:t>
      </w:r>
    </w:p>
    <w:bookmarkEnd w:id="300"/>
    <w:bookmarkStart w:id="301" w:name="on-purchase-order"/>
    <w:p>
      <w:pPr>
        <w:pStyle w:val="Heading3"/>
      </w:pPr>
      <w:r>
        <w:t xml:space="preserve">17.7.4 On Purchase Order</w:t>
      </w:r>
    </w:p>
    <w:p>
      <w:pPr>
        <w:pStyle w:val="Compact"/>
        <w:numPr>
          <w:ilvl w:val="0"/>
          <w:numId w:val="1181"/>
        </w:numPr>
      </w:pPr>
      <w:r>
        <w:t xml:space="preserve">EasyEcom POs — list of all EE POs spawned from this ERPNext PO (multi-warehouse case)</w:t>
      </w:r>
    </w:p>
    <w:p>
      <w:pPr>
        <w:pStyle w:val="Compact"/>
        <w:numPr>
          <w:ilvl w:val="0"/>
          <w:numId w:val="1181"/>
        </w:numPr>
      </w:pPr>
      <w:r>
        <w:t xml:space="preserve">Purchase Receipts — all PRs received against this PO</w:t>
      </w:r>
    </w:p>
    <w:p>
      <w:pPr>
        <w:pStyle w:val="Compact"/>
        <w:numPr>
          <w:ilvl w:val="0"/>
          <w:numId w:val="1181"/>
        </w:numPr>
      </w:pPr>
      <w:r>
        <w:t xml:space="preserve">Sync Records, API Calls, Webhook Events</w:t>
      </w:r>
    </w:p>
    <w:bookmarkEnd w:id="301"/>
    <w:bookmarkStart w:id="302" w:name="on-item-customer-supplier-warehouse"/>
    <w:p>
      <w:pPr>
        <w:pStyle w:val="Heading3"/>
      </w:pPr>
      <w:r>
        <w:t xml:space="preserve">17.7.5 On Item / Customer / Supplier / Warehouse</w:t>
      </w:r>
    </w:p>
    <w:p>
      <w:pPr>
        <w:pStyle w:val="Compact"/>
        <w:numPr>
          <w:ilvl w:val="0"/>
          <w:numId w:val="1182"/>
        </w:numPr>
      </w:pPr>
      <w:r>
        <w:t xml:space="preserve">EasyEcom Mappings — the per-Company per-location mapping rows</w:t>
      </w:r>
    </w:p>
    <w:p>
      <w:pPr>
        <w:pStyle w:val="Compact"/>
        <w:numPr>
          <w:ilvl w:val="0"/>
          <w:numId w:val="1182"/>
        </w:numPr>
      </w:pPr>
      <w:r>
        <w:t xml:space="preserve">Sync Records — full master sync history</w:t>
      </w:r>
    </w:p>
    <w:p>
      <w:pPr>
        <w:pStyle w:val="Compact"/>
        <w:numPr>
          <w:ilvl w:val="0"/>
          <w:numId w:val="1182"/>
        </w:numPr>
      </w:pPr>
      <w:r>
        <w:t xml:space="preserve">Field Mapping Used — link to the ruleset that governs this entity’s sync</w:t>
      </w:r>
    </w:p>
    <w:p>
      <w:pPr>
        <w:pStyle w:val="Compact"/>
        <w:numPr>
          <w:ilvl w:val="0"/>
          <w:numId w:val="1182"/>
        </w:numPr>
      </w:pPr>
      <w:r>
        <w:t xml:space="preserve">Last Sync, Next Scheduled Sync</w:t>
      </w:r>
    </w:p>
    <w:p>
      <w:pPr>
        <w:pStyle w:val="Compact"/>
        <w:numPr>
          <w:ilvl w:val="0"/>
          <w:numId w:val="1182"/>
        </w:numPr>
      </w:pPr>
      <w:r>
        <w:t xml:space="preserve">Conflict History — past conflicts and how they were resolved</w:t>
      </w:r>
    </w:p>
    <w:bookmarkEnd w:id="302"/>
    <w:bookmarkEnd w:id="303"/>
    <w:bookmarkStart w:id="306"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304" w:name="anatomy"/>
    <w:p>
      <w:pPr>
        <w:pStyle w:val="Heading3"/>
      </w:pPr>
      <w:r>
        <w:t xml:space="preserve">17.8.1 Anatomy</w:t>
      </w:r>
    </w:p>
    <w:p>
      <w:pPr>
        <w:pStyle w:val="Compact"/>
        <w:numPr>
          <w:ilvl w:val="0"/>
          <w:numId w:val="1183"/>
        </w:numPr>
      </w:pPr>
      <w:r>
        <w:t xml:space="preserve">Vertical timeline, newest at top</w:t>
      </w:r>
    </w:p>
    <w:p>
      <w:pPr>
        <w:pStyle w:val="Compact"/>
        <w:numPr>
          <w:ilvl w:val="0"/>
          <w:numId w:val="1183"/>
        </w:numPr>
      </w:pPr>
      <w:r>
        <w:t xml:space="preserve">Each event is a card showing: timestamp (with relative ago), event type icon, source (poll / webhook / push / manual), one-line description, status badge</w:t>
      </w:r>
    </w:p>
    <w:p>
      <w:pPr>
        <w:pStyle w:val="Compact"/>
        <w:numPr>
          <w:ilvl w:val="0"/>
          <w:numId w:val="1183"/>
        </w:numPr>
      </w:pPr>
      <w:r>
        <w:t xml:space="preserve">Cards are colour-coded by source: blue = inbound from EE, green = outbound to EE, grey = internal Frappe action, red = error</w:t>
      </w:r>
    </w:p>
    <w:p>
      <w:pPr>
        <w:pStyle w:val="Compact"/>
        <w:numPr>
          <w:ilvl w:val="0"/>
          <w:numId w:val="1183"/>
        </w:numPr>
      </w:pPr>
      <w:r>
        <w:t xml:space="preserve">Click any card to expand to full payload and metadata</w:t>
      </w:r>
    </w:p>
    <w:p>
      <w:pPr>
        <w:pStyle w:val="Compact"/>
        <w:numPr>
          <w:ilvl w:val="0"/>
          <w:numId w:val="1183"/>
        </w:numPr>
      </w:pPr>
      <w:r>
        <w:t xml:space="preserve">Correlation IDs prominently displayed; clicking a correlation ID filters timeline to that ID</w:t>
      </w:r>
    </w:p>
    <w:p>
      <w:pPr>
        <w:pStyle w:val="Compact"/>
        <w:numPr>
          <w:ilvl w:val="0"/>
          <w:numId w:val="1183"/>
        </w:numPr>
      </w:pPr>
      <w:r>
        <w:t xml:space="preserve">Time-range filter at top (last 1h / 24h / 7d / 30d / custom)</w:t>
      </w:r>
    </w:p>
    <w:p>
      <w:pPr>
        <w:pStyle w:val="Compact"/>
        <w:numPr>
          <w:ilvl w:val="0"/>
          <w:numId w:val="1183"/>
        </w:numPr>
      </w:pPr>
      <w:r>
        <w:t xml:space="preserve">Type filter (show only API Calls / Webhooks / Sync Records / Queue Jobs)</w:t>
      </w:r>
    </w:p>
    <w:bookmarkEnd w:id="304"/>
    <w:bookmarkStart w:id="305" w:name="where-it-surfaces"/>
    <w:p>
      <w:pPr>
        <w:pStyle w:val="Heading3"/>
      </w:pPr>
      <w:r>
        <w:t xml:space="preserve">17.8.2 Where it surfaces</w:t>
      </w:r>
    </w:p>
    <w:p>
      <w:pPr>
        <w:pStyle w:val="Compact"/>
        <w:numPr>
          <w:ilvl w:val="0"/>
          <w:numId w:val="1184"/>
        </w:numPr>
      </w:pPr>
      <w:r>
        <w:t xml:space="preserve">Tab on Sales Invoice, Purchase Receipt, Sales Order, Purchase Order, Stock Entry</w:t>
      </w:r>
    </w:p>
    <w:p>
      <w:pPr>
        <w:pStyle w:val="Compact"/>
        <w:numPr>
          <w:ilvl w:val="0"/>
          <w:numId w:val="1184"/>
        </w:numPr>
      </w:pPr>
      <w:r>
        <w:t xml:space="preserve">Standalone page accessible via /app/easyecom-event-timeline?ee_order_id=</w:t>
      </w:r>
    </w:p>
    <w:p>
      <w:pPr>
        <w:pStyle w:val="Compact"/>
        <w:numPr>
          <w:ilvl w:val="0"/>
          <w:numId w:val="1184"/>
        </w:numPr>
      </w:pPr>
      <w:r>
        <w:t>From any Sync Record / API Call / Webhook Event detail page via ‘View Full Timeline’ button</w:t>
      </w:r>
    </w:p>
    <w:bookmarkEnd w:id="305"/>
    <w:bookmarkEnd w:id="306"/>
    <w:bookmarkStart w:id="309"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07" w:name="inputs"/>
    <w:p>
      <w:pPr>
        <w:pStyle w:val="Heading3"/>
      </w:pPr>
      <w:r>
        <w:t xml:space="preserve">17.9.1 Inputs</w:t>
      </w:r>
    </w:p>
    <w:p>
      <w:pPr>
        <w:pStyle w:val="Compact"/>
        <w:numPr>
          <w:ilvl w:val="0"/>
          <w:numId w:val="1185"/>
        </w:numPr>
      </w:pPr>
      <w:r>
        <w:t xml:space="preserve">Identifier type: auto-detect from format, or explicit dropdown</w:t>
      </w:r>
    </w:p>
    <w:p>
      <w:pPr>
        <w:pStyle w:val="Compact"/>
        <w:numPr>
          <w:ilvl w:val="0"/>
          <w:numId w:val="1185"/>
        </w:numPr>
      </w:pPr>
      <w:r>
        <w:t xml:space="preserve">Company: defaults to current scope; multi-Company option for aggregator FDEs</w:t>
      </w:r>
    </w:p>
    <w:p>
      <w:pPr>
        <w:pStyle w:val="Compact"/>
        <w:numPr>
          <w:ilvl w:val="0"/>
          <w:numId w:val="1185"/>
        </w:numPr>
      </w:pPr>
      <w:r>
        <w:t xml:space="preserve">Time range: defaults to last 90 days; expandable</w:t>
      </w:r>
    </w:p>
    <w:bookmarkEnd w:id="307"/>
    <w:bookmarkStart w:id="308" w:name="outputs-for-an-order-id"/>
    <w:p>
      <w:pPr>
        <w:pStyle w:val="Heading3"/>
      </w:pPr>
      <w:r>
        <w:t xml:space="preserve">17.9.2 Outputs (for an order ID)</w:t>
      </w:r>
    </w:p>
    <w:p>
      <w:pPr>
        <w:pStyle w:val="Compact"/>
        <w:numPr>
          <w:ilvl w:val="0"/>
          <w:numId w:val="1186"/>
        </w:numPr>
      </w:pPr>
      <w:r>
        <w:t>Resolution: this EE order ID maps to ERPNext Sales Invoice X (or ‘not yet ingested’ / ‘multiple matches’ / ‘cancelled’)</w:t>
      </w:r>
    </w:p>
    <w:p>
      <w:pPr>
        <w:pStyle w:val="Compact"/>
        <w:numPr>
          <w:ilvl w:val="0"/>
          <w:numId w:val="1186"/>
        </w:numPr>
      </w:pPr>
      <w:r>
        <w:t>Current state on EasyEcom side: last pulled state, last pulled at, with ‘Refresh from EasyEcom’ button</w:t>
      </w:r>
    </w:p>
    <w:p>
      <w:pPr>
        <w:pStyle w:val="Compact"/>
        <w:numPr>
          <w:ilvl w:val="0"/>
          <w:numId w:val="1186"/>
        </w:numPr>
      </w:pPr>
      <w:r>
        <w:t xml:space="preserve">Current state on ERPNext side: SI status, total, customer, key dates</w:t>
      </w:r>
    </w:p>
    <w:p>
      <w:pPr>
        <w:pStyle w:val="Compact"/>
        <w:numPr>
          <w:ilvl w:val="0"/>
          <w:numId w:val="1186"/>
        </w:numPr>
      </w:pPr>
      <w:r>
        <w:t xml:space="preserve">Drift report: any field that differs between the two sides</w:t>
      </w:r>
    </w:p>
    <w:p>
      <w:pPr>
        <w:pStyle w:val="Compact"/>
        <w:numPr>
          <w:ilvl w:val="0"/>
          <w:numId w:val="1186"/>
        </w:numPr>
      </w:pPr>
      <w:r>
        <w:t xml:space="preserve">Event timeline: scoped to this identifier</w:t>
      </w:r>
    </w:p>
    <w:p>
      <w:pPr>
        <w:pStyle w:val="Compact"/>
        <w:numPr>
          <w:ilvl w:val="0"/>
          <w:numId w:val="1186"/>
        </w:numPr>
      </w:pPr>
      <w:r>
        <w:t xml:space="preserve">Related identifiers: marketplace_order_id, awb_number, manifest_id, settlement_batch (if any)</w:t>
      </w:r>
    </w:p>
    <w:p>
      <w:pPr>
        <w:pStyle w:val="Compact"/>
        <w:numPr>
          <w:ilvl w:val="0"/>
          <w:numId w:val="1186"/>
        </w:numPr>
      </w:pPr>
      <w:r>
        <w:t xml:space="preserve">Open Discrepancies: any integration or recon Discrepancy referencing this identifier</w:t>
      </w:r>
    </w:p>
    <w:p>
      <w:pPr>
        <w:pStyle w:val="Compact"/>
        <w:numPr>
          <w:ilvl w:val="0"/>
          <w:numId w:val="1186"/>
        </w:numPr>
      </w:pPr>
      <w:r>
        <w:t>Suggested actions: based on detected state — ‘Force Resync’, ‘Replay manifest webhook’, ‘Create Replay Plan’, etc.</w:t>
      </w:r>
    </w:p>
    <w:bookmarkEnd w:id="308"/>
    <w:bookmarkEnd w:id="309"/>
    <w:bookmarkStart w:id="312"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10" w:name="sync-items-modal"/>
    <w:p>
      <w:pPr>
        <w:pStyle w:val="Heading3"/>
      </w:pPr>
      <w:r>
        <w:t xml:space="preserve">17.10.1 Sync Items modal</w:t>
      </w:r>
    </w:p>
    <w:p>
      <w:pPr>
        <w:pStyle w:val="Compact"/>
        <w:numPr>
          <w:ilvl w:val="0"/>
          <w:numId w:val="1187"/>
        </w:numPr>
      </w:pPr>
      <w:r>
        <w:t xml:space="preserve">Scope dropdown: Selected Items / Items Modified Since / Items in Item Group / All Items</w:t>
      </w:r>
    </w:p>
    <w:p>
      <w:pPr>
        <w:pStyle w:val="Compact"/>
        <w:numPr>
          <w:ilvl w:val="0"/>
          <w:numId w:val="1187"/>
        </w:numPr>
      </w:pPr>
      <w:r>
        <w:t xml:space="preserve">If Selected: searchable Item picker (Make Item inline-create option for ad-hoc)</w:t>
      </w:r>
    </w:p>
    <w:p>
      <w:pPr>
        <w:pStyle w:val="Compact"/>
        <w:numPr>
          <w:ilvl w:val="0"/>
          <w:numId w:val="1187"/>
        </w:numPr>
      </w:pPr>
      <w:r>
        <w:t xml:space="preserve">If Modified Since: datetime picker (default last 24h)</w:t>
      </w:r>
    </w:p>
    <w:p>
      <w:pPr>
        <w:pStyle w:val="Compact"/>
        <w:numPr>
          <w:ilvl w:val="0"/>
          <w:numId w:val="1187"/>
        </w:numPr>
      </w:pPr>
      <w:r>
        <w:t xml:space="preserve">If Item Group: Item Group picker</w:t>
      </w:r>
    </w:p>
    <w:p>
      <w:pPr>
        <w:pStyle w:val="Compact"/>
        <w:numPr>
          <w:ilvl w:val="0"/>
          <w:numId w:val="1187"/>
        </w:numPr>
      </w:pPr>
      <w:r>
        <w:t xml:space="preserve">If All: confirmation dialog with count and ETA</w:t>
      </w:r>
    </w:p>
    <w:p>
      <w:pPr>
        <w:pStyle w:val="Compact"/>
        <w:numPr>
          <w:ilvl w:val="0"/>
          <w:numId w:val="1187"/>
        </w:numPr>
      </w:pPr>
      <w:r>
        <w:t xml:space="preserve">Direction: Push to EasyEcom / Pull from EasyEcom / Both</w:t>
      </w:r>
    </w:p>
    <w:p>
      <w:pPr>
        <w:pStyle w:val="Compact"/>
        <w:numPr>
          <w:ilvl w:val="0"/>
          <w:numId w:val="1187"/>
        </w:numPr>
      </w:pPr>
      <w:r>
        <w:t xml:space="preserve">Mode: Standard / Force (overrides hash check; pushes even if no change detected)</w:t>
      </w:r>
    </w:p>
    <w:p>
      <w:pPr>
        <w:pStyle w:val="Compact"/>
        <w:numPr>
          <w:ilvl w:val="0"/>
          <w:numId w:val="1187"/>
        </w:numPr>
      </w:pPr>
      <w:r>
        <w:t xml:space="preserve">Dry run option: shows what would happen without committing</w:t>
      </w:r>
    </w:p>
    <w:p>
      <w:pPr>
        <w:pStyle w:val="Compact"/>
        <w:numPr>
          <w:ilvl w:val="0"/>
          <w:numId w:val="1187"/>
        </w:numPr>
      </w:pPr>
      <w:r>
        <w:t>Continue button: enqueues the work and shows a toast ‘Item sync job has been enqueued.’ with a link to the resulting Queue Job</w:t>
      </w:r>
    </w:p>
    <w:bookmarkEnd w:id="310"/>
    <w:bookmarkStart w:id="311" w:name="other-sync-now-options"/>
    <w:p>
      <w:pPr>
        <w:pStyle w:val="Heading3"/>
      </w:pPr>
      <w:r>
        <w:t xml:space="preserve">17.10.2 Other Sync Now options</w:t>
      </w:r>
    </w:p>
    <w:p>
      <w:pPr>
        <w:pStyle w:val="Compact"/>
        <w:numPr>
          <w:ilvl w:val="0"/>
          <w:numId w:val="1188"/>
        </w:numPr>
      </w:pPr>
      <w:r>
        <w:t xml:space="preserve">Sync Customers — same shape, scope = Selected / Modified Since / All</w:t>
      </w:r>
    </w:p>
    <w:p>
      <w:pPr>
        <w:pStyle w:val="Compact"/>
        <w:numPr>
          <w:ilvl w:val="0"/>
          <w:numId w:val="1188"/>
        </w:numPr>
      </w:pPr>
      <w:r>
        <w:t xml:space="preserve">Sync Suppliers — same</w:t>
      </w:r>
    </w:p>
    <w:p>
      <w:pPr>
        <w:pStyle w:val="Compact"/>
        <w:numPr>
          <w:ilvl w:val="0"/>
          <w:numId w:val="1188"/>
        </w:numPr>
      </w:pPr>
      <w:r>
        <w:t xml:space="preserve">Sync Tax Categories — full sync only (no scope; small dataset)</w:t>
      </w:r>
    </w:p>
    <w:p>
      <w:pPr>
        <w:pStyle w:val="Compact"/>
        <w:numPr>
          <w:ilvl w:val="0"/>
          <w:numId w:val="1188"/>
        </w:numPr>
      </w:pPr>
      <w:r>
        <w:t xml:space="preserve">Sync All Masters — runs Item, Customer, Supplier, Tax Category, Channel sequentially</w:t>
      </w:r>
    </w:p>
    <w:p>
      <w:pPr>
        <w:pStyle w:val="Compact"/>
        <w:numPr>
          <w:ilvl w:val="0"/>
          <w:numId w:val="1188"/>
        </w:numPr>
      </w:pPr>
      <w:r>
        <w:t xml:space="preserve">Pull Orders Now — bypasses cadence; pulls orders since last cursor immediately</w:t>
      </w:r>
    </w:p>
    <w:p>
      <w:pPr>
        <w:pStyle w:val="Compact"/>
        <w:numPr>
          <w:ilvl w:val="0"/>
          <w:numId w:val="1188"/>
        </w:numPr>
      </w:pPr>
      <w:r>
        <w:t xml:space="preserve">Pull GRNs Now — same for GRNs</w:t>
      </w:r>
    </w:p>
    <w:p>
      <w:pPr>
        <w:pStyle w:val="Compact"/>
        <w:numPr>
          <w:ilvl w:val="0"/>
          <w:numId w:val="1188"/>
        </w:numPr>
      </w:pPr>
      <w:r>
        <w:t xml:space="preserve">Pull Returns Now — same for returns</w:t>
      </w:r>
    </w:p>
    <w:p>
      <w:pPr>
        <w:pStyle w:val="Compact"/>
        <w:numPr>
          <w:ilvl w:val="0"/>
          <w:numId w:val="1188"/>
        </w:numPr>
      </w:pPr>
      <w:r>
        <w:t xml:space="preserve">Pull Inventory Snapshot — full inventory pull on demand (used during drift investigation)</w:t>
      </w:r>
    </w:p>
    <w:bookmarkEnd w:id="311"/>
    <w:bookmarkEnd w:id="312"/>
    <w:bookmarkStart w:id="313"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89"/>
        </w:numPr>
      </w:pPr>
      <w:r>
        <w:t xml:space="preserve">Clear All Caches button on the EasyEcom Account (System Manager only); shows toast on success</w:t>
      </w:r>
    </w:p>
    <w:p>
      <w:pPr>
        <w:pStyle w:val="Compact"/>
        <w:numPr>
          <w:ilvl w:val="0"/>
          <w:numId w:val="1189"/>
        </w:numPr>
      </w:pPr>
      <w:r>
        <w:t xml:space="preserve">Clear JWT Cache button per EasyEcom Location (forces re-auth on next call)</w:t>
      </w:r>
    </w:p>
    <w:p>
      <w:pPr>
        <w:pStyle w:val="Compact"/>
        <w:numPr>
          <w:ilvl w:val="0"/>
          <w:numId w:val="1189"/>
        </w:numPr>
      </w:pPr>
      <w:r>
        <w:t xml:space="preserve">Clear Field Mapping Cache button on Field Mapping detail (forces recompilation)</w:t>
      </w:r>
    </w:p>
    <w:p>
      <w:pPr>
        <w:pStyle w:val="Compact"/>
        <w:numPr>
          <w:ilvl w:val="0"/>
          <w:numId w:val="1189"/>
        </w:numPr>
      </w:pPr>
      <w:r>
        <w:t xml:space="preserve">Clear Master ID Cache button on the EasyEcom Account (drops cached Item/Customer/Supplier ID lookups)</w:t>
      </w:r>
    </w:p>
    <w:p>
      <w:pPr>
        <w:pStyle w:val="Compact"/>
        <w:numPr>
          <w:ilvl w:val="0"/>
          <w:numId w:val="1189"/>
        </w:numPr>
      </w:pPr>
      <w:r>
        <w:t xml:space="preserve">Cache state inspector — read-only view of what’s currently cached and when each entry was acquired</w:t>
      </w:r>
    </w:p>
    <w:p>
      <w:pPr>
        <w:pStyle w:val="Compact"/>
        <w:numPr>
          <w:ilvl w:val="0"/>
          <w:numId w:val="1189"/>
        </w:numPr>
      </w:pPr>
      <w:r>
        <w:t xml:space="preserve">Configuration Audit captures every manual cache clear (who, when, which cache)</w:t>
      </w:r>
    </w:p>
    <w:bookmarkEnd w:id="313"/>
    <w:bookmarkStart w:id="314"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90"/>
        </w:numPr>
      </w:pPr>
      <w:r>
        <w:t>Async action enqueued: toast ‘Item sync job has been enqueued.’ with link to the Queue Job</w:t>
      </w:r>
    </w:p>
    <w:p>
      <w:pPr>
        <w:pStyle w:val="Compact"/>
        <w:numPr>
          <w:ilvl w:val="0"/>
          <w:numId w:val="1190"/>
        </w:numPr>
      </w:pPr>
      <w:r>
        <w:t>Sync action started: toast ‘Pulling orders from EasyEcom…’ with progress bar where applicable</w:t>
      </w:r>
    </w:p>
    <w:p>
      <w:pPr>
        <w:pStyle w:val="Compact"/>
        <w:numPr>
          <w:ilvl w:val="0"/>
          <w:numId w:val="1190"/>
        </w:numPr>
      </w:pPr>
      <w:r>
        <w:t>Sync action completed: toast ‘Pulled 47 orders, 3 errors.’ with link to detailed result</w:t>
      </w:r>
    </w:p>
    <w:p>
      <w:pPr>
        <w:pStyle w:val="Compact"/>
        <w:numPr>
          <w:ilvl w:val="0"/>
          <w:numId w:val="1190"/>
        </w:numPr>
      </w:pPr>
      <w:r>
        <w:t>Cache cleared: toast ‘Cache cleared.’ (simple confirmation)</w:t>
      </w:r>
    </w:p>
    <w:p>
      <w:pPr>
        <w:pStyle w:val="Compact"/>
        <w:numPr>
          <w:ilvl w:val="0"/>
          <w:numId w:val="1190"/>
        </w:numPr>
      </w:pPr>
      <w:r>
        <w:t>Configuration saved: toast ‘Settings saved.’ plus inline indication if the change requires sync restart</w:t>
      </w:r>
    </w:p>
    <w:p>
      <w:pPr>
        <w:pStyle w:val="Compact"/>
        <w:numPr>
          <w:ilvl w:val="0"/>
          <w:numId w:val="1190"/>
        </w:numPr>
      </w:pPr>
      <w:r>
        <w:t xml:space="preserve">Replay dry-run completed: results displayed inline with count of records that would be affected</w:t>
      </w:r>
    </w:p>
    <w:p>
      <w:pPr>
        <w:pStyle w:val="Compact"/>
        <w:numPr>
          <w:ilvl w:val="0"/>
          <w:numId w:val="1190"/>
        </w:numPr>
      </w:pPr>
      <w:r>
        <w:t>Error: toast in red with the translated error message and a ‘Show details’ link to full traceback</w:t>
      </w:r>
    </w:p>
    <w:bookmarkEnd w:id="314"/>
    <w:bookmarkStart w:id="315"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91"/>
        </w:numPr>
      </w:pPr>
      <w:r>
        <w:t xml:space="preserve">Active Company indicator in the page header (icon + name), always visible</w:t>
      </w:r>
    </w:p>
    <w:p>
      <w:pPr>
        <w:pStyle w:val="Compact"/>
        <w:numPr>
          <w:ilvl w:val="0"/>
          <w:numId w:val="1191"/>
        </w:numPr>
      </w:pPr>
      <w:r>
        <w:t xml:space="preserve">Switching Company via the standard Frappe Company switcher refreshes all integration views</w:t>
      </w:r>
    </w:p>
    <w:p>
      <w:pPr>
        <w:pStyle w:val="Compact"/>
        <w:numPr>
          <w:ilvl w:val="0"/>
          <w:numId w:val="1191"/>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91"/>
        </w:numPr>
      </w:pPr>
      <w:r>
        <w:t xml:space="preserve">Cross-Company list views show Company as the first column</w:t>
      </w:r>
    </w:p>
    <w:p>
      <w:pPr>
        <w:pStyle w:val="Compact"/>
        <w:numPr>
          <w:ilvl w:val="0"/>
          <w:numId w:val="1191"/>
        </w:numPr>
      </w:pPr>
      <w:r>
        <w:t xml:space="preserve">Audit log records the Company context of every action</w:t>
      </w:r>
    </w:p>
    <w:bookmarkEnd w:id="315"/>
    <w:bookmarkEnd w:id="316"/>
    <w:bookmarkStart w:id="327"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17"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17"/>
    <w:bookmarkStart w:id="318"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18"/>
    <w:bookmarkStart w:id="319"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92"/>
        </w:numPr>
      </w:pPr>
      <w:r>
        <w:t xml:space="preserve">Per-Company recipient lists per severity (Critical / Error / Warning recipients can be different sets of people)</w:t>
      </w:r>
    </w:p>
    <w:p>
      <w:pPr>
        <w:pStyle w:val="Compact"/>
        <w:numPr>
          <w:ilvl w:val="0"/>
          <w:numId w:val="1192"/>
        </w:numPr>
      </w:pPr>
      <w:r>
        <w:t xml:space="preserve">Per-channel recipient sub-lists (email-only recipients, Slack-only recipients, etc.)</w:t>
      </w:r>
    </w:p>
    <w:p>
      <w:pPr>
        <w:pStyle w:val="Compact"/>
        <w:numPr>
          <w:ilvl w:val="0"/>
          <w:numId w:val="1192"/>
        </w:numPr>
      </w:pPr>
      <w:r>
        <w:t xml:space="preserve">On-call rotations: a Recipient Group can be configured as a rotation with date ranges; the system routes to whoever is on-call at the time of the alert</w:t>
      </w:r>
    </w:p>
    <w:p>
      <w:pPr>
        <w:pStyle w:val="Compact"/>
        <w:numPr>
          <w:ilvl w:val="0"/>
          <w:numId w:val="1192"/>
        </w:numPr>
      </w:pPr>
      <w:r>
        <w:t xml:space="preserve">Escalation chains: if a Critical alert is not acknowledged within the SLA, escalates to a secondary recipient list</w:t>
      </w:r>
    </w:p>
    <w:p>
      <w:pPr>
        <w:pStyle w:val="Compact"/>
        <w:numPr>
          <w:ilvl w:val="0"/>
          <w:numId w:val="1192"/>
        </w:numPr>
      </w:pPr>
      <w:r>
        <w:t xml:space="preserve">Quiet hours: per-recipient configurable; non-Critical alerts queued until quiet hours end</w:t>
      </w:r>
    </w:p>
    <w:bookmarkEnd w:id="319"/>
    <w:bookmarkStart w:id="320"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93"/>
        </w:numPr>
      </w:pPr>
      <w:r>
        <w:t xml:space="preserve">Identical alert (same alert_key) within 5 min: deduplicated; the second occurrence updates the existing alert’s count, no new notification</w:t>
      </w:r>
    </w:p>
    <w:p>
      <w:pPr>
        <w:pStyle w:val="Compact"/>
        <w:numPr>
          <w:ilvl w:val="0"/>
          <w:numId w:val="1193"/>
        </w:numPr>
      </w:pPr>
      <w:r>
        <w:t xml:space="preserve">Alert flood detection: if &gt; 50 alerts of the same alert_key fire within 15 min, suppression activates — only the first and a 15-min summary are sent</w:t>
      </w:r>
    </w:p>
    <w:p>
      <w:pPr>
        <w:pStyle w:val="Compact"/>
        <w:numPr>
          <w:ilvl w:val="0"/>
          <w:numId w:val="1193"/>
        </w:numPr>
      </w:pPr>
      <w:r>
        <w:t xml:space="preserve">Maintenance windows: configurable downtime windows during which non-Critical alerts are suppressed</w:t>
      </w:r>
    </w:p>
    <w:p>
      <w:pPr>
        <w:pStyle w:val="Compact"/>
        <w:numPr>
          <w:ilvl w:val="0"/>
          <w:numId w:val="1193"/>
        </w:numPr>
      </w:pPr>
      <w:r>
        <w:t xml:space="preserve">Manual snooze: an FDE can snooze an alert family for 1h / 4h / 24h with a required reason (logged)</w:t>
      </w:r>
    </w:p>
    <w:p>
      <w:pPr>
        <w:pStyle w:val="Compact"/>
        <w:numPr>
          <w:ilvl w:val="0"/>
          <w:numId w:val="1193"/>
        </w:numPr>
      </w:pPr>
      <w:r>
        <w:t xml:space="preserve">Acknowledgement stops re-alerting: once an alert is acknowledged, it does not re-notify until it transitions Resolved or Reopened</w:t>
      </w:r>
    </w:p>
    <w:p>
      <w:pPr>
        <w:pStyle w:val="Compact"/>
        <w:numPr>
          <w:ilvl w:val="0"/>
          <w:numId w:val="1193"/>
        </w:numPr>
      </w:pPr>
      <w:r>
        <w:t>Group-by rules: alerts of the same type within a sliding window are bundled — ‘GRN ingestion failed for 7 PRs in last 10 min’ instead of 7 separate alerts</w:t>
      </w:r>
    </w:p>
    <w:bookmarkEnd w:id="320"/>
    <w:bookmarkStart w:id="321"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194"/>
        </w:numPr>
      </w:pPr>
      <w:r>
        <w:t xml:space="preserve">Fired — alert created and notifications sent</w:t>
      </w:r>
    </w:p>
    <w:p>
      <w:pPr>
        <w:pStyle w:val="Compact"/>
        <w:numPr>
          <w:ilvl w:val="0"/>
          <w:numId w:val="1194"/>
        </w:numPr>
      </w:pPr>
      <w:r>
        <w:t xml:space="preserve">Acknowledged — operator clicked Acknowledge; pauses re-alerting</w:t>
      </w:r>
    </w:p>
    <w:p>
      <w:pPr>
        <w:pStyle w:val="Compact"/>
        <w:numPr>
          <w:ilvl w:val="0"/>
          <w:numId w:val="1194"/>
        </w:numPr>
      </w:pPr>
      <w:r>
        <w:t xml:space="preserve">In Investigation — operator opened the underlying record and is working on it</w:t>
      </w:r>
    </w:p>
    <w:p>
      <w:pPr>
        <w:pStyle w:val="Compact"/>
        <w:numPr>
          <w:ilvl w:val="0"/>
          <w:numId w:val="1194"/>
        </w:numPr>
      </w:pPr>
      <w:r>
        <w:t xml:space="preserve">Resolved — operator marked resolved with a resolution note (mandatory)</w:t>
      </w:r>
    </w:p>
    <w:p>
      <w:pPr>
        <w:pStyle w:val="Compact"/>
        <w:numPr>
          <w:ilvl w:val="0"/>
          <w:numId w:val="1194"/>
        </w:numPr>
      </w:pPr>
      <w:r>
        <w:t xml:space="preserve">Reopened — if the underlying condition recurs within 1h of resolution</w:t>
      </w:r>
    </w:p>
    <w:p>
      <w:pPr>
        <w:pStyle w:val="Compact"/>
        <w:numPr>
          <w:ilvl w:val="0"/>
          <w:numId w:val="1194"/>
        </w:numPr>
      </w:pPr>
      <w:r>
        <w:t xml:space="preserve">Auto-closed — for self-recovering alerts (e.g., API error rate dropped back below threshold), with an audit note</w:t>
      </w:r>
    </w:p>
    <w:bookmarkEnd w:id="321"/>
    <w:bookmarkStart w:id="322"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22"/>
    <w:bookmarkStart w:id="325" w:name="daily-and-weekly-digests"/>
    <w:p>
      <w:pPr>
        <w:pStyle w:val="Heading2"/>
      </w:pPr>
      <w:r>
        <w:t xml:space="preserve">18.7 Daily and weekly digests</w:t>
      </w:r>
    </w:p>
    <w:bookmarkStart w:id="323"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195"/>
        </w:numPr>
      </w:pPr>
      <w:r>
        <w:t xml:space="preserve">Yesterday’s API call success rate vs 7-day baseline</w:t>
      </w:r>
    </w:p>
    <w:p>
      <w:pPr>
        <w:pStyle w:val="Compact"/>
        <w:numPr>
          <w:ilvl w:val="0"/>
          <w:numId w:val="1195"/>
        </w:numPr>
      </w:pPr>
      <w:r>
        <w:t xml:space="preserve">Yesterday’s webhook receipt count vs 7-day baseline</w:t>
      </w:r>
    </w:p>
    <w:p>
      <w:pPr>
        <w:pStyle w:val="Compact"/>
        <w:numPr>
          <w:ilvl w:val="0"/>
          <w:numId w:val="1195"/>
        </w:numPr>
      </w:pPr>
      <w:r>
        <w:t xml:space="preserve">New Critical and Error alerts fired yesterday (with links)</w:t>
      </w:r>
    </w:p>
    <w:p>
      <w:pPr>
        <w:pStyle w:val="Compact"/>
        <w:numPr>
          <w:ilvl w:val="0"/>
          <w:numId w:val="1195"/>
        </w:numPr>
      </w:pPr>
      <w:r>
        <w:t xml:space="preserve">New Integration Discrepancies created yesterday with financial impact</w:t>
      </w:r>
    </w:p>
    <w:p>
      <w:pPr>
        <w:pStyle w:val="Compact"/>
        <w:numPr>
          <w:ilvl w:val="0"/>
          <w:numId w:val="1195"/>
        </w:numPr>
      </w:pPr>
      <w:r>
        <w:t xml:space="preserve">Open Discrepancies &gt; 24h old (count by severity)</w:t>
      </w:r>
    </w:p>
    <w:p>
      <w:pPr>
        <w:pStyle w:val="Compact"/>
        <w:numPr>
          <w:ilvl w:val="0"/>
          <w:numId w:val="1195"/>
        </w:numPr>
      </w:pPr>
      <w:r>
        <w:t xml:space="preserve">Sync Records that have failed &gt; 5 times (likely permanent failures needing FDE intervention)</w:t>
      </w:r>
    </w:p>
    <w:p>
      <w:pPr>
        <w:pStyle w:val="Compact"/>
        <w:numPr>
          <w:ilvl w:val="0"/>
          <w:numId w:val="1195"/>
        </w:numPr>
      </w:pPr>
      <w:r>
        <w:t xml:space="preserve">Pointer to today’s Morning Brief (Section 24)</w:t>
      </w:r>
    </w:p>
    <w:bookmarkEnd w:id="323"/>
    <w:bookmarkStart w:id="324"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196"/>
        </w:numPr>
      </w:pPr>
      <w:r>
        <w:t xml:space="preserve">Last week’s SLA compliance per flow</w:t>
      </w:r>
    </w:p>
    <w:p>
      <w:pPr>
        <w:pStyle w:val="Compact"/>
        <w:numPr>
          <w:ilvl w:val="0"/>
          <w:numId w:val="1196"/>
        </w:numPr>
      </w:pPr>
      <w:r>
        <w:t xml:space="preserve">Last week’s volume vs. previous 4-week baseline</w:t>
      </w:r>
    </w:p>
    <w:p>
      <w:pPr>
        <w:pStyle w:val="Compact"/>
        <w:numPr>
          <w:ilvl w:val="0"/>
          <w:numId w:val="1196"/>
        </w:numPr>
      </w:pPr>
      <w:r>
        <w:t xml:space="preserve">Top 5 Error Translation hits (which translated errors fired most)</w:t>
      </w:r>
    </w:p>
    <w:p>
      <w:pPr>
        <w:pStyle w:val="Compact"/>
        <w:numPr>
          <w:ilvl w:val="0"/>
          <w:numId w:val="1196"/>
        </w:numPr>
      </w:pPr>
      <w:r>
        <w:t xml:space="preserve">Schema drift summary (new variants observed last week)</w:t>
      </w:r>
    </w:p>
    <w:p>
      <w:pPr>
        <w:pStyle w:val="Compact"/>
        <w:numPr>
          <w:ilvl w:val="0"/>
          <w:numId w:val="1196"/>
        </w:numPr>
      </w:pPr>
      <w:r>
        <w:t xml:space="preserve">Field Mapping coverage report</w:t>
      </w:r>
    </w:p>
    <w:p>
      <w:pPr>
        <w:pStyle w:val="Compact"/>
        <w:numPr>
          <w:ilvl w:val="0"/>
          <w:numId w:val="1196"/>
        </w:numPr>
      </w:pPr>
      <w:r>
        <w:t xml:space="preserve">Configuration changes made last week (Settings, Field Mapping, Source-of-Truth Map)</w:t>
      </w:r>
    </w:p>
    <w:p>
      <w:pPr>
        <w:pStyle w:val="Compact"/>
        <w:numPr>
          <w:ilvl w:val="0"/>
          <w:numId w:val="1196"/>
        </w:numPr>
      </w:pPr>
      <w:r>
        <w:t xml:space="preserve">Replay activity summary</w:t>
      </w:r>
    </w:p>
    <w:bookmarkEnd w:id="324"/>
    <w:bookmarkEnd w:id="325"/>
    <w:bookmarkStart w:id="326" w:name="alert-configuration-audit"/>
    <w:p>
      <w:pPr>
        <w:pStyle w:val="Heading2"/>
      </w:pPr>
      <w:r>
        <w:t xml:space="preserve">18.8 Alert configuration audit</w:t>
      </w:r>
    </w:p>
    <w:p>
      <w:pPr>
        <w:pStyle w:val="Compact"/>
        <w:numPr>
          <w:ilvl w:val="0"/>
          <w:numId w:val="1197"/>
        </w:numPr>
      </w:pPr>
      <w:r>
        <w:t xml:space="preserve">Every change to alert configuration (recipient lists, thresholds, channel routing) is captured in EasyEcom Configuration Audit</w:t>
      </w:r>
    </w:p>
    <w:p>
      <w:pPr>
        <w:pStyle w:val="Compact"/>
        <w:numPr>
          <w:ilvl w:val="0"/>
          <w:numId w:val="1197"/>
        </w:numPr>
      </w:pPr>
      <w:r>
        <w:t>Quarterly review prompt sent to System Manager: ‘review your alert configurations for currency’</w:t>
      </w:r>
    </w:p>
    <w:p>
      <w:pPr>
        <w:pStyle w:val="Compact"/>
        <w:numPr>
          <w:ilvl w:val="0"/>
          <w:numId w:val="1197"/>
        </w:numPr>
      </w:pPr>
      <w:r>
        <w:t xml:space="preserve">Suppression actions (snooze, maintenance window) are also audited</w:t>
      </w:r>
    </w:p>
    <w:bookmarkEnd w:id="326"/>
    <w:bookmarkEnd w:id="327"/>
    <w:bookmarkStart w:id="342"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28"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28"/>
    <w:bookmarkStart w:id="334" w:name="strategies"/>
    <w:p>
      <w:pPr>
        <w:pStyle w:val="Heading2"/>
      </w:pPr>
      <w:r>
        <w:t xml:space="preserve">19.2 Strategies</w:t>
      </w:r>
    </w:p>
    <w:bookmarkStart w:id="329" w:name="retry-as-is"/>
    <w:p>
      <w:pPr>
        <w:pStyle w:val="Heading3"/>
      </w:pPr>
      <w:r>
        <w:t xml:space="preserve">19.2.1 Retry-As-Is</w:t>
      </w:r>
    </w:p>
    <w:p>
      <w:pPr>
        <w:pStyle w:val="Compact"/>
        <w:numPr>
          <w:ilvl w:val="0"/>
          <w:numId w:val="1198"/>
        </w:numPr>
      </w:pPr>
      <w:r>
        <w:t xml:space="preserve">Re-attempts the original operation with no changes</w:t>
      </w:r>
    </w:p>
    <w:p>
      <w:pPr>
        <w:pStyle w:val="Compact"/>
        <w:numPr>
          <w:ilvl w:val="0"/>
          <w:numId w:val="1198"/>
        </w:numPr>
      </w:pPr>
      <w:r>
        <w:t xml:space="preserve">Suitable for: transient failures (rate limit, brief outage) where the underlying records and config are correct</w:t>
      </w:r>
    </w:p>
    <w:p>
      <w:pPr>
        <w:pStyle w:val="Compact"/>
        <w:numPr>
          <w:ilvl w:val="0"/>
          <w:numId w:val="1198"/>
        </w:numPr>
      </w:pPr>
      <w:r>
        <w:t xml:space="preserve">Idempotency keys ensure no double-processing</w:t>
      </w:r>
    </w:p>
    <w:bookmarkEnd w:id="329"/>
    <w:bookmarkStart w:id="330" w:name="retry-with-override"/>
    <w:p>
      <w:pPr>
        <w:pStyle w:val="Heading3"/>
      </w:pPr>
      <w:r>
        <w:t xml:space="preserve">19.2.2 Retry-With-Override</w:t>
      </w:r>
    </w:p>
    <w:p>
      <w:pPr>
        <w:pStyle w:val="Compact"/>
        <w:numPr>
          <w:ilvl w:val="0"/>
          <w:numId w:val="1199"/>
        </w:numPr>
      </w:pPr>
      <w:r>
        <w:t xml:space="preserve">FDE supplies override_values that replace specific fields before retry</w:t>
      </w:r>
    </w:p>
    <w:p>
      <w:pPr>
        <w:pStyle w:val="Compact"/>
        <w:numPr>
          <w:ilvl w:val="0"/>
          <w:numId w:val="1199"/>
        </w:numPr>
      </w:pPr>
      <w:r>
        <w:t>Override values can be literal (set hsn_code = ‘8517’ for these 47 Items before retry) or expressions (set easyecom_company_product_id = ERPNext name + ‘-EE’ for these 12 Items)</w:t>
      </w:r>
    </w:p>
    <w:p>
      <w:pPr>
        <w:pStyle w:val="Compact"/>
        <w:numPr>
          <w:ilvl w:val="0"/>
          <w:numId w:val="1199"/>
        </w:numPr>
      </w:pPr>
      <w:r>
        <w:t xml:space="preserve">Useful when source records have a fixable defect that’s faster to override at retry time than to fix in the source data</w:t>
      </w:r>
    </w:p>
    <w:p>
      <w:pPr>
        <w:pStyle w:val="Compact"/>
        <w:numPr>
          <w:ilvl w:val="0"/>
          <w:numId w:val="1199"/>
        </w:numPr>
      </w:pPr>
      <w:r>
        <w:t xml:space="preserve">Override values are captured in audit trail so the divergence is traceable</w:t>
      </w:r>
    </w:p>
    <w:bookmarkEnd w:id="330"/>
    <w:bookmarkStart w:id="331" w:name="reprocess"/>
    <w:p>
      <w:pPr>
        <w:pStyle w:val="Heading3"/>
      </w:pPr>
      <w:r>
        <w:t xml:space="preserve">19.2.3 Reprocess</w:t>
      </w:r>
    </w:p>
    <w:p>
      <w:pPr>
        <w:pStyle w:val="Compact"/>
        <w:numPr>
          <w:ilvl w:val="0"/>
          <w:numId w:val="1200"/>
        </w:numPr>
      </w:pPr>
      <w:r>
        <w:t xml:space="preserve">Specific to Webhook Event replay — re-runs the original payload through current ingestion logic</w:t>
      </w:r>
    </w:p>
    <w:p>
      <w:pPr>
        <w:pStyle w:val="Compact"/>
        <w:numPr>
          <w:ilvl w:val="0"/>
          <w:numId w:val="1200"/>
        </w:numPr>
      </w:pPr>
      <w:r>
        <w:t xml:space="preserve">Useful when ingestion code has been bug-fixed since the original webhook arrived</w:t>
      </w:r>
    </w:p>
    <w:bookmarkEnd w:id="331"/>
    <w:bookmarkStart w:id="332" w:name="force-resync"/>
    <w:p>
      <w:pPr>
        <w:pStyle w:val="Heading3"/>
      </w:pPr>
      <w:r>
        <w:t xml:space="preserve">19.2.4 Force-Resync</w:t>
      </w:r>
    </w:p>
    <w:p>
      <w:pPr>
        <w:pStyle w:val="Compact"/>
        <w:numPr>
          <w:ilvl w:val="0"/>
          <w:numId w:val="1201"/>
        </w:numPr>
      </w:pPr>
      <w:r>
        <w:t xml:space="preserve">Pulls EasyEcom-side state and pushes ERPNext-side state regardless of hash equality</w:t>
      </w:r>
    </w:p>
    <w:p>
      <w:pPr>
        <w:pStyle w:val="Compact"/>
        <w:numPr>
          <w:ilvl w:val="0"/>
          <w:numId w:val="1201"/>
        </w:numPr>
      </w:pPr>
      <w:r>
        <w:t xml:space="preserve">Useful for suspected silent drift — when both sides claim to be current but differ</w:t>
      </w:r>
    </w:p>
    <w:bookmarkEnd w:id="332"/>
    <w:bookmarkStart w:id="333" w:name="mark-manually-resolved"/>
    <w:p>
      <w:pPr>
        <w:pStyle w:val="Heading3"/>
      </w:pPr>
      <w:r>
        <w:t xml:space="preserve">19.2.5 Mark-Manually-Resolved</w:t>
      </w:r>
    </w:p>
    <w:p>
      <w:pPr>
        <w:pStyle w:val="Compact"/>
        <w:numPr>
          <w:ilvl w:val="0"/>
          <w:numId w:val="1202"/>
        </w:numPr>
      </w:pPr>
      <w:r>
        <w:t xml:space="preserve">Closes the targeted records as resolved without retry</w:t>
      </w:r>
    </w:p>
    <w:p>
      <w:pPr>
        <w:pStyle w:val="Compact"/>
        <w:numPr>
          <w:ilvl w:val="0"/>
          <w:numId w:val="1202"/>
        </w:numPr>
      </w:pPr>
      <w:r>
        <w:t xml:space="preserve">Used when the FDE has fixed the underlying issue out-of-band (e.g., manually edited the EE record) and the integration just needs to stop trying</w:t>
      </w:r>
    </w:p>
    <w:p>
      <w:pPr>
        <w:pStyle w:val="Compact"/>
        <w:numPr>
          <w:ilvl w:val="0"/>
          <w:numId w:val="1202"/>
        </w:numPr>
      </w:pPr>
      <w:r>
        <w:t xml:space="preserve">Requires resolution_note for audit</w:t>
      </w:r>
    </w:p>
    <w:bookmarkEnd w:id="333"/>
    <w:bookmarkEnd w:id="334"/>
    <w:bookmarkStart w:id="336"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03"/>
        </w:numPr>
      </w:pPr>
      <w:r>
        <w:t xml:space="preserve">Performs all read operations (fetch source data, evaluate Field Mapping, compute payloads)</w:t>
      </w:r>
    </w:p>
    <w:p>
      <w:pPr>
        <w:pStyle w:val="Compact"/>
        <w:numPr>
          <w:ilvl w:val="0"/>
          <w:numId w:val="1203"/>
        </w:numPr>
      </w:pPr>
      <w:r>
        <w:t xml:space="preserve">Does NOT perform any write operations against EasyEcom or ERPNext</w:t>
      </w:r>
    </w:p>
    <w:p>
      <w:pPr>
        <w:pStyle w:val="Compact"/>
        <w:numPr>
          <w:ilvl w:val="0"/>
          <w:numId w:val="1203"/>
        </w:numPr>
      </w:pPr>
      <w:r>
        <w:t xml:space="preserve">Does NOT advance any cursors or modify any records</w:t>
      </w:r>
    </w:p>
    <w:p>
      <w:pPr>
        <w:pStyle w:val="Compact"/>
        <w:numPr>
          <w:ilvl w:val="0"/>
          <w:numId w:val="1203"/>
        </w:numPr>
      </w:pPr>
      <w:r>
        <w:t xml:space="preserve">Captures predicted outcomes per record: would-succeed / would-fail / would-no-op (with reason)</w:t>
      </w:r>
    </w:p>
    <w:p>
      <w:pPr>
        <w:pStyle w:val="Compact"/>
        <w:numPr>
          <w:ilvl w:val="0"/>
          <w:numId w:val="1203"/>
        </w:numPr>
      </w:pPr>
      <w:r>
        <w:t xml:space="preserve">Captures the payload that would be sent for spot-check</w:t>
      </w:r>
    </w:p>
    <w:p>
      <w:pPr>
        <w:pStyle w:val="Compact"/>
        <w:numPr>
          <w:ilvl w:val="0"/>
          <w:numId w:val="1203"/>
        </w:numPr>
      </w:pPr>
      <w:r>
        <w:t>Surfaces any rule failures or precondition violations Dry Run results are persisted in dry_run_results (JSON, per-record).</w:t>
      </w:r>
    </w:p>
    <w:bookmarkStart w:id="335"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04"/>
        </w:numPr>
      </w:pPr>
      <w:r>
        <w:t xml:space="preserve">Summary at top: predicted success count, predicted failure count, predicted no-op count</w:t>
      </w:r>
    </w:p>
    <w:p>
      <w:pPr>
        <w:pStyle w:val="Compact"/>
        <w:numPr>
          <w:ilvl w:val="0"/>
          <w:numId w:val="1204"/>
        </w:numPr>
      </w:pPr>
      <w:r>
        <w:t>Per-record table with predicted outcome, predicted error (if applicable), ‘View Payload’ inline</w:t>
      </w:r>
    </w:p>
    <w:p>
      <w:pPr>
        <w:pStyle w:val="Compact"/>
        <w:numPr>
          <w:ilvl w:val="0"/>
          <w:numId w:val="1204"/>
        </w:numPr>
      </w:pPr>
      <w:r>
        <w:t xml:space="preserve">Filter and search the per-record results</w:t>
      </w:r>
    </w:p>
    <w:p>
      <w:pPr>
        <w:pStyle w:val="Compact"/>
        <w:numPr>
          <w:ilvl w:val="0"/>
          <w:numId w:val="1204"/>
        </w:numPr>
      </w:pPr>
      <w:r>
        <w:t>‘Show Sample Payload’ to inspect the would-be-sent payload for any record</w:t>
      </w:r>
    </w:p>
    <w:p>
      <w:pPr>
        <w:pStyle w:val="Compact"/>
        <w:numPr>
          <w:ilvl w:val="0"/>
          <w:numId w:val="1204"/>
        </w:numPr>
      </w:pPr>
      <w:r>
        <w:t>‘Compare Against Original’ for Retry-With-Override: side-by-side diff of original vs. overridden payload</w:t>
      </w:r>
    </w:p>
    <w:p>
      <w:pPr>
        <w:pStyle w:val="Compact"/>
        <w:numPr>
          <w:ilvl w:val="0"/>
          <w:numId w:val="1204"/>
        </w:numPr>
      </w:pPr>
      <w:r>
        <w:t>Sign-off action: ‘I have reviewed and accept the predicted outcomes’. Required before Commit</w:t>
      </w:r>
    </w:p>
    <w:bookmarkEnd w:id="335"/>
    <w:bookmarkEnd w:id="336"/>
    <w:bookmarkStart w:id="337"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05"/>
        </w:numPr>
      </w:pPr>
      <w:r>
        <w:t xml:space="preserve">Standard Frappe filters: status, modified, etc.</w:t>
      </w:r>
    </w:p>
    <w:p>
      <w:pPr>
        <w:pStyle w:val="Compact"/>
        <w:numPr>
          <w:ilvl w:val="0"/>
          <w:numId w:val="1205"/>
        </w:numPr>
      </w:pPr>
      <w:r>
        <w:t>Failed-since filter: failed_since: ‘2026-04-30 14:00:00’</w:t>
      </w:r>
    </w:p>
    <w:p>
      <w:pPr>
        <w:pStyle w:val="Compact"/>
        <w:numPr>
          <w:ilvl w:val="0"/>
          <w:numId w:val="1205"/>
        </w:numPr>
      </w:pPr>
      <w:r>
        <w:t>Error-contains filter: error_contains: ‘HSN’</w:t>
      </w:r>
    </w:p>
    <w:p>
      <w:pPr>
        <w:pStyle w:val="Compact"/>
        <w:numPr>
          <w:ilvl w:val="0"/>
          <w:numId w:val="1205"/>
        </w:numPr>
      </w:pPr>
      <w:r>
        <w:t>Translated-error-key filter: translated_error_key: ‘EE_HSN_NOT_FOUND’</w:t>
      </w:r>
    </w:p>
    <w:p>
      <w:pPr>
        <w:pStyle w:val="Compact"/>
        <w:numPr>
          <w:ilvl w:val="0"/>
          <w:numId w:val="1205"/>
        </w:numPr>
      </w:pPr>
      <w:r>
        <w:t xml:space="preserve">Affected-document filter: affected_doctype + affected_name patterns</w:t>
      </w:r>
    </w:p>
    <w:p>
      <w:pPr>
        <w:pStyle w:val="Compact"/>
        <w:numPr>
          <w:ilvl w:val="0"/>
          <w:numId w:val="1205"/>
        </w:numPr>
      </w:pPr>
      <w:r>
        <w:t>Webhook-gap filter: missing_in_window: (‘2026-04-30 14:00’, ‘2026-04-30 18:00’) for webhook replay</w:t>
      </w:r>
    </w:p>
    <w:p>
      <w:pPr>
        <w:pStyle w:val="Compact"/>
        <w:numPr>
          <w:ilvl w:val="0"/>
          <w:numId w:val="1205"/>
        </w:numPr>
      </w:pPr>
      <w:r>
        <w:t>Compound filters: AND/OR composition The filter editor includes a Preview Count button that runs the filter without committing — gives the FDE confidence in the scope before configuring strategy.</w:t>
      </w:r>
    </w:p>
    <w:bookmarkEnd w:id="337"/>
    <w:bookmarkStart w:id="338" w:name="commit-phase"/>
    <w:p>
      <w:pPr>
        <w:pStyle w:val="Heading2"/>
      </w:pPr>
      <w:r>
        <w:t xml:space="preserve">19.5 Commit phase</w:t>
      </w:r>
    </w:p>
    <w:p>
      <w:pPr>
        <w:pStyle w:val="Compact"/>
        <w:numPr>
          <w:ilvl w:val="0"/>
          <w:numId w:val="1206"/>
        </w:numPr>
      </w:pPr>
      <w:r>
        <w:t xml:space="preserve">Commit is gated on: Dry Run completed successfully + Dry Run sign-off recorded + commit_reason populated</w:t>
      </w:r>
    </w:p>
    <w:p>
      <w:pPr>
        <w:pStyle w:val="Compact"/>
        <w:numPr>
          <w:ilvl w:val="0"/>
          <w:numId w:val="1206"/>
        </w:numPr>
      </w:pPr>
      <w:r>
        <w:t xml:space="preserve">Commit creates a parent Queue Job that spawns child Queue Jobs per affected record</w:t>
      </w:r>
    </w:p>
    <w:p>
      <w:pPr>
        <w:pStyle w:val="Compact"/>
        <w:numPr>
          <w:ilvl w:val="0"/>
          <w:numId w:val="1206"/>
        </w:numPr>
      </w:pPr>
      <w:r>
        <w:t xml:space="preserve">Throttle and max_concurrency apply</w:t>
      </w:r>
    </w:p>
    <w:p>
      <w:pPr>
        <w:pStyle w:val="Compact"/>
        <w:numPr>
          <w:ilvl w:val="0"/>
          <w:numId w:val="1206"/>
        </w:numPr>
      </w:pPr>
      <w:r>
        <w:t xml:space="preserve">Commit can be Paused or Cancelled mid-execution; the system stops issuing new operations but does not roll back already-committed ones</w:t>
      </w:r>
    </w:p>
    <w:p>
      <w:pPr>
        <w:pStyle w:val="Compact"/>
        <w:numPr>
          <w:ilvl w:val="0"/>
          <w:numId w:val="1206"/>
        </w:numPr>
      </w:pPr>
      <w:r>
        <w:t xml:space="preserve">Per-record commit results captured in commit_results</w:t>
      </w:r>
    </w:p>
    <w:p>
      <w:pPr>
        <w:pStyle w:val="Compact"/>
        <w:numPr>
          <w:ilvl w:val="0"/>
          <w:numId w:val="1206"/>
        </w:numPr>
      </w:pPr>
      <w:r>
        <w:t xml:space="preserve">On Commit completion: a summary record posted (success count, failure count, total elapsed) and a notification sent to the FDE</w:t>
      </w:r>
    </w:p>
    <w:bookmarkEnd w:id="338"/>
    <w:bookmarkStart w:id="339" w:name="audit-and-traceability"/>
    <w:p>
      <w:pPr>
        <w:pStyle w:val="Heading2"/>
      </w:pPr>
      <w:r>
        <w:t xml:space="preserve">19.6 Audit and traceability</w:t>
      </w:r>
    </w:p>
    <w:p>
      <w:pPr>
        <w:pStyle w:val="Compact"/>
        <w:numPr>
          <w:ilvl w:val="0"/>
          <w:numId w:val="1207"/>
        </w:numPr>
      </w:pPr>
      <w:r>
        <w:t xml:space="preserve">Every Replay Plan is a permanent record</w:t>
      </w:r>
    </w:p>
    <w:p>
      <w:pPr>
        <w:pStyle w:val="Compact"/>
        <w:numPr>
          <w:ilvl w:val="0"/>
          <w:numId w:val="1207"/>
        </w:numPr>
      </w:pPr>
      <w:r>
        <w:t xml:space="preserve">Every record affected carries back-references in its Sync Record: ecs_replay_plan, ecs_replay_strategy</w:t>
      </w:r>
    </w:p>
    <w:p>
      <w:pPr>
        <w:pStyle w:val="Compact"/>
        <w:numPr>
          <w:ilvl w:val="0"/>
          <w:numId w:val="1207"/>
        </w:numPr>
      </w:pPr>
      <w:r>
        <w:t xml:space="preserve">Replay Plans appear in the Configuration Audit log</w:t>
      </w:r>
    </w:p>
    <w:p>
      <w:pPr>
        <w:pStyle w:val="Compact"/>
        <w:numPr>
          <w:ilvl w:val="0"/>
          <w:numId w:val="1207"/>
        </w:numPr>
      </w:pPr>
      <w:r>
        <w:t>Reports: ‘Replay activity last 30d’ shows all plans with their outcomes</w:t>
      </w:r>
    </w:p>
    <w:bookmarkEnd w:id="339"/>
    <w:bookmarkStart w:id="340" w:name="constrained-replay-fde-permissions"/>
    <w:p>
      <w:pPr>
        <w:pStyle w:val="Heading2"/>
      </w:pPr>
      <w:r>
        <w:t xml:space="preserve">19.7 Constrained Replay (FDE permissions)</w:t>
      </w:r>
    </w:p>
    <w:p>
      <w:pPr>
        <w:pStyle w:val="Compact"/>
        <w:numPr>
          <w:ilvl w:val="0"/>
          <w:numId w:val="1208"/>
        </w:numPr>
      </w:pPr>
      <w:r>
        <w:t xml:space="preserve">Replay Plan creation: any FDE</w:t>
      </w:r>
    </w:p>
    <w:p>
      <w:pPr>
        <w:pStyle w:val="Compact"/>
        <w:numPr>
          <w:ilvl w:val="0"/>
          <w:numId w:val="1208"/>
        </w:numPr>
      </w:pPr>
      <w:r>
        <w:t xml:space="preserve">Dry Run execution: any FDE</w:t>
      </w:r>
    </w:p>
    <w:p>
      <w:pPr>
        <w:pStyle w:val="Compact"/>
        <w:numPr>
          <w:ilvl w:val="0"/>
          <w:numId w:val="1208"/>
        </w:numPr>
      </w:pPr>
      <w:r>
        <w:t xml:space="preserve">Commit: requires elevated permission (Replay Approver role) for plans affecting &gt; 100 records or financial-impact &gt; ₹100k</w:t>
      </w:r>
    </w:p>
    <w:p>
      <w:pPr>
        <w:pStyle w:val="Compact"/>
        <w:numPr>
          <w:ilvl w:val="0"/>
          <w:numId w:val="1208"/>
        </w:numPr>
      </w:pPr>
      <w:r>
        <w:t xml:space="preserve">Mark-Manually-Resolved strategy: always requires Replay Approver</w:t>
      </w:r>
    </w:p>
    <w:p>
      <w:pPr>
        <w:pStyle w:val="Compact"/>
        <w:numPr>
          <w:ilvl w:val="0"/>
          <w:numId w:val="1208"/>
        </w:numPr>
      </w:pPr>
      <w:r>
        <w:t xml:space="preserve">Configurable thresholds per Company</w:t>
      </w:r>
    </w:p>
    <w:bookmarkEnd w:id="340"/>
    <w:bookmarkStart w:id="341" w:name="common-patterns-the-spec-accommodates"/>
    <w:p>
      <w:pPr>
        <w:pStyle w:val="Heading2"/>
      </w:pPr>
      <w:r>
        <w:t xml:space="preserve">19.8 Common patterns the spec accommodates</w:t>
      </w:r>
    </w:p>
    <w:p>
      <w:pPr>
        <w:pStyle w:val="Compact"/>
        <w:numPr>
          <w:ilvl w:val="0"/>
          <w:numId w:val="1209"/>
        </w:numPr>
      </w:pPr>
      <w:r>
        <w:t>‘Replay all manifest webhooks for the last 4 hours’ — Webhook Event filter on event_type and received_at</w:t>
      </w:r>
    </w:p>
    <w:p>
      <w:pPr>
        <w:pStyle w:val="Compact"/>
        <w:numPr>
          <w:ilvl w:val="0"/>
          <w:numId w:val="1209"/>
        </w:numPr>
      </w:pPr>
      <w:r>
        <w:t>‘Retry all failed Item pushes whose error contains HSN’ — Sync Record filter on status + error_contains</w:t>
      </w:r>
    </w:p>
    <w:p>
      <w:pPr>
        <w:pStyle w:val="Compact"/>
        <w:numPr>
          <w:ilvl w:val="0"/>
          <w:numId w:val="1209"/>
        </w:numPr>
      </w:pPr>
      <w:r>
        <w:t>‘Force-resync the 12 SKUs that are drifting’ — Sync Record filter on entity_type + drift_detected</w:t>
      </w:r>
    </w:p>
    <w:p>
      <w:pPr>
        <w:pStyle w:val="Compact"/>
        <w:numPr>
          <w:ilvl w:val="0"/>
          <w:numId w:val="1209"/>
        </w:numPr>
      </w:pPr>
      <w:r>
        <w:t>‘Reprocess all manifests since the field mapping fix at 14:32’ — Webhook Event filter on event_type + received_at</w:t>
      </w:r>
    </w:p>
    <w:p>
      <w:pPr>
        <w:pStyle w:val="Compact"/>
        <w:numPr>
          <w:ilvl w:val="0"/>
          <w:numId w:val="1209"/>
        </w:numPr>
      </w:pPr>
      <w:r>
        <w:t>‘Mark-manually-resolved the 47 Items that exist on EE but we don’t sell anymore’ — Sync Record filter on entity_type + status</w:t>
      </w:r>
    </w:p>
    <w:bookmarkEnd w:id="341"/>
    <w:bookmarkEnd w:id="342"/>
    <w:bookmarkStart w:id="353"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43"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10"/>
        </w:numPr>
      </w:pPr>
      <w:r>
        <w:t xml:space="preserve">Recursively walking the JSON structure</w:t>
      </w:r>
    </w:p>
    <w:p>
      <w:pPr>
        <w:pStyle w:val="Compact"/>
        <w:numPr>
          <w:ilvl w:val="0"/>
          <w:numId w:val="1210"/>
        </w:numPr>
      </w:pPr>
      <w:r>
        <w:t xml:space="preserve">For each leaf, recording (path, type) — not the value</w:t>
      </w:r>
    </w:p>
    <w:p>
      <w:pPr>
        <w:pStyle w:val="Compact"/>
        <w:numPr>
          <w:ilvl w:val="0"/>
          <w:numId w:val="1210"/>
        </w:numPr>
      </w:pPr>
      <w:r>
        <w:t xml:space="preserve">Sorting paths lexicographically for determinism</w:t>
      </w:r>
    </w:p>
    <w:p>
      <w:pPr>
        <w:pStyle w:val="Compact"/>
        <w:numPr>
          <w:ilvl w:val="0"/>
          <w:numId w:val="1210"/>
        </w:numPr>
      </w:pPr>
      <w:r>
        <w:t>Hashing the sorted (path, type) list with SHA-256 Two payloads with the same shape (regardless of values) produce the same hash. Two payloads differing in any structural way (a new field, a missing field, a type change) produce different hashes.</w:t>
      </w:r>
    </w:p>
    <w:bookmarkEnd w:id="343"/>
    <w:bookmarkStart w:id="344"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44"/>
    <w:bookmarkStart w:id="345"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45"/>
    <w:bookmarkStart w:id="346"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11"/>
        </w:numPr>
      </w:pPr>
      <w:r>
        <w:t xml:space="preserve">If hash matches an existing Schema Snapshot: increment observation_count, update last_seen_at, no further action</w:t>
      </w:r>
    </w:p>
    <w:p>
      <w:pPr>
        <w:pStyle w:val="Compact"/>
        <w:numPr>
          <w:ilvl w:val="0"/>
          <w:numId w:val="1211"/>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11"/>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6"/>
    <w:bookmarkStart w:id="347" w:name="drift-inspection-ui"/>
    <w:p>
      <w:pPr>
        <w:pStyle w:val="Heading2"/>
      </w:pPr>
      <w:r>
        <w:t xml:space="preserve">20.5 Drift inspection UI</w:t>
      </w:r>
    </w:p>
    <w:p>
      <w:pPr>
        <w:pStyle w:val="FirstParagraph"/>
      </w:pPr>
      <w:r>
        <w:t xml:space="preserve">Schema Drift detail page shows:</w:t>
      </w:r>
    </w:p>
    <w:p>
      <w:pPr>
        <w:pStyle w:val="Compact"/>
        <w:numPr>
          <w:ilvl w:val="0"/>
          <w:numId w:val="1212"/>
        </w:numPr>
      </w:pPr>
      <w:r>
        <w:t xml:space="preserve">Side-by-side: paths in this new shape vs. paths in the closest known-good shape</w:t>
      </w:r>
    </w:p>
    <w:p>
      <w:pPr>
        <w:pStyle w:val="Compact"/>
        <w:numPr>
          <w:ilvl w:val="0"/>
          <w:numId w:val="1212"/>
        </w:numPr>
      </w:pPr>
      <w:r>
        <w:t xml:space="preserve">Highlighted differences: added paths in green, removed in red, type changes in yellow</w:t>
      </w:r>
    </w:p>
    <w:p>
      <w:pPr>
        <w:pStyle w:val="Compact"/>
        <w:numPr>
          <w:ilvl w:val="0"/>
          <w:numId w:val="1212"/>
        </w:numPr>
      </w:pPr>
      <w:r>
        <w:t xml:space="preserve">Sample payloads: the new and the closest known-good, side-by-side</w:t>
      </w:r>
    </w:p>
    <w:p>
      <w:pPr>
        <w:pStyle w:val="Compact"/>
        <w:numPr>
          <w:ilvl w:val="0"/>
          <w:numId w:val="1212"/>
        </w:numPr>
      </w:pPr>
      <w:r>
        <w:t>‘Mark Known Good’ action: FDE blesses the shape; future occurrences won’t alert</w:t>
      </w:r>
    </w:p>
    <w:p>
      <w:pPr>
        <w:pStyle w:val="Compact"/>
        <w:numPr>
          <w:ilvl w:val="0"/>
          <w:numId w:val="1212"/>
        </w:numPr>
      </w:pPr>
      <w:r>
        <w:t>‘Affects Field Mapping’ action: opens the relevant Field Mapping ruleset for editing</w:t>
      </w:r>
    </w:p>
    <w:bookmarkEnd w:id="347"/>
    <w:bookmarkStart w:id="350"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48"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13"/>
        </w:numPr>
      </w:pPr>
      <w:r>
        <w:t xml:space="preserve">Sample the last 1,000 payloads processed by this ruleset</w:t>
      </w:r>
    </w:p>
    <w:p>
      <w:pPr>
        <w:pStyle w:val="Compact"/>
        <w:numPr>
          <w:ilvl w:val="0"/>
          <w:numId w:val="1213"/>
        </w:numPr>
      </w:pPr>
      <w:r>
        <w:t xml:space="preserve">For each payload, record per-path: mapped_explicitly / mapped_identity / dropped</w:t>
      </w:r>
    </w:p>
    <w:p>
      <w:pPr>
        <w:pStyle w:val="Compact"/>
        <w:numPr>
          <w:ilvl w:val="0"/>
          <w:numId w:val="1213"/>
        </w:numPr>
      </w:pPr>
      <w:r>
        <w:t xml:space="preserve">Aggregate: % per category, list of most-common dropped fields, list of most-common identity-mapped fields</w:t>
      </w:r>
    </w:p>
    <w:bookmarkEnd w:id="348"/>
    <w:bookmarkStart w:id="349" w:name="what-this-enables"/>
    <w:p>
      <w:pPr>
        <w:pStyle w:val="Heading3"/>
      </w:pPr>
      <w:r>
        <w:t xml:space="preserve">20.6.2 What this enables</w:t>
      </w:r>
    </w:p>
    <w:p>
      <w:pPr>
        <w:pStyle w:val="Compact"/>
        <w:numPr>
          <w:ilvl w:val="0"/>
          <w:numId w:val="1214"/>
        </w:numPr>
      </w:pPr>
      <w:r>
        <w:t xml:space="preserve">FDE quarterly review: are we explicitly mapping the right fields, or relying too heavily on identity defaults?</w:t>
      </w:r>
    </w:p>
    <w:p>
      <w:pPr>
        <w:pStyle w:val="Compact"/>
        <w:numPr>
          <w:ilvl w:val="0"/>
          <w:numId w:val="1214"/>
        </w:numPr>
      </w:pPr>
      <w:r>
        <w:t>Detection of ‘fields we didn’t know about’ — if a payload has a field that’s neither explicitly mapped nor identity-matched, it’s dropped silently. The coverage report surfaces these</w:t>
      </w:r>
    </w:p>
    <w:p>
      <w:pPr>
        <w:pStyle w:val="Compact"/>
        <w:numPr>
          <w:ilvl w:val="0"/>
          <w:numId w:val="1214"/>
        </w:numPr>
      </w:pPr>
      <w:r>
        <w:t xml:space="preserve">Prevention of stealthy expansion of dropped data — a previously-dropped field that’s now business-relevant gets noticed</w:t>
      </w:r>
    </w:p>
    <w:bookmarkEnd w:id="349"/>
    <w:bookmarkEnd w:id="350"/>
    <w:bookmarkStart w:id="351" w:name="sample-payload-archive"/>
    <w:p>
      <w:pPr>
        <w:pStyle w:val="Heading2"/>
      </w:pPr>
      <w:r>
        <w:t xml:space="preserve">20.7 Sample payload archive</w:t>
      </w:r>
    </w:p>
    <w:p>
      <w:pPr>
        <w:pStyle w:val="Compact"/>
        <w:numPr>
          <w:ilvl w:val="0"/>
          <w:numId w:val="1215"/>
        </w:numPr>
      </w:pPr>
      <w:r>
        <w:t xml:space="preserve">Beyond the per-Schema-Snapshot sample, an archive of payload samples is kept for diagnostic use</w:t>
      </w:r>
    </w:p>
    <w:p>
      <w:pPr>
        <w:pStyle w:val="Compact"/>
        <w:numPr>
          <w:ilvl w:val="0"/>
          <w:numId w:val="1215"/>
        </w:numPr>
      </w:pPr>
      <w:r>
        <w:t xml:space="preserve">Configurable retention — default 30 samples per endpoint per direction, rolling</w:t>
      </w:r>
    </w:p>
    <w:p>
      <w:pPr>
        <w:pStyle w:val="Compact"/>
        <w:numPr>
          <w:ilvl w:val="0"/>
          <w:numId w:val="1215"/>
        </w:numPr>
      </w:pPr>
      <w:r>
        <w:t xml:space="preserve">Always redacted using Section 3.4 rules</w:t>
      </w:r>
    </w:p>
    <w:p>
      <w:pPr>
        <w:pStyle w:val="Compact"/>
        <w:numPr>
          <w:ilvl w:val="0"/>
          <w:numId w:val="1215"/>
        </w:numPr>
      </w:pPr>
      <w:r>
        <w:t xml:space="preserve">Searchable by endpoint, direction, date</w:t>
      </w:r>
    </w:p>
    <w:p>
      <w:pPr>
        <w:pStyle w:val="Compact"/>
        <w:numPr>
          <w:ilvl w:val="0"/>
          <w:numId w:val="1215"/>
        </w:numPr>
      </w:pPr>
      <w:r>
        <w:t xml:space="preserve">Used in Replay dry-run to validate ruleset changes against representative real payloads</w:t>
      </w:r>
    </w:p>
    <w:bookmarkEnd w:id="351"/>
    <w:bookmarkStart w:id="352"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16"/>
        </w:numPr>
      </w:pPr>
      <w:r>
        <w:t xml:space="preserve">For string fields: distinct value count over time; new distinct values flagged</w:t>
      </w:r>
    </w:p>
    <w:p>
      <w:pPr>
        <w:pStyle w:val="Compact"/>
        <w:numPr>
          <w:ilvl w:val="0"/>
          <w:numId w:val="1216"/>
        </w:numPr>
      </w:pPr>
      <w:r>
        <w:t xml:space="preserve">For enum-like fields: alert if a value appears that isn’t in any enum_map transformer in any active ruleset</w:t>
      </w:r>
    </w:p>
    <w:p>
      <w:pPr>
        <w:pStyle w:val="Compact"/>
        <w:numPr>
          <w:ilvl w:val="0"/>
          <w:numId w:val="1216"/>
        </w:numPr>
      </w:pPr>
      <w:r>
        <w:t>For numeric fields: range and distribution; outliers flagged for FDE review Value-level monitoring is opt-in per field via a Schema Watch DocType — not enabled for every field by default to keep cost bounded.</w:t>
      </w:r>
    </w:p>
    <w:bookmarkEnd w:id="352"/>
    <w:bookmarkEnd w:id="353"/>
    <w:bookmarkStart w:id="364"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54"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54"/>
    <w:bookmarkStart w:id="355"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55"/>
    <w:bookmarkStart w:id="356" w:name="tracking-machinery"/>
    <w:p>
      <w:pPr>
        <w:pStyle w:val="Heading2"/>
      </w:pPr>
      <w:r>
        <w:t xml:space="preserve">21.3 Tracking machinery</w:t>
      </w:r>
    </w:p>
    <w:p>
      <w:pPr>
        <w:pStyle w:val="Compact"/>
        <w:numPr>
          <w:ilvl w:val="0"/>
          <w:numId w:val="1217"/>
        </w:numPr>
      </w:pPr>
      <w:r>
        <w:t xml:space="preserve">Every flow event is timestamped at start and end</w:t>
      </w:r>
    </w:p>
    <w:p>
      <w:pPr>
        <w:pStyle w:val="Compact"/>
        <w:numPr>
          <w:ilvl w:val="0"/>
          <w:numId w:val="1217"/>
        </w:numPr>
      </w:pPr>
      <w:r>
        <w:t xml:space="preserve">End-to-end latency computed and stored on the relevant record (Sync Record, Webhook Event, Queue Job)</w:t>
      </w:r>
    </w:p>
    <w:p>
      <w:pPr>
        <w:pStyle w:val="Compact"/>
        <w:numPr>
          <w:ilvl w:val="0"/>
          <w:numId w:val="1217"/>
        </w:numPr>
      </w:pPr>
      <w:r>
        <w:t xml:space="preserve">Hourly cron computes per-budget rolling-window percentiles</w:t>
      </w:r>
    </w:p>
    <w:p>
      <w:pPr>
        <w:pStyle w:val="Compact"/>
        <w:numPr>
          <w:ilvl w:val="0"/>
          <w:numId w:val="1217"/>
        </w:numPr>
      </w:pPr>
      <w:r>
        <w:t xml:space="preserve">Breach detected when computed percentile exceeds target</w:t>
      </w:r>
    </w:p>
    <w:p>
      <w:pPr>
        <w:pStyle w:val="Compact"/>
        <w:numPr>
          <w:ilvl w:val="0"/>
          <w:numId w:val="1217"/>
        </w:numPr>
      </w:pPr>
      <w:r>
        <w:t xml:space="preserve">Breach record (EasyEcom SLA Breach DocType) created with: budget, breach percentile, breach value, contributing records, suspected root cause</w:t>
      </w:r>
    </w:p>
    <w:p>
      <w:pPr>
        <w:pStyle w:val="Compact"/>
        <w:numPr>
          <w:ilvl w:val="0"/>
          <w:numId w:val="1217"/>
        </w:numPr>
      </w:pPr>
      <w:r>
        <w:t xml:space="preserve">Alert fires per budget’s alert_on_breach severity</w:t>
      </w:r>
    </w:p>
    <w:bookmarkEnd w:id="356"/>
    <w:bookmarkStart w:id="357"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57"/>
    <w:bookmarkStart w:id="360"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58" w:name="what-the-banner-shows"/>
    <w:p>
      <w:pPr>
        <w:pStyle w:val="Heading3"/>
      </w:pPr>
      <w:r>
        <w:t xml:space="preserve">21.5.1 What the banner shows</w:t>
      </w:r>
    </w:p>
    <w:p>
      <w:pPr>
        <w:pStyle w:val="Compact"/>
        <w:numPr>
          <w:ilvl w:val="0"/>
          <w:numId w:val="1218"/>
        </w:numPr>
      </w:pPr>
      <w:r>
        <w:t>On a Sales Order in Push Pending state: ‘Pushing to EasyEcom — expected within 60 seconds. (45 seconds elapsed)’</w:t>
      </w:r>
    </w:p>
    <w:p>
      <w:pPr>
        <w:pStyle w:val="Compact"/>
        <w:numPr>
          <w:ilvl w:val="0"/>
          <w:numId w:val="1218"/>
        </w:numPr>
      </w:pPr>
      <w:r>
        <w:t>On a Sales Invoice waiting for IRN: ‘Generating e-invoice — expected within 30 seconds.’</w:t>
      </w:r>
    </w:p>
    <w:p>
      <w:pPr>
        <w:pStyle w:val="Compact"/>
        <w:numPr>
          <w:ilvl w:val="0"/>
          <w:numId w:val="1218"/>
        </w:numPr>
      </w:pPr>
      <w:r>
        <w:t>On a Purchase Receipt awaiting GRN ingestion: ‘Awaiting EasyEcom GRN webhook. Last expected at 14:32 (3 min ago).’</w:t>
      </w:r>
    </w:p>
    <w:p>
      <w:pPr>
        <w:pStyle w:val="Compact"/>
        <w:numPr>
          <w:ilvl w:val="0"/>
          <w:numId w:val="1218"/>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18"/>
        </w:numPr>
      </w:pPr>
      <w:r>
        <w:t xml:space="preserve">Banner colour: green when within budget, yellow when approaching, red when breached</w:t>
      </w:r>
    </w:p>
    <w:p>
      <w:pPr>
        <w:pStyle w:val="Compact"/>
        <w:numPr>
          <w:ilvl w:val="0"/>
          <w:numId w:val="1218"/>
        </w:numPr>
      </w:pPr>
      <w:r>
        <w:t xml:space="preserve">Click banner: opens the underlying Queue Job / Webhook Event with full diagnostics</w:t>
      </w:r>
    </w:p>
    <w:bookmarkEnd w:id="358"/>
    <w:bookmarkStart w:id="359" w:name="where-banners-appear"/>
    <w:p>
      <w:pPr>
        <w:pStyle w:val="Heading3"/>
      </w:pPr>
      <w:r>
        <w:t xml:space="preserve">21.5.2 Where banners appear</w:t>
      </w:r>
    </w:p>
    <w:p>
      <w:pPr>
        <w:pStyle w:val="Compact"/>
        <w:numPr>
          <w:ilvl w:val="0"/>
          <w:numId w:val="1219"/>
        </w:numPr>
      </w:pPr>
      <w:r>
        <w:t xml:space="preserve">Top of any business document with an active integration commitment (SO push pending, SI awaiting IRN, PO push pending, etc.)</w:t>
      </w:r>
    </w:p>
    <w:p>
      <w:pPr>
        <w:pStyle w:val="Compact"/>
        <w:numPr>
          <w:ilvl w:val="0"/>
          <w:numId w:val="1219"/>
        </w:numPr>
      </w:pPr>
      <w:r>
        <w:t xml:space="preserve">Sticky on scroll — visible regardless of which tab the user has open within the document</w:t>
      </w:r>
    </w:p>
    <w:p>
      <w:pPr>
        <w:pStyle w:val="Compact"/>
        <w:numPr>
          <w:ilvl w:val="0"/>
          <w:numId w:val="1219"/>
        </w:numPr>
      </w:pPr>
      <w:r>
        <w:t xml:space="preserve">Auto-dismisses when the integration commitment is resolved (with a brief success toast)</w:t>
      </w:r>
    </w:p>
    <w:bookmarkEnd w:id="359"/>
    <w:bookmarkEnd w:id="360"/>
    <w:bookmarkStart w:id="361"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20"/>
        </w:numPr>
      </w:pPr>
      <w:r>
        <w:t xml:space="preserve">Per Company per flow: current week compliance %, last 4 weeks trend, breach count</w:t>
      </w:r>
    </w:p>
    <w:p>
      <w:pPr>
        <w:pStyle w:val="Compact"/>
        <w:numPr>
          <w:ilvl w:val="0"/>
          <w:numId w:val="1220"/>
        </w:numPr>
      </w:pPr>
      <w:r>
        <w:t xml:space="preserve">Heat map: SLA budget × time-of-day showing where breaches concentrate</w:t>
      </w:r>
    </w:p>
    <w:p>
      <w:pPr>
        <w:pStyle w:val="Compact"/>
        <w:numPr>
          <w:ilvl w:val="0"/>
          <w:numId w:val="1220"/>
        </w:numPr>
      </w:pPr>
      <w:r>
        <w:t xml:space="preserve">Top breaching budgets: ranked by frequency × financial impact</w:t>
      </w:r>
    </w:p>
    <w:p>
      <w:pPr>
        <w:pStyle w:val="Compact"/>
        <w:numPr>
          <w:ilvl w:val="0"/>
          <w:numId w:val="1220"/>
        </w:numPr>
      </w:pPr>
      <w:r>
        <w:t xml:space="preserve">Trend lines: are we getting better or worse</w:t>
      </w:r>
    </w:p>
    <w:bookmarkEnd w:id="361"/>
    <w:bookmarkStart w:id="362" w:name="sla-reporting"/>
    <w:p>
      <w:pPr>
        <w:pStyle w:val="Heading2"/>
      </w:pPr>
      <w:r>
        <w:t xml:space="preserve">21.7 SLA reporting</w:t>
      </w:r>
    </w:p>
    <w:p>
      <w:pPr>
        <w:pStyle w:val="Compact"/>
        <w:numPr>
          <w:ilvl w:val="0"/>
          <w:numId w:val="1221"/>
        </w:numPr>
      </w:pPr>
      <w:r>
        <w:t xml:space="preserve">Weekly SLA Compliance Report (auto-emailed to digest recipients): per-budget compliance % vs. target, breach count, top breaching periods</w:t>
      </w:r>
    </w:p>
    <w:p>
      <w:pPr>
        <w:pStyle w:val="Compact"/>
        <w:numPr>
          <w:ilvl w:val="0"/>
          <w:numId w:val="1221"/>
        </w:numPr>
      </w:pPr>
      <w:r>
        <w:t xml:space="preserve">Monthly SLA Trend Report: 4-week comparison, suspected systemic issues</w:t>
      </w:r>
    </w:p>
    <w:p>
      <w:pPr>
        <w:pStyle w:val="Compact"/>
        <w:numPr>
          <w:ilvl w:val="0"/>
          <w:numId w:val="1221"/>
        </w:numPr>
      </w:pPr>
      <w:r>
        <w:t xml:space="preserve">Quarterly review prompt: revisit budget targets — are they still right for the client’s growth?</w:t>
      </w:r>
    </w:p>
    <w:bookmarkEnd w:id="362"/>
    <w:bookmarkStart w:id="363" w:name="sla-budget-tuning-during-onboarding"/>
    <w:p>
      <w:pPr>
        <w:pStyle w:val="Heading2"/>
      </w:pPr>
      <w:r>
        <w:t xml:space="preserve">21.8 SLA budget tuning during onboarding</w:t>
      </w:r>
    </w:p>
    <w:p>
      <w:pPr>
        <w:pStyle w:val="Compact"/>
        <w:numPr>
          <w:ilvl w:val="0"/>
          <w:numId w:val="1222"/>
        </w:numPr>
      </w:pPr>
      <w:r>
        <w:t xml:space="preserve">Default budgets ship as part of the parent app fixtures</w:t>
      </w:r>
    </w:p>
    <w:p>
      <w:pPr>
        <w:pStyle w:val="Compact"/>
        <w:numPr>
          <w:ilvl w:val="0"/>
          <w:numId w:val="1222"/>
        </w:numPr>
      </w:pPr>
      <w:r>
        <w:t xml:space="preserve">FDE reviews and tunes during onboarding based on client’s expectations and observed baseline</w:t>
      </w:r>
    </w:p>
    <w:p>
      <w:pPr>
        <w:pStyle w:val="Compact"/>
        <w:numPr>
          <w:ilvl w:val="0"/>
          <w:numId w:val="1222"/>
        </w:numPr>
      </w:pPr>
      <w:r>
        <w:t xml:space="preserve">Tunings recorded in Configuration Audit</w:t>
      </w:r>
    </w:p>
    <w:p>
      <w:pPr>
        <w:pStyle w:val="Compact"/>
        <w:numPr>
          <w:ilvl w:val="0"/>
          <w:numId w:val="1222"/>
        </w:numPr>
      </w:pPr>
      <w:r>
        <w:t xml:space="preserve">Methodology team reviews tunings quarterly across the FDE fleet — outliers indicate either client-specific patterns worth standardising or FDE practices worth correcting</w:t>
      </w:r>
    </w:p>
    <w:bookmarkEnd w:id="363"/>
    <w:bookmarkEnd w:id="364"/>
    <w:bookmarkStart w:id="376"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65"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23"/>
        </w:numPr>
      </w:pPr>
      <w:r>
        <w:t xml:space="preserve">Brand house: 5-15 sub-brands, each its own legal entity for tax efficiency, sharing warehouses and ops teams</w:t>
      </w:r>
    </w:p>
    <w:p>
      <w:pPr>
        <w:pStyle w:val="Compact"/>
        <w:numPr>
          <w:ilvl w:val="0"/>
          <w:numId w:val="1223"/>
        </w:numPr>
      </w:pPr>
      <w:r>
        <w:t xml:space="preserve">Multi-marketplace seller: separate entity per marketplace category (electronics on one entity, apparel on another) for risk isolation</w:t>
      </w:r>
    </w:p>
    <w:p>
      <w:pPr>
        <w:pStyle w:val="Compact"/>
        <w:numPr>
          <w:ilvl w:val="0"/>
          <w:numId w:val="1223"/>
        </w:numPr>
      </w:pPr>
      <w:r>
        <w:t xml:space="preserve">Geographic aggregation: per-state entities for GST simplicity</w:t>
      </w:r>
    </w:p>
    <w:p>
      <w:pPr>
        <w:pStyle w:val="Compact"/>
        <w:numPr>
          <w:ilvl w:val="0"/>
          <w:numId w:val="1223"/>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65"/>
    <w:bookmarkStart w:id="366" w:name="when-cross-company-views-activate"/>
    <w:p>
      <w:pPr>
        <w:pStyle w:val="Heading2"/>
      </w:pPr>
      <w:r>
        <w:t xml:space="preserve">22.2 When cross-Company views activate</w:t>
      </w:r>
    </w:p>
    <w:p>
      <w:pPr>
        <w:pStyle w:val="Compact"/>
        <w:numPr>
          <w:ilvl w:val="0"/>
          <w:numId w:val="1224"/>
        </w:numPr>
      </w:pPr>
      <w:r>
        <w:t xml:space="preserve">Cross-Company views activate automatically when the deployment resolves to more than one Frappe Company (see Section 14.8).</w:t>
      </w:r>
    </w:p>
    <w:p>
      <w:pPr>
        <w:pStyle w:val="Compact"/>
        <w:numPr>
          <w:ilvl w:val="0"/>
          <w:numId w:val="1224"/>
        </w:numPr>
      </w:pPr>
      <w:r>
        <w:t xml:space="preserve">When the deployment resolves to a single Company, these views stay hidden — the UI stays uncluttered for single-entity clients.</w:t>
      </w:r>
    </w:p>
    <w:p>
      <w:pPr>
        <w:pStyle w:val="Compact"/>
        <w:numPr>
          <w:ilvl w:val="0"/>
          <w:numId w:val="1224"/>
        </w:numPr>
      </w:pPr>
      <w:r>
        <w:t xml:space="preserve">Per-user preference: an FDE managing one Company within a multi-Company deployment can opt out of cross-Company views for their own session.</w:t>
      </w:r>
    </w:p>
    <w:bookmarkEnd w:id="366"/>
    <w:bookmarkStart w:id="371"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67" w:name="top-row"/>
    <w:p>
      <w:pPr>
        <w:pStyle w:val="Heading3"/>
      </w:pPr>
      <w:r>
        <w:t xml:space="preserve">22.3.1 Top row</w:t>
      </w:r>
    </w:p>
    <w:p>
      <w:pPr>
        <w:pStyle w:val="Compact"/>
        <w:numPr>
          <w:ilvl w:val="0"/>
          <w:numId w:val="1225"/>
        </w:numPr>
      </w:pPr>
      <w:r>
        <w:t xml:space="preserve">Per-Company status grid: each managed Company as a tile with status dot, last-sync, open-discrepancy count</w:t>
      </w:r>
    </w:p>
    <w:p>
      <w:pPr>
        <w:pStyle w:val="Compact"/>
        <w:numPr>
          <w:ilvl w:val="0"/>
          <w:numId w:val="1225"/>
        </w:numPr>
      </w:pPr>
      <w:r>
        <w:t xml:space="preserve">Aggregate kill-switch: pause syncs across all managed Companies (separate from per-Company kill-switches)</w:t>
      </w:r>
    </w:p>
    <w:p>
      <w:pPr>
        <w:pStyle w:val="Compact"/>
        <w:numPr>
          <w:ilvl w:val="0"/>
          <w:numId w:val="1225"/>
        </w:numPr>
      </w:pPr>
      <w:r>
        <w:t xml:space="preserve">Aggregate connection status: green only if every Company is green</w:t>
      </w:r>
    </w:p>
    <w:bookmarkEnd w:id="367"/>
    <w:bookmarkStart w:id="368" w:name="number-cards-1"/>
    <w:p>
      <w:pPr>
        <w:pStyle w:val="Heading3"/>
      </w:pPr>
      <w:r>
        <w:t xml:space="preserve">22.3.2 Number Cards</w:t>
      </w:r>
    </w:p>
    <w:p>
      <w:pPr>
        <w:pStyle w:val="Compact"/>
        <w:numPr>
          <w:ilvl w:val="0"/>
          <w:numId w:val="1226"/>
        </w:numPr>
      </w:pPr>
      <w:r>
        <w:t xml:space="preserve">Total open Discrepancies across all Companies</w:t>
      </w:r>
    </w:p>
    <w:p>
      <w:pPr>
        <w:pStyle w:val="Compact"/>
        <w:numPr>
          <w:ilvl w:val="0"/>
          <w:numId w:val="1226"/>
        </w:numPr>
      </w:pPr>
      <w:r>
        <w:t xml:space="preserve">Worst-performing Company today (lowest API success rate)</w:t>
      </w:r>
    </w:p>
    <w:p>
      <w:pPr>
        <w:pStyle w:val="Compact"/>
        <w:numPr>
          <w:ilvl w:val="0"/>
          <w:numId w:val="1226"/>
        </w:numPr>
      </w:pPr>
      <w:r>
        <w:t xml:space="preserve">Aggregate API call volume last 1h</w:t>
      </w:r>
    </w:p>
    <w:p>
      <w:pPr>
        <w:pStyle w:val="Compact"/>
        <w:numPr>
          <w:ilvl w:val="0"/>
          <w:numId w:val="1226"/>
        </w:numPr>
      </w:pPr>
      <w:r>
        <w:t xml:space="preserve">Aggregate webhook receipt rate</w:t>
      </w:r>
    </w:p>
    <w:p>
      <w:pPr>
        <w:pStyle w:val="Compact"/>
        <w:numPr>
          <w:ilvl w:val="0"/>
          <w:numId w:val="1226"/>
        </w:numPr>
      </w:pPr>
      <w:r>
        <w:t xml:space="preserve">Aggregate Queue Job depth</w:t>
      </w:r>
    </w:p>
    <w:p>
      <w:pPr>
        <w:pStyle w:val="Compact"/>
        <w:numPr>
          <w:ilvl w:val="0"/>
          <w:numId w:val="1226"/>
        </w:numPr>
      </w:pPr>
      <w:r>
        <w:t xml:space="preserve">SLA breaches across all Companies last 24h</w:t>
      </w:r>
    </w:p>
    <w:bookmarkEnd w:id="368"/>
    <w:bookmarkStart w:id="369" w:name="charts"/>
    <w:p>
      <w:pPr>
        <w:pStyle w:val="Heading3"/>
      </w:pPr>
      <w:r>
        <w:t xml:space="preserve">22.3.3 Charts</w:t>
      </w:r>
    </w:p>
    <w:p>
      <w:pPr>
        <w:pStyle w:val="Compact"/>
        <w:numPr>
          <w:ilvl w:val="0"/>
          <w:numId w:val="1227"/>
        </w:numPr>
      </w:pPr>
      <w:r>
        <w:t xml:space="preserve">API success rate per Company over last 7d (small multiples — one tile per Company)</w:t>
      </w:r>
    </w:p>
    <w:p>
      <w:pPr>
        <w:pStyle w:val="Compact"/>
        <w:numPr>
          <w:ilvl w:val="0"/>
          <w:numId w:val="1227"/>
        </w:numPr>
      </w:pPr>
      <w:r>
        <w:t xml:space="preserve">Discrepancy financial impact rollup, stacked per Company over last 30d</w:t>
      </w:r>
    </w:p>
    <w:p>
      <w:pPr>
        <w:pStyle w:val="Compact"/>
        <w:numPr>
          <w:ilvl w:val="0"/>
          <w:numId w:val="1227"/>
        </w:numPr>
      </w:pPr>
      <w:r>
        <w:t xml:space="preserve">Cross-Company variance: which Companies are diverging from the group baseline</w:t>
      </w:r>
    </w:p>
    <w:bookmarkEnd w:id="369"/>
    <w:bookmarkStart w:id="370"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28"/>
        </w:numPr>
      </w:pPr>
      <w:r>
        <w:t xml:space="preserve">Per-flow per-Company table: pick a flow, see compliance % per Company side-by-side</w:t>
      </w:r>
    </w:p>
    <w:p>
      <w:pPr>
        <w:pStyle w:val="Compact"/>
        <w:numPr>
          <w:ilvl w:val="0"/>
          <w:numId w:val="1228"/>
        </w:numPr>
      </w:pPr>
      <w:r>
        <w:t xml:space="preserve">Sort by deviation from group median</w:t>
      </w:r>
    </w:p>
    <w:p>
      <w:pPr>
        <w:pStyle w:val="Compact"/>
        <w:numPr>
          <w:ilvl w:val="0"/>
          <w:numId w:val="1228"/>
        </w:numPr>
      </w:pPr>
      <w:r>
        <w:t>Drill down to the worst Company’s recent failures This is the FDE’s ‘11pm Saturday’ view — when something feels off across the group, this shows which Company to focus on first.</w:t>
      </w:r>
    </w:p>
    <w:bookmarkEnd w:id="370"/>
    <w:bookmarkEnd w:id="371"/>
    <w:bookmarkStart w:id="372" w:name="cross-company-reports"/>
    <w:p>
      <w:pPr>
        <w:pStyle w:val="Heading2"/>
      </w:pPr>
      <w:r>
        <w:t xml:space="preserve">22.4 Cross-Company Reports</w:t>
      </w:r>
    </w:p>
    <w:p>
      <w:pPr>
        <w:pStyle w:val="Compact"/>
        <w:numPr>
          <w:ilvl w:val="0"/>
          <w:numId w:val="1229"/>
        </w:numPr>
      </w:pPr>
      <w:r>
        <w:t xml:space="preserve">Cross-Company Health Rollup — every metric from per-Company Daily Sync Health, side-by-side</w:t>
      </w:r>
    </w:p>
    <w:p>
      <w:pPr>
        <w:pStyle w:val="Compact"/>
        <w:numPr>
          <w:ilvl w:val="0"/>
          <w:numId w:val="1229"/>
        </w:numPr>
      </w:pPr>
      <w:r>
        <w:t xml:space="preserve">Aggregator Discrepancy Rollup — open Discrepancies across all Companies, with financial impact roll-up</w:t>
      </w:r>
    </w:p>
    <w:p>
      <w:pPr>
        <w:pStyle w:val="Compact"/>
        <w:numPr>
          <w:ilvl w:val="0"/>
          <w:numId w:val="1229"/>
        </w:numPr>
      </w:pPr>
      <w:r>
        <w:t xml:space="preserve">Aggregator SLA Compliance — per flow per Company per week, with group rollup</w:t>
      </w:r>
    </w:p>
    <w:p>
      <w:pPr>
        <w:pStyle w:val="Compact"/>
        <w:numPr>
          <w:ilvl w:val="0"/>
          <w:numId w:val="1229"/>
        </w:numPr>
      </w:pPr>
      <w:r>
        <w:t xml:space="preserve">Aggregator Configuration Drift — Field Mapping rulesets and Settings differing across Companies (when they should usually match)</w:t>
      </w:r>
    </w:p>
    <w:p>
      <w:pPr>
        <w:pStyle w:val="Compact"/>
        <w:numPr>
          <w:ilvl w:val="0"/>
          <w:numId w:val="1229"/>
        </w:numPr>
      </w:pPr>
      <w:r>
        <w:t xml:space="preserve">Aggregator Master Sync Health — Item / Customer / Supplier sync state across Companies</w:t>
      </w:r>
    </w:p>
    <w:bookmarkEnd w:id="372"/>
    <w:bookmarkStart w:id="373"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30"/>
        </w:numPr>
      </w:pPr>
      <w:r>
        <w:t xml:space="preserve">Periodic comparison of Field Mapping rulesets across Companies</w:t>
      </w:r>
    </w:p>
    <w:p>
      <w:pPr>
        <w:pStyle w:val="Compact"/>
        <w:numPr>
          <w:ilvl w:val="0"/>
          <w:numId w:val="1230"/>
        </w:numPr>
      </w:pPr>
      <w:r>
        <w:t xml:space="preserve">Periodic comparison of EasyEcom Account and per-Company settings (excluding credentials and per-Company-by-design fields)</w:t>
      </w:r>
    </w:p>
    <w:p>
      <w:pPr>
        <w:pStyle w:val="Compact"/>
        <w:numPr>
          <w:ilvl w:val="0"/>
          <w:numId w:val="1230"/>
        </w:numPr>
      </w:pPr>
      <w:r>
        <w:t xml:space="preserve">Periodic comparison of Source-of-Truth Map patterns</w:t>
      </w:r>
    </w:p>
    <w:p>
      <w:pPr>
        <w:pStyle w:val="Compact"/>
        <w:numPr>
          <w:ilvl w:val="0"/>
          <w:numId w:val="1230"/>
        </w:numPr>
      </w:pPr>
      <w:r>
        <w:t xml:space="preserve">Drift detected: Integration Discrepancy raised with severity Info; FDE reviews</w:t>
      </w:r>
    </w:p>
    <w:p>
      <w:pPr>
        <w:pStyle w:val="Compact"/>
        <w:numPr>
          <w:ilvl w:val="0"/>
          <w:numId w:val="1230"/>
        </w:numPr>
      </w:pPr>
      <w:r>
        <w:t>FDE can mark detected drift as ‘expected’ (recorded as decision in Configuration Audit) to suppress future alerts on the same drift</w:t>
      </w:r>
    </w:p>
    <w:bookmarkEnd w:id="373"/>
    <w:bookmarkStart w:id="374"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31"/>
        </w:numPr>
      </w:pPr>
      <w:r>
        <w:t xml:space="preserve">FDE workload metric: per FDE, count of Companies managed × open-discrepancy-weight</w:t>
      </w:r>
    </w:p>
    <w:p>
      <w:pPr>
        <w:pStyle w:val="Compact"/>
        <w:numPr>
          <w:ilvl w:val="0"/>
          <w:numId w:val="1231"/>
        </w:numPr>
      </w:pPr>
      <w:r>
        <w:t xml:space="preserve">Workload imbalance alerts when an FDE’s workload exceeds 1.5× the team median</w:t>
      </w:r>
    </w:p>
    <w:p>
      <w:pPr>
        <w:pStyle w:val="Compact"/>
        <w:numPr>
          <w:ilvl w:val="0"/>
          <w:numId w:val="1231"/>
        </w:numPr>
      </w:pPr>
      <w:r>
        <w:t xml:space="preserve">Per-Company assigned-FDE field for clear ownership</w:t>
      </w:r>
    </w:p>
    <w:p>
      <w:pPr>
        <w:pStyle w:val="Compact"/>
        <w:numPr>
          <w:ilvl w:val="0"/>
          <w:numId w:val="1231"/>
        </w:numPr>
      </w:pPr>
      <w:r>
        <w:t xml:space="preserve">Discrepancy auto-routing based on assigned FDE per Company</w:t>
      </w:r>
    </w:p>
    <w:bookmarkEnd w:id="374"/>
    <w:bookmarkStart w:id="375"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32"/>
        </w:numPr>
      </w:pPr>
      <w:r>
        <w:t xml:space="preserve">Item / Customer / Supplier are shared records across Companies in ERPNext</w:t>
      </w:r>
    </w:p>
    <w:p>
      <w:pPr>
        <w:pStyle w:val="Compact"/>
        <w:numPr>
          <w:ilvl w:val="0"/>
          <w:numId w:val="1232"/>
        </w:numPr>
      </w:pPr>
      <w:r>
        <w:t xml:space="preserve">The integration shows ecs_easyecom_mappings (the per-Company per-location mapping rows) as a clear table on the Item / Customer / Supplier detail page</w:t>
      </w:r>
    </w:p>
    <w:p>
      <w:pPr>
        <w:pStyle w:val="Compact"/>
        <w:numPr>
          <w:ilvl w:val="0"/>
          <w:numId w:val="1232"/>
        </w:numPr>
      </w:pPr>
      <w:r>
        <w:t xml:space="preserve">Aggregator FDEs can see all Company mappings for a master at once</w:t>
      </w:r>
    </w:p>
    <w:p>
      <w:pPr>
        <w:pStyle w:val="Compact"/>
        <w:numPr>
          <w:ilvl w:val="0"/>
          <w:numId w:val="1232"/>
        </w:numPr>
      </w:pPr>
      <w:r>
        <w:t xml:space="preserve">Single-Company FDEs see only their Company’s mappings (filtered automatically)</w:t>
      </w:r>
    </w:p>
    <w:p>
      <w:pPr>
        <w:pStyle w:val="Compact"/>
        <w:numPr>
          <w:ilvl w:val="0"/>
          <w:numId w:val="1232"/>
        </w:numPr>
      </w:pPr>
      <w:r>
        <w:t>Action: ‘Force Resync to All Companies’ on Item / Customer / Supplier detail (System Manager only)</w:t>
      </w:r>
    </w:p>
    <w:bookmarkEnd w:id="375"/>
    <w:bookmarkEnd w:id="376"/>
    <w:bookmarkStart w:id="386"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77" w:name="X05896488efeafd0a796d623d87594aebced4716"/>
    <w:p>
      <w:pPr>
        <w:pStyle w:val="Heading2"/>
      </w:pPr>
      <w:r>
        <w:t xml:space="preserve">23.1 Why financial impact at the alert level matters</w:t>
      </w:r>
    </w:p>
    <w:p>
      <w:pPr>
        <w:pStyle w:val="Compact"/>
        <w:numPr>
          <w:ilvl w:val="0"/>
          <w:numId w:val="1233"/>
        </w:numPr>
      </w:pPr>
      <w:r>
        <w:t xml:space="preserve">Triage by impact, not by chronology — a missed manifest worth ₹4L matters more than a Item sync failure worth zero</w:t>
      </w:r>
    </w:p>
    <w:p>
      <w:pPr>
        <w:pStyle w:val="Compact"/>
        <w:numPr>
          <w:ilvl w:val="0"/>
          <w:numId w:val="1233"/>
        </w:numPr>
      </w:pPr>
      <w:r>
        <w:t>Conversation with finance — when an alert says ₹4L exposure, the finance team cares; when it says ‘sync_record_47 failed’, they don’t</w:t>
      </w:r>
    </w:p>
    <w:p>
      <w:pPr>
        <w:pStyle w:val="Compact"/>
        <w:numPr>
          <w:ilvl w:val="0"/>
          <w:numId w:val="1233"/>
        </w:numPr>
      </w:pPr>
      <w:r>
        <w:t xml:space="preserve">Demonstrable ROI — every recovered alert has a measurable saving; cumulative alert value over time becomes the product’s proven value to the client</w:t>
      </w:r>
    </w:p>
    <w:p>
      <w:pPr>
        <w:pStyle w:val="Compact"/>
        <w:numPr>
          <w:ilvl w:val="0"/>
          <w:numId w:val="1233"/>
        </w:numPr>
      </w:pPr>
      <w:r>
        <w:t xml:space="preserve">Methodology embodiment — the methodology team’s view of what each kind of failure costs is encoded in the impact computation, not buried in a checklist</w:t>
      </w:r>
    </w:p>
    <w:bookmarkEnd w:id="377"/>
    <w:bookmarkStart w:id="378"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78"/>
    <w:bookmarkStart w:id="379"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79"/>
    <w:bookmarkStart w:id="380"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34"/>
        </w:numPr>
      </w:pPr>
      <w:r>
        <w:t xml:space="preserve">Take the failing record (Sync Record / Discrepancy / SLA Breach) as input</w:t>
      </w:r>
    </w:p>
    <w:p>
      <w:pPr>
        <w:pStyle w:val="Compact"/>
        <w:numPr>
          <w:ilvl w:val="0"/>
          <w:numId w:val="1234"/>
        </w:numPr>
      </w:pPr>
      <w:r>
        <w:t xml:space="preserve">Have access to the recon engine’s data (Sales Invoices, Purchase Receipts, Settlement Forecasts) for context</w:t>
      </w:r>
    </w:p>
    <w:p>
      <w:pPr>
        <w:pStyle w:val="Compact"/>
        <w:numPr>
          <w:ilvl w:val="0"/>
          <w:numId w:val="1234"/>
        </w:numPr>
      </w:pPr>
      <w:r>
        <w:t xml:space="preserve">Return: estimate (currency), basis (string), confidence (enum), human-readable computation</w:t>
      </w:r>
    </w:p>
    <w:p>
      <w:pPr>
        <w:pStyle w:val="Compact"/>
        <w:numPr>
          <w:ilvl w:val="0"/>
          <w:numId w:val="1234"/>
        </w:numPr>
      </w:pPr>
      <w:r>
        <w:t xml:space="preserve">Are versioned and audited — methodology team owns the calculator definitions</w:t>
      </w:r>
    </w:p>
    <w:p>
      <w:pPr>
        <w:pStyle w:val="Compact"/>
        <w:numPr>
          <w:ilvl w:val="0"/>
          <w:numId w:val="1234"/>
        </w:numPr>
      </w:pPr>
      <w:r>
        <w:t xml:space="preserve">Run in a sandboxed context (no arbitrary I/O, no permission-bypassing queries)</w:t>
      </w:r>
    </w:p>
    <w:bookmarkEnd w:id="380"/>
    <w:bookmarkStart w:id="381" w:name="impact-recovery-tracking"/>
    <w:p>
      <w:pPr>
        <w:pStyle w:val="Heading2"/>
      </w:pPr>
      <w:r>
        <w:t xml:space="preserve">23.5 Impact recovery tracking</w:t>
      </w:r>
    </w:p>
    <w:p>
      <w:pPr>
        <w:pStyle w:val="Compact"/>
        <w:numPr>
          <w:ilvl w:val="0"/>
          <w:numId w:val="1235"/>
        </w:numPr>
      </w:pPr>
      <w:r>
        <w:t xml:space="preserve">When an alert / discrepancy is resolved, the financial_impact_recovered field captures the actual recovered amount</w:t>
      </w:r>
    </w:p>
    <w:p>
      <w:pPr>
        <w:pStyle w:val="Compact"/>
        <w:numPr>
          <w:ilvl w:val="0"/>
          <w:numId w:val="1235"/>
        </w:numPr>
      </w:pPr>
      <w:r>
        <w:t xml:space="preserve">Recovered may equal the estimate (full recovery) or less (partial recovery — e.g., a settlement claim partially won) or zero (failed recovery)</w:t>
      </w:r>
    </w:p>
    <w:p>
      <w:pPr>
        <w:pStyle w:val="Compact"/>
        <w:numPr>
          <w:ilvl w:val="0"/>
          <w:numId w:val="1235"/>
        </w:numPr>
      </w:pPr>
      <w:r>
        <w:t>The delta is the realised loss — feeds the methodology’s ‘leakage by category’ metric</w:t>
      </w:r>
    </w:p>
    <w:p>
      <w:pPr>
        <w:pStyle w:val="Compact"/>
        <w:numPr>
          <w:ilvl w:val="0"/>
          <w:numId w:val="1235"/>
        </w:numPr>
      </w:pPr>
      <w:r>
        <w:t>Quarterly aggregate: ‘integration prevented ₹X recovery vs. ₹Y realised loss’ — the product’s cumulative impact metric</w:t>
      </w:r>
    </w:p>
    <w:bookmarkEnd w:id="381"/>
    <w:bookmarkStart w:id="382" w:name="alert-routing-by-impact"/>
    <w:p>
      <w:pPr>
        <w:pStyle w:val="Heading2"/>
      </w:pPr>
      <w:r>
        <w:t xml:space="preserve">23.6 Alert routing by impact</w:t>
      </w:r>
    </w:p>
    <w:p>
      <w:pPr>
        <w:pStyle w:val="Compact"/>
        <w:numPr>
          <w:ilvl w:val="0"/>
          <w:numId w:val="1236"/>
        </w:numPr>
      </w:pPr>
      <w:r>
        <w:t xml:space="preserve">Low-impact (&lt; ₹10k): routes per the standard severity rules in Section 18</w:t>
      </w:r>
    </w:p>
    <w:p>
      <w:pPr>
        <w:pStyle w:val="Compact"/>
        <w:numPr>
          <w:ilvl w:val="0"/>
          <w:numId w:val="1236"/>
        </w:numPr>
      </w:pPr>
      <w:r>
        <w:t xml:space="preserve">Medium-impact (₹10k - ₹100k): elevates one severity level (Warning becomes Error, Error becomes Critical)</w:t>
      </w:r>
    </w:p>
    <w:p>
      <w:pPr>
        <w:pStyle w:val="Compact"/>
        <w:numPr>
          <w:ilvl w:val="0"/>
          <w:numId w:val="1236"/>
        </w:numPr>
      </w:pPr>
      <w:r>
        <w:t xml:space="preserve">High-impact (&gt; ₹100k): always Critical, regardless of underlying error type</w:t>
      </w:r>
    </w:p>
    <w:p>
      <w:pPr>
        <w:pStyle w:val="Compact"/>
        <w:numPr>
          <w:ilvl w:val="0"/>
          <w:numId w:val="1236"/>
        </w:numPr>
      </w:pPr>
      <w:r>
        <w:t xml:space="preserve">Very-high-impact (&gt; ₹1L): Critical + automatic escalation to client’s finance leadership (configurable per Marketplace Account)</w:t>
      </w:r>
    </w:p>
    <w:p>
      <w:pPr>
        <w:pStyle w:val="Compact"/>
        <w:numPr>
          <w:ilvl w:val="0"/>
          <w:numId w:val="1236"/>
        </w:numPr>
      </w:pPr>
      <w:r>
        <w:t xml:space="preserve">Per-Company impact thresholds configurable; defaults are reasonable for SME clients</w:t>
      </w:r>
    </w:p>
    <w:bookmarkEnd w:id="382"/>
    <w:bookmarkStart w:id="383"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83"/>
    <w:bookmarkStart w:id="384"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37"/>
        </w:numPr>
      </w:pPr>
      <w:r>
        <w:t>Cumulative since deployment: ‘Integration has surfaced ₹X exposure, ₹Y recovered, ₹Z realised loss’</w:t>
      </w:r>
    </w:p>
    <w:p>
      <w:pPr>
        <w:pStyle w:val="Compact"/>
        <w:numPr>
          <w:ilvl w:val="0"/>
          <w:numId w:val="1237"/>
        </w:numPr>
      </w:pPr>
      <w:r>
        <w:t xml:space="preserve">Trended monthly</w:t>
      </w:r>
    </w:p>
    <w:p>
      <w:pPr>
        <w:pStyle w:val="Compact"/>
        <w:numPr>
          <w:ilvl w:val="0"/>
          <w:numId w:val="1237"/>
        </w:numPr>
      </w:pPr>
      <w:r>
        <w:t xml:space="preserve">Top recovery categories (which kinds of failures contributed most)</w:t>
      </w:r>
    </w:p>
    <w:p>
      <w:pPr>
        <w:pStyle w:val="Compact"/>
        <w:numPr>
          <w:ilvl w:val="0"/>
          <w:numId w:val="1237"/>
        </w:numPr>
      </w:pPr>
      <w:r>
        <w:t>Current open exposure (sum of estimated impact on unresolved alerts) This is the most important dashboard in the product. Client renewals and expansion are won here.</w:t>
      </w:r>
    </w:p>
    <w:bookmarkEnd w:id="384"/>
    <w:bookmarkStart w:id="385" w:name="limits-and-caveats"/>
    <w:p>
      <w:pPr>
        <w:pStyle w:val="Heading2"/>
      </w:pPr>
      <w:r>
        <w:t xml:space="preserve">23.9 Limits and caveats</w:t>
      </w:r>
    </w:p>
    <w:p>
      <w:pPr>
        <w:pStyle w:val="Compact"/>
        <w:numPr>
          <w:ilvl w:val="0"/>
          <w:numId w:val="1238"/>
        </w:numPr>
      </w:pPr>
      <w:r>
        <w:t xml:space="preserve">Estimates are estimates — the calculators err on the side of slight over-estimation to ensure the FDE pays attention</w:t>
      </w:r>
    </w:p>
    <w:p>
      <w:pPr>
        <w:pStyle w:val="Compact"/>
        <w:numPr>
          <w:ilvl w:val="0"/>
          <w:numId w:val="1238"/>
        </w:numPr>
      </w:pPr>
      <w:r>
        <w:t>Confidence labels are honest — ‘Estimated’ means we’re inferring; ‘Likely’ means we have direct data; ‘Confirmed’ means a settlement event has confirmed the loss</w:t>
      </w:r>
    </w:p>
    <w:p>
      <w:pPr>
        <w:pStyle w:val="Compact"/>
        <w:numPr>
          <w:ilvl w:val="0"/>
          <w:numId w:val="1238"/>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38"/>
        </w:numPr>
      </w:pPr>
      <w:r>
        <w:t xml:space="preserve">Cumulative impact metrics should not be used for client billing or commission — they’re directional, not audit-grade</w:t>
      </w:r>
    </w:p>
    <w:p>
      <w:pPr>
        <w:pStyle w:val="Compact"/>
        <w:numPr>
          <w:ilvl w:val="0"/>
          <w:numId w:val="1238"/>
        </w:numPr>
      </w:pPr>
      <w:r>
        <w:t xml:space="preserve">Methodology team reviews calculator outputs quarterly against actual settlement data to validate accuracy</w:t>
      </w:r>
    </w:p>
    <w:bookmarkEnd w:id="385"/>
    <w:bookmarkEnd w:id="386"/>
    <w:bookmarkStart w:id="397"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87" w:name="why-this-is-its-own-surface"/>
    <w:p>
      <w:pPr>
        <w:pStyle w:val="Heading2"/>
      </w:pPr>
      <w:r>
        <w:t xml:space="preserve">24.1 Why this is its own surface</w:t>
      </w:r>
    </w:p>
    <w:p>
      <w:pPr>
        <w:pStyle w:val="Compact"/>
        <w:numPr>
          <w:ilvl w:val="0"/>
          <w:numId w:val="1239"/>
        </w:numPr>
      </w:pPr>
      <w:r>
        <w:t xml:space="preserve">Lists are forensic, not directive — they show what happened, not what to do</w:t>
      </w:r>
    </w:p>
    <w:p>
      <w:pPr>
        <w:pStyle w:val="Compact"/>
        <w:numPr>
          <w:ilvl w:val="0"/>
          <w:numId w:val="1239"/>
        </w:numPr>
      </w:pPr>
      <w:r>
        <w:t xml:space="preserve">Dashboards are diagnostic, not directive — they help analyse, not act</w:t>
      </w:r>
    </w:p>
    <w:p>
      <w:pPr>
        <w:pStyle w:val="Compact"/>
        <w:numPr>
          <w:ilvl w:val="0"/>
          <w:numId w:val="1239"/>
        </w:numPr>
      </w:pPr>
      <w:r>
        <w:t>The FDE’s morning question is ‘what should I work on today?’ — neither lists nor dashboards answer this directly</w:t>
      </w:r>
    </w:p>
    <w:p>
      <w:pPr>
        <w:pStyle w:val="Compact"/>
        <w:numPr>
          <w:ilvl w:val="0"/>
          <w:numId w:val="1239"/>
        </w:numPr>
      </w:pPr>
      <w:r>
        <w:t xml:space="preserve">A Morning Brief that ranks issues by impact and surfaces the 3-5 things worth time today turns the integration from a passive system into an actively helpful coworker</w:t>
      </w:r>
    </w:p>
    <w:p>
      <w:pPr>
        <w:pStyle w:val="Compact"/>
        <w:numPr>
          <w:ilvl w:val="0"/>
          <w:numId w:val="1239"/>
        </w:numPr>
      </w:pPr>
      <w:r>
        <w:t>This view is the core demo: ‘open this on Monday morning, this is your day’s plan’</w:t>
      </w:r>
    </w:p>
    <w:bookmarkEnd w:id="387"/>
    <w:bookmarkStart w:id="388"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88"/>
    <w:bookmarkStart w:id="389"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40"/>
        </w:numPr>
      </w:pPr>
      <w:r>
        <w:t xml:space="preserve">Each item: title, severity, financial impact, age, suggested next action with one-click route</w:t>
      </w:r>
    </w:p>
    <w:p>
      <w:pPr>
        <w:pStyle w:val="Compact"/>
        <w:numPr>
          <w:ilvl w:val="0"/>
          <w:numId w:val="1240"/>
        </w:numPr>
      </w:pPr>
      <w:r>
        <w:t xml:space="preserve">Selection algorithm: ranks all open Critical and Error alerts plus all open Discrepancies by impact_score = financial_impact * age_decay * (1 - estimated_difficulty)</w:t>
      </w:r>
    </w:p>
    <w:p>
      <w:pPr>
        <w:pStyle w:val="Compact"/>
        <w:numPr>
          <w:ilvl w:val="0"/>
          <w:numId w:val="1240"/>
        </w:numPr>
      </w:pPr>
      <w:r>
        <w:t xml:space="preserve">age_decay: 1.0 for items &lt; 6h old, 0.8 for 6-24h, 0.6 for &gt; 24h (acknowledging that older items may be in someone’s queue already)</w:t>
      </w:r>
    </w:p>
    <w:p>
      <w:pPr>
        <w:pStyle w:val="Compact"/>
        <w:numPr>
          <w:ilvl w:val="0"/>
          <w:numId w:val="1240"/>
        </w:numPr>
      </w:pPr>
      <w:r>
        <w:t xml:space="preserve">estimated_difficulty: 0 for items with one-click resolution path, 0.3 for replay-with-override, 0.6 for custom investigation</w:t>
      </w:r>
    </w:p>
    <w:p>
      <w:pPr>
        <w:pStyle w:val="Compact"/>
        <w:numPr>
          <w:ilvl w:val="0"/>
          <w:numId w:val="1240"/>
        </w:numPr>
      </w:pPr>
      <w:r>
        <w:t xml:space="preserve">Ties broken by: financial impact, then by age</w:t>
      </w:r>
    </w:p>
    <w:p>
      <w:pPr>
        <w:pStyle w:val="Compact"/>
        <w:numPr>
          <w:ilvl w:val="0"/>
          <w:numId w:val="1240"/>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89"/>
    <w:bookmarkStart w:id="390"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41"/>
        </w:numPr>
      </w:pPr>
      <w:r>
        <w:t>Volume anomalies: ‘B2C order volume yesterday was 67% of 7-day average — confirm Amazon listing health’</w:t>
      </w:r>
    </w:p>
    <w:p>
      <w:pPr>
        <w:pStyle w:val="Compact"/>
        <w:numPr>
          <w:ilvl w:val="0"/>
          <w:numId w:val="1241"/>
        </w:numPr>
      </w:pPr>
      <w:r>
        <w:t>Latency anomalies: ‘API p95 latency on /orders/V2/getAllOrders trending up; 850ms today vs 320ms baseline’</w:t>
      </w:r>
    </w:p>
    <w:p>
      <w:pPr>
        <w:pStyle w:val="Compact"/>
        <w:numPr>
          <w:ilvl w:val="0"/>
          <w:numId w:val="1241"/>
        </w:numPr>
      </w:pPr>
      <w:r>
        <w:t>Pattern anomalies: ‘Sync Records for Customer entity have a 12% retry rate today vs 2% baseline’</w:t>
      </w:r>
    </w:p>
    <w:p>
      <w:pPr>
        <w:pStyle w:val="Compact"/>
        <w:numPr>
          <w:ilvl w:val="0"/>
          <w:numId w:val="1241"/>
        </w:numPr>
      </w:pPr>
      <w:r>
        <w:t>New error patterns: ‘New translated error key EE_ORDER_DUPLICATE_REJECT seen 8 times today; not in error library’</w:t>
      </w:r>
    </w:p>
    <w:p>
      <w:pPr>
        <w:pStyle w:val="Compact"/>
        <w:numPr>
          <w:ilvl w:val="0"/>
          <w:numId w:val="1241"/>
        </w:numPr>
      </w:pPr>
      <w:r>
        <w:t>Inventory drift trends: ‘Drift between EE and ERPNext stock has grown for 3 consecutive days for 14 SKUs’</w:t>
      </w:r>
    </w:p>
    <w:bookmarkEnd w:id="390"/>
    <w:bookmarkStart w:id="391"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42"/>
        </w:numPr>
      </w:pPr>
      <w:r>
        <w:t xml:space="preserve">Discrepancies open &gt; 3 days: count + sum of impact</w:t>
      </w:r>
    </w:p>
    <w:p>
      <w:pPr>
        <w:pStyle w:val="Compact"/>
        <w:numPr>
          <w:ilvl w:val="0"/>
          <w:numId w:val="1242"/>
        </w:numPr>
      </w:pPr>
      <w:r>
        <w:t xml:space="preserve">Sync Records failed &gt; 7 days with no resolution: count</w:t>
      </w:r>
    </w:p>
    <w:p>
      <w:pPr>
        <w:pStyle w:val="Compact"/>
        <w:numPr>
          <w:ilvl w:val="0"/>
          <w:numId w:val="1242"/>
        </w:numPr>
      </w:pPr>
      <w:r>
        <w:t xml:space="preserve">Replay Plans drafted but never committed &gt; 5 days old: count</w:t>
      </w:r>
    </w:p>
    <w:p>
      <w:pPr>
        <w:pStyle w:val="Compact"/>
        <w:numPr>
          <w:ilvl w:val="0"/>
          <w:numId w:val="1242"/>
        </w:numPr>
      </w:pPr>
      <w:r>
        <w:t>Schema drifts unblessed &gt; 30 days: count Each item linked. The point is to surface the easily-ignored — the things that don’t fire alerts but slowly erode integration health.</w:t>
      </w:r>
    </w:p>
    <w:bookmarkEnd w:id="391"/>
    <w:bookmarkStart w:id="392"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43"/>
        </w:numPr>
      </w:pPr>
      <w:r>
        <w:t xml:space="preserve">Master sync success rate: 99.4% this week vs 98.9% last week (↑)</w:t>
      </w:r>
    </w:p>
    <w:p>
      <w:pPr>
        <w:pStyle w:val="Compact"/>
        <w:numPr>
          <w:ilvl w:val="0"/>
          <w:numId w:val="1243"/>
        </w:numPr>
      </w:pPr>
      <w:r>
        <w:t xml:space="preserve">B2C SI creation success rate: 99.1% this week vs 99.7% last week (↓)</w:t>
      </w:r>
    </w:p>
    <w:p>
      <w:pPr>
        <w:pStyle w:val="Compact"/>
        <w:numPr>
          <w:ilvl w:val="0"/>
          <w:numId w:val="1243"/>
        </w:numPr>
      </w:pPr>
      <w:r>
        <w:t xml:space="preserve">GRN ingestion success rate: 97.8% this week vs 96.2% last week (↑)</w:t>
      </w:r>
    </w:p>
    <w:p>
      <w:pPr>
        <w:pStyle w:val="Compact"/>
        <w:numPr>
          <w:ilvl w:val="0"/>
          <w:numId w:val="1243"/>
        </w:numPr>
      </w:pPr>
      <w:r>
        <w:t xml:space="preserve">Webhook receipt rate: 98.2% this week vs 99.1% last week (↓ — investigate)</w:t>
      </w:r>
    </w:p>
    <w:p>
      <w:pPr>
        <w:pStyle w:val="Compact"/>
        <w:numPr>
          <w:ilvl w:val="0"/>
          <w:numId w:val="1243"/>
        </w:numPr>
      </w:pPr>
      <w:r>
        <w:t>Average API success rate: 99.3% vs 99.5% (≈) Arrows are directional indicators (↑ better, ↓ worse, ≈ similar). Significant deteriorations (&gt;1% drop) get an Investigate badge.</w:t>
      </w:r>
    </w:p>
    <w:bookmarkEnd w:id="392"/>
    <w:bookmarkStart w:id="393"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93"/>
    <w:bookmarkStart w:id="394" w:name="distribution"/>
    <w:p>
      <w:pPr>
        <w:pStyle w:val="Heading2"/>
      </w:pPr>
      <w:r>
        <w:t xml:space="preserve">24.8 Distribution</w:t>
      </w:r>
    </w:p>
    <w:p>
      <w:pPr>
        <w:pStyle w:val="Compact"/>
        <w:numPr>
          <w:ilvl w:val="0"/>
          <w:numId w:val="1244"/>
        </w:numPr>
      </w:pPr>
      <w:r>
        <w:t xml:space="preserve">Email delivery to digest_recipients at 09:00 IST per Company</w:t>
      </w:r>
    </w:p>
    <w:p>
      <w:pPr>
        <w:pStyle w:val="Compact"/>
        <w:numPr>
          <w:ilvl w:val="0"/>
          <w:numId w:val="1244"/>
        </w:numPr>
      </w:pPr>
      <w:r>
        <w:t xml:space="preserve">Slack message to alert channel at the same time</w:t>
      </w:r>
    </w:p>
    <w:p>
      <w:pPr>
        <w:pStyle w:val="Compact"/>
        <w:numPr>
          <w:ilvl w:val="0"/>
          <w:numId w:val="1244"/>
        </w:numPr>
      </w:pPr>
      <w:r>
        <w:t xml:space="preserve">In-desk view always available; FDE can refresh on demand</w:t>
      </w:r>
    </w:p>
    <w:p>
      <w:pPr>
        <w:pStyle w:val="Compact"/>
        <w:numPr>
          <w:ilvl w:val="0"/>
          <w:numId w:val="1244"/>
        </w:numPr>
      </w:pPr>
      <w:r>
        <w:t xml:space="preserve">Aggregator-mode includes a multi-Company brief (one section per Company, plus a group summary)</w:t>
      </w:r>
    </w:p>
    <w:bookmarkEnd w:id="394"/>
    <w:bookmarkStart w:id="395" w:name="generation"/>
    <w:p>
      <w:pPr>
        <w:pStyle w:val="Heading2"/>
      </w:pPr>
      <w:r>
        <w:t xml:space="preserve">24.9 Generation</w:t>
      </w:r>
    </w:p>
    <w:p>
      <w:pPr>
        <w:pStyle w:val="Compact"/>
        <w:numPr>
          <w:ilvl w:val="0"/>
          <w:numId w:val="1245"/>
        </w:numPr>
      </w:pPr>
      <w:r>
        <w:t xml:space="preserve">Cron at 06:00 IST per Company; the Morning Brief is computed as a snapshot for that day</w:t>
      </w:r>
    </w:p>
    <w:p>
      <w:pPr>
        <w:pStyle w:val="Compact"/>
        <w:numPr>
          <w:ilvl w:val="0"/>
          <w:numId w:val="1245"/>
        </w:numPr>
      </w:pPr>
      <w:r>
        <w:t xml:space="preserve">Delivery (email, Slack) cron at 09:00, reads the snapshot generated 3 hours earlier</w:t>
      </w:r>
    </w:p>
    <w:p>
      <w:pPr>
        <w:pStyle w:val="Compact"/>
        <w:numPr>
          <w:ilvl w:val="0"/>
          <w:numId w:val="1245"/>
        </w:numPr>
      </w:pPr>
      <w:r>
        <w:t xml:space="preserve">Snapshot persisted; an FDE can browse historical snapshots for retrospectives</w:t>
      </w:r>
    </w:p>
    <w:p>
      <w:pPr>
        <w:pStyle w:val="Compact"/>
        <w:numPr>
          <w:ilvl w:val="0"/>
          <w:numId w:val="1245"/>
        </w:numPr>
      </w:pPr>
      <w:r>
        <w:t xml:space="preserve">Recomputation can be triggered on-demand by an FDE if needed</w:t>
      </w:r>
    </w:p>
    <w:bookmarkEnd w:id="395"/>
    <w:bookmarkStart w:id="396"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6"/>
    <w:bookmarkEnd w:id="397"/>
    <w:bookmarkStart w:id="410"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398"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398"/>
    <w:bookmarkStart w:id="403" w:name="matcher-types"/>
    <w:p>
      <w:pPr>
        <w:pStyle w:val="Heading2"/>
      </w:pPr>
      <w:r>
        <w:t xml:space="preserve">25.2 Matcher types</w:t>
      </w:r>
    </w:p>
    <w:bookmarkStart w:id="399"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399"/>
    <w:bookmarkStart w:id="400"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400"/>
    <w:bookmarkStart w:id="401"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401"/>
    <w:bookmarkStart w:id="402" w:name="compound"/>
    <w:p>
      <w:pPr>
        <w:pStyle w:val="Heading3"/>
      </w:pPr>
      <w:r>
        <w:t xml:space="preserve">25.2.4 Compound</w:t>
      </w:r>
    </w:p>
    <w:p>
      <w:pPr>
        <w:pStyle w:val="FirstParagraph"/>
      </w:pPr>
      <w:r>
        <w:t xml:space="preserve">Combines multiple matchers (AND/OR) for nuanced cases.</w:t>
      </w:r>
    </w:p>
    <w:bookmarkEnd w:id="402"/>
    <w:bookmarkEnd w:id="403"/>
    <w:bookmarkStart w:id="404"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46"/>
        </w:numPr>
      </w:pPr>
      <w:r>
        <w:t xml:space="preserve">EE_HSN_NOT_FOUND, EE_HSN_INVALID, EE_HSN_RATE_MISMATCH</w:t>
      </w:r>
    </w:p>
    <w:p>
      <w:pPr>
        <w:pStyle w:val="Compact"/>
        <w:numPr>
          <w:ilvl w:val="0"/>
          <w:numId w:val="1246"/>
        </w:numPr>
      </w:pPr>
      <w:r>
        <w:t xml:space="preserve">EE_ITEM_NOT_FOUND, EE_ITEM_INACTIVE, EE_ITEM_DUPLICATE_SKU</w:t>
      </w:r>
    </w:p>
    <w:p>
      <w:pPr>
        <w:pStyle w:val="Compact"/>
        <w:numPr>
          <w:ilvl w:val="0"/>
          <w:numId w:val="1246"/>
        </w:numPr>
      </w:pPr>
      <w:r>
        <w:t xml:space="preserve">EE_VENDOR_NOT_FOUND, EE_VENDOR_GSTIN_INVALID</w:t>
      </w:r>
    </w:p>
    <w:p>
      <w:pPr>
        <w:pStyle w:val="Compact"/>
        <w:numPr>
          <w:ilvl w:val="0"/>
          <w:numId w:val="1246"/>
        </w:numPr>
      </w:pPr>
      <w:r>
        <w:t xml:space="preserve">EE_CUSTOMER_NOT_FOUND, EE_CUSTOMER_GSTIN_INVALID</w:t>
      </w:r>
    </w:p>
    <w:p>
      <w:pPr>
        <w:pStyle w:val="Compact"/>
        <w:numPr>
          <w:ilvl w:val="0"/>
          <w:numId w:val="1246"/>
        </w:numPr>
      </w:pPr>
      <w:r>
        <w:t xml:space="preserve">EE_LOCATION_INACTIVE, EE_LOCATION_NOT_FOUND</w:t>
      </w:r>
    </w:p>
    <w:p>
      <w:pPr>
        <w:pStyle w:val="Compact"/>
        <w:numPr>
          <w:ilvl w:val="0"/>
          <w:numId w:val="1246"/>
        </w:numPr>
      </w:pPr>
      <w:r>
        <w:t xml:space="preserve">EE_RATE_LIMITED, EE_AUTH_EXPIRED, EE_AUTH_INVALID</w:t>
      </w:r>
    </w:p>
    <w:p>
      <w:pPr>
        <w:pStyle w:val="Compact"/>
        <w:numPr>
          <w:ilvl w:val="0"/>
          <w:numId w:val="1246"/>
        </w:numPr>
      </w:pPr>
      <w:r>
        <w:t xml:space="preserve">EE_DUPLICATE_ORDER, EE_DUPLICATE_GRN, EE_DUPLICATE_PO</w:t>
      </w:r>
    </w:p>
    <w:p>
      <w:pPr>
        <w:pStyle w:val="Compact"/>
        <w:numPr>
          <w:ilvl w:val="0"/>
          <w:numId w:val="1246"/>
        </w:numPr>
      </w:pPr>
      <w:r>
        <w:t xml:space="preserve">EE_INSUFFICIENT_INVENTORY, EE_LOCATION_MISMATCH</w:t>
      </w:r>
    </w:p>
    <w:p>
      <w:pPr>
        <w:pStyle w:val="Compact"/>
        <w:numPr>
          <w:ilvl w:val="0"/>
          <w:numId w:val="1246"/>
        </w:numPr>
      </w:pPr>
      <w:r>
        <w:t xml:space="preserve">EE_BATCH_REQUIRED, EE_SERIAL_REQUIRED, EE_EXPIRY_REQUIRED</w:t>
      </w:r>
    </w:p>
    <w:p>
      <w:pPr>
        <w:pStyle w:val="Compact"/>
        <w:numPr>
          <w:ilvl w:val="0"/>
          <w:numId w:val="1246"/>
        </w:numPr>
      </w:pPr>
      <w:r>
        <w:t xml:space="preserve">EE_TAX_MISMATCH, EE_TAX_CATEGORY_NOT_MAPPED</w:t>
      </w:r>
    </w:p>
    <w:p>
      <w:pPr>
        <w:pStyle w:val="Compact"/>
        <w:numPr>
          <w:ilvl w:val="0"/>
          <w:numId w:val="1246"/>
        </w:numPr>
      </w:pPr>
      <w:r>
        <w:t xml:space="preserve">EE_PAYLOAD_VALIDATION_FAILED (catch-all for malformed payloads)</w:t>
      </w:r>
    </w:p>
    <w:p>
      <w:pPr>
        <w:pStyle w:val="Compact"/>
        <w:numPr>
          <w:ilvl w:val="0"/>
          <w:numId w:val="1246"/>
        </w:numPr>
      </w:pPr>
      <w:r>
        <w:t xml:space="preserve">EE_INTERNAL_SERVER_ERROR (5xx catch-all)</w:t>
      </w:r>
    </w:p>
    <w:p>
      <w:pPr>
        <w:pStyle w:val="Compact"/>
        <w:numPr>
          <w:ilvl w:val="0"/>
          <w:numId w:val="1246"/>
        </w:numPr>
      </w:pPr>
      <w:r>
        <w:t>EE_TIMEOUT (network timeout catch-all) Target: 50+ entries at v0.1, growing to 200+ by v1.0 as the FDE fleet contributes.</w:t>
      </w:r>
    </w:p>
    <w:bookmarkEnd w:id="404"/>
    <w:bookmarkStart w:id="405" w:name="translation-execution"/>
    <w:p>
      <w:pPr>
        <w:pStyle w:val="Heading2"/>
      </w:pPr>
      <w:r>
        <w:t xml:space="preserve">25.4 Translation execution</w:t>
      </w:r>
    </w:p>
    <w:p>
      <w:pPr>
        <w:pStyle w:val="Compact"/>
        <w:numPr>
          <w:ilvl w:val="0"/>
          <w:numId w:val="1247"/>
        </w:numPr>
      </w:pPr>
      <w:r>
        <w:t xml:space="preserve">Every Failed Sync Record / Failed Queue Job / Failed Webhook Event triggers translation lookup</w:t>
      </w:r>
    </w:p>
    <w:p>
      <w:pPr>
        <w:pStyle w:val="Compact"/>
        <w:numPr>
          <w:ilvl w:val="0"/>
          <w:numId w:val="1247"/>
        </w:numPr>
      </w:pPr>
      <w:r>
        <w:t xml:space="preserve">Matchers evaluated in priority order; first match wins</w:t>
      </w:r>
    </w:p>
    <w:p>
      <w:pPr>
        <w:pStyle w:val="Compact"/>
        <w:numPr>
          <w:ilvl w:val="0"/>
          <w:numId w:val="1247"/>
        </w:numPr>
      </w:pPr>
      <w:r>
        <w:t xml:space="preserve">Matched translation populates: translated_title, translated_explanation, translated_actions, suspected_root_cause</w:t>
      </w:r>
    </w:p>
    <w:p>
      <w:pPr>
        <w:pStyle w:val="Compact"/>
        <w:numPr>
          <w:ilvl w:val="0"/>
          <w:numId w:val="1247"/>
        </w:numPr>
      </w:pPr>
      <w:r>
        <w:t xml:space="preserve">Match recorded — match_count and last_matched_at on the Translation entry are incremented</w:t>
      </w:r>
    </w:p>
    <w:p>
      <w:pPr>
        <w:pStyle w:val="Compact"/>
        <w:numPr>
          <w:ilvl w:val="0"/>
          <w:numId w:val="1247"/>
        </w:numPr>
      </w:pPr>
      <w:r>
        <w:t xml:space="preserve">Unmatched errors get translation_status = Untranslated and are queued for FDE labelling (see 27.5)</w:t>
      </w:r>
    </w:p>
    <w:bookmarkEnd w:id="405"/>
    <w:bookmarkStart w:id="406" w:name="auto-clustering-of-untranslated-errors"/>
    <w:p>
      <w:pPr>
        <w:pStyle w:val="Heading2"/>
      </w:pPr>
      <w:r>
        <w:t xml:space="preserve">25.5 Auto-clustering of untranslated errors</w:t>
      </w:r>
    </w:p>
    <w:p>
      <w:pPr>
        <w:pStyle w:val="Compact"/>
        <w:numPr>
          <w:ilvl w:val="0"/>
          <w:numId w:val="1248"/>
        </w:numPr>
      </w:pPr>
      <w:r>
        <w:t xml:space="preserve">Periodic cron clusters Untranslated errors by similarity (TF-IDF + cosine similarity on the error text)</w:t>
      </w:r>
    </w:p>
    <w:p>
      <w:pPr>
        <w:pStyle w:val="Compact"/>
        <w:numPr>
          <w:ilvl w:val="0"/>
          <w:numId w:val="1248"/>
        </w:numPr>
      </w:pPr>
      <w:r>
        <w:t xml:space="preserve">Clusters surfaced in the Translation Library admin view</w:t>
      </w:r>
    </w:p>
    <w:p>
      <w:pPr>
        <w:pStyle w:val="Compact"/>
        <w:numPr>
          <w:ilvl w:val="0"/>
          <w:numId w:val="1248"/>
        </w:numPr>
      </w:pPr>
      <w:r>
        <w:t xml:space="preserve">FDE can: review a cluster, create a Translation entry from a representative example, the entry then auto-classifies the rest of the cluster</w:t>
      </w:r>
    </w:p>
    <w:p>
      <w:pPr>
        <w:pStyle w:val="Compact"/>
        <w:numPr>
          <w:ilvl w:val="0"/>
          <w:numId w:val="1248"/>
        </w:numPr>
      </w:pPr>
      <w:r>
        <w:t xml:space="preserve">Clusters with &gt;10 instances and no Translation entry trigger an Info alert to the FDE</w:t>
      </w:r>
    </w:p>
    <w:bookmarkEnd w:id="406"/>
    <w:bookmarkStart w:id="407"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49"/>
        </w:numPr>
      </w:pPr>
      <w:r>
        <w:t xml:space="preserve">Top translations by match count (which errors fire most)</w:t>
      </w:r>
    </w:p>
    <w:p>
      <w:pPr>
        <w:pStyle w:val="Compact"/>
        <w:numPr>
          <w:ilvl w:val="0"/>
          <w:numId w:val="1249"/>
        </w:numPr>
      </w:pPr>
      <w:r>
        <w:t xml:space="preserve">Translations matched 0 times in last 30 days (candidates for retirement)</w:t>
      </w:r>
    </w:p>
    <w:p>
      <w:pPr>
        <w:pStyle w:val="Compact"/>
        <w:numPr>
          <w:ilvl w:val="0"/>
          <w:numId w:val="1249"/>
        </w:numPr>
      </w:pPr>
      <w:r>
        <w:t xml:space="preserve">Untranslated cluster count and size</w:t>
      </w:r>
    </w:p>
    <w:p>
      <w:pPr>
        <w:pStyle w:val="Compact"/>
        <w:numPr>
          <w:ilvl w:val="0"/>
          <w:numId w:val="1249"/>
        </w:numPr>
      </w:pPr>
      <w:r>
        <w:t xml:space="preserve">Translation coverage % (matched / total failed events)</w:t>
      </w:r>
    </w:p>
    <w:p>
      <w:pPr>
        <w:pStyle w:val="Compact"/>
        <w:numPr>
          <w:ilvl w:val="0"/>
          <w:numId w:val="1249"/>
        </w:numPr>
      </w:pPr>
      <w:r>
        <w:t>Time-to-resolve by translation_key (which translated errors are hard to fix) Coverage % is itself a methodology KPI — methodology team targets &gt; 90% coverage on production-deployed clients.</w:t>
      </w:r>
    </w:p>
    <w:bookmarkEnd w:id="407"/>
    <w:bookmarkStart w:id="408" w:name="per-company-customisation"/>
    <w:p>
      <w:pPr>
        <w:pStyle w:val="Heading2"/>
      </w:pPr>
      <w:r>
        <w:t xml:space="preserve">25.7 Per-Company customisation</w:t>
      </w:r>
    </w:p>
    <w:p>
      <w:pPr>
        <w:pStyle w:val="Compact"/>
        <w:numPr>
          <w:ilvl w:val="0"/>
          <w:numId w:val="1250"/>
        </w:numPr>
      </w:pPr>
      <w:r>
        <w:t xml:space="preserve">Translation entries are global by default (the standard library)</w:t>
      </w:r>
    </w:p>
    <w:p>
      <w:pPr>
        <w:pStyle w:val="Compact"/>
        <w:numPr>
          <w:ilvl w:val="0"/>
          <w:numId w:val="1250"/>
        </w:numPr>
      </w:pPr>
      <w:r>
        <w:t xml:space="preserve">FDE can mark entries as Company-specific overrides</w:t>
      </w:r>
    </w:p>
    <w:p>
      <w:pPr>
        <w:pStyle w:val="Compact"/>
        <w:numPr>
          <w:ilvl w:val="0"/>
          <w:numId w:val="1250"/>
        </w:numPr>
      </w:pPr>
      <w:r>
        <w:t xml:space="preserve">Company-specific overrides take priority over global entries with the same matcher</w:t>
      </w:r>
    </w:p>
    <w:p>
      <w:pPr>
        <w:pStyle w:val="Compact"/>
        <w:numPr>
          <w:ilvl w:val="0"/>
          <w:numId w:val="1250"/>
        </w:numPr>
      </w:pPr>
      <w:r>
        <w:t xml:space="preserve">Useful when a client has unusual EE configuration that produces non-standard errors</w:t>
      </w:r>
    </w:p>
    <w:bookmarkEnd w:id="408"/>
    <w:bookmarkStart w:id="409" w:name="quality-control"/>
    <w:p>
      <w:pPr>
        <w:pStyle w:val="Heading2"/>
      </w:pPr>
      <w:r>
        <w:t xml:space="preserve">25.8 Quality control</w:t>
      </w:r>
    </w:p>
    <w:p>
      <w:pPr>
        <w:pStyle w:val="Compact"/>
        <w:numPr>
          <w:ilvl w:val="0"/>
          <w:numId w:val="1251"/>
        </w:numPr>
      </w:pPr>
      <w:r>
        <w:t xml:space="preserve">Translations have a confidence field (Confirmed / Likely / Speculative)</w:t>
      </w:r>
    </w:p>
    <w:p>
      <w:pPr>
        <w:pStyle w:val="Compact"/>
        <w:numPr>
          <w:ilvl w:val="0"/>
          <w:numId w:val="1251"/>
        </w:numPr>
      </w:pPr>
      <w:r>
        <w:t>Speculative translations are flagged in the alert template (‘our best guess — verify’)</w:t>
      </w:r>
    </w:p>
    <w:p>
      <w:pPr>
        <w:pStyle w:val="Compact"/>
        <w:numPr>
          <w:ilvl w:val="0"/>
          <w:numId w:val="1251"/>
        </w:numPr>
      </w:pPr>
      <w:r>
        <w:t xml:space="preserve">Methodology team reviews new translations from FDE contributions before promoting from Speculative to Likely or Confirmed</w:t>
      </w:r>
    </w:p>
    <w:p>
      <w:pPr>
        <w:pStyle w:val="Compact"/>
        <w:numPr>
          <w:ilvl w:val="0"/>
          <w:numId w:val="1251"/>
        </w:numPr>
      </w:pPr>
      <w:r>
        <w:t xml:space="preserve">Translation accuracy reviewed quarterly: are the suggested actions actually working? Do they get checked-off as resolutions?</w:t>
      </w:r>
    </w:p>
    <w:bookmarkEnd w:id="409"/>
    <w:bookmarkEnd w:id="410"/>
    <w:bookmarkStart w:id="424"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11" w:name="what-is-captured-for-time-travel"/>
    <w:p>
      <w:pPr>
        <w:pStyle w:val="Heading2"/>
      </w:pPr>
      <w:r>
        <w:t xml:space="preserve">26.1 What is captured for time travel</w:t>
      </w:r>
    </w:p>
    <w:p>
      <w:pPr>
        <w:pStyle w:val="Compact"/>
        <w:numPr>
          <w:ilvl w:val="0"/>
          <w:numId w:val="1252"/>
        </w:numPr>
      </w:pPr>
      <w:r>
        <w:t xml:space="preserve">Every EasyEcom Account and per-Company settings change (per Section 3) — full before/after snapshot</w:t>
      </w:r>
    </w:p>
    <w:p>
      <w:pPr>
        <w:pStyle w:val="Compact"/>
        <w:numPr>
          <w:ilvl w:val="0"/>
          <w:numId w:val="1252"/>
        </w:numPr>
      </w:pPr>
      <w:r>
        <w:t xml:space="preserve">Every Field Mapping ruleset save — entire ruleset versioned</w:t>
      </w:r>
    </w:p>
    <w:p>
      <w:pPr>
        <w:pStyle w:val="Compact"/>
        <w:numPr>
          <w:ilvl w:val="0"/>
          <w:numId w:val="1252"/>
        </w:numPr>
      </w:pPr>
      <w:r>
        <w:t xml:space="preserve">Every Source-of-Truth Map row change</w:t>
      </w:r>
    </w:p>
    <w:p>
      <w:pPr>
        <w:pStyle w:val="Compact"/>
        <w:numPr>
          <w:ilvl w:val="0"/>
          <w:numId w:val="1252"/>
        </w:numPr>
      </w:pPr>
      <w:r>
        <w:t xml:space="preserve">Every Marketplace Account / Marketplace (channel) / Tax Mapping configuration change</w:t>
      </w:r>
    </w:p>
    <w:p>
      <w:pPr>
        <w:pStyle w:val="Compact"/>
        <w:numPr>
          <w:ilvl w:val="0"/>
          <w:numId w:val="1252"/>
        </w:numPr>
      </w:pPr>
      <w:r>
        <w:t xml:space="preserve">Every cache clear (which cache, who, when, why)</w:t>
      </w:r>
    </w:p>
    <w:p>
      <w:pPr>
        <w:pStyle w:val="Compact"/>
        <w:numPr>
          <w:ilvl w:val="0"/>
          <w:numId w:val="1252"/>
        </w:numPr>
      </w:pPr>
      <w:r>
        <w:t xml:space="preserve">Every alert configuration change (recipients, thresholds, channel routing)</w:t>
      </w:r>
    </w:p>
    <w:p>
      <w:pPr>
        <w:pStyle w:val="Compact"/>
        <w:numPr>
          <w:ilvl w:val="0"/>
          <w:numId w:val="1252"/>
        </w:numPr>
      </w:pPr>
      <w:r>
        <w:t xml:space="preserve">Every Replay Plan execution (the plan itself plus the dry-run results plus the commit results)</w:t>
      </w:r>
    </w:p>
    <w:p>
      <w:pPr>
        <w:pStyle w:val="Compact"/>
        <w:numPr>
          <w:ilvl w:val="0"/>
          <w:numId w:val="1252"/>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11"/>
    <w:bookmarkStart w:id="412"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12"/>
    <w:bookmarkStart w:id="413" w:name="field-mapping-version-doctype"/>
    <w:p>
      <w:pPr>
        <w:pStyle w:val="Heading2"/>
      </w:pPr>
      <w:r>
        <w:t xml:space="preserve">26.3 Field Mapping Version DocType</w:t>
      </w:r>
    </w:p>
    <w:p>
      <w:pPr>
        <w:pStyle w:val="Compact"/>
        <w:numPr>
          <w:ilvl w:val="0"/>
          <w:numId w:val="1253"/>
        </w:numPr>
      </w:pPr>
      <w:r>
        <w:t xml:space="preserve">Created automatically on every Field Mapping save</w:t>
      </w:r>
    </w:p>
    <w:p>
      <w:pPr>
        <w:pStyle w:val="Compact"/>
        <w:numPr>
          <w:ilvl w:val="0"/>
          <w:numId w:val="1253"/>
        </w:numPr>
      </w:pPr>
      <w:r>
        <w:t xml:space="preserve">Stores the entire ruleset state at that version</w:t>
      </w:r>
    </w:p>
    <w:p>
      <w:pPr>
        <w:pStyle w:val="Compact"/>
        <w:numPr>
          <w:ilvl w:val="0"/>
          <w:numId w:val="1253"/>
        </w:numPr>
      </w:pPr>
      <w:r>
        <w:t xml:space="preserve">Indefinite retention; bounded payload</w:t>
      </w:r>
    </w:p>
    <w:p>
      <w:pPr>
        <w:pStyle w:val="Compact"/>
        <w:numPr>
          <w:ilvl w:val="0"/>
          <w:numId w:val="1253"/>
        </w:numPr>
      </w:pPr>
      <w:r>
        <w:t xml:space="preserve">Browseable from the Field Mapping detail’s Change History tab</w:t>
      </w:r>
    </w:p>
    <w:p>
      <w:pPr>
        <w:pStyle w:val="Compact"/>
        <w:numPr>
          <w:ilvl w:val="0"/>
          <w:numId w:val="1253"/>
        </w:numPr>
      </w:pPr>
      <w:r>
        <w:t xml:space="preserve">Diff against any prior version via the Diff Against Version action</w:t>
      </w:r>
    </w:p>
    <w:p>
      <w:pPr>
        <w:pStyle w:val="Compact"/>
        <w:numPr>
          <w:ilvl w:val="0"/>
          <w:numId w:val="1253"/>
        </w:numPr>
      </w:pPr>
      <w:r>
        <w:t xml:space="preserve">Rollback to any prior version (creates a new version)</w:t>
      </w:r>
    </w:p>
    <w:bookmarkEnd w:id="413"/>
    <w:bookmarkStart w:id="416"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14" w:name="what-works"/>
    <w:p>
      <w:pPr>
        <w:pStyle w:val="Heading3"/>
      </w:pPr>
      <w:r>
        <w:t xml:space="preserve">26.4.1 What works</w:t>
      </w:r>
    </w:p>
    <w:p>
      <w:pPr>
        <w:pStyle w:val="Compact"/>
        <w:numPr>
          <w:ilvl w:val="0"/>
          <w:numId w:val="1254"/>
        </w:numPr>
      </w:pPr>
      <w:r>
        <w:t xml:space="preserve">EasyEcom Account and per-Company settings — full state at any past time</w:t>
      </w:r>
    </w:p>
    <w:p>
      <w:pPr>
        <w:pStyle w:val="Compact"/>
        <w:numPr>
          <w:ilvl w:val="0"/>
          <w:numId w:val="1254"/>
        </w:numPr>
      </w:pPr>
      <w:r>
        <w:t xml:space="preserve">EasyEcom Field Mapping — full ruleset at any past time (via Field Mapping Version snapshots)</w:t>
      </w:r>
    </w:p>
    <w:p>
      <w:pPr>
        <w:pStyle w:val="Compact"/>
        <w:numPr>
          <w:ilvl w:val="0"/>
          <w:numId w:val="1254"/>
        </w:numPr>
      </w:pPr>
      <w:r>
        <w:t xml:space="preserve">Source-of-Truth Map — per-row historical state</w:t>
      </w:r>
    </w:p>
    <w:p>
      <w:pPr>
        <w:pStyle w:val="Compact"/>
        <w:numPr>
          <w:ilvl w:val="0"/>
          <w:numId w:val="1254"/>
        </w:numPr>
      </w:pPr>
      <w:r>
        <w:t xml:space="preserve">Marketplace Account / Channel / Tax Mapping — historical state</w:t>
      </w:r>
    </w:p>
    <w:p>
      <w:pPr>
        <w:pStyle w:val="Compact"/>
        <w:numPr>
          <w:ilvl w:val="0"/>
          <w:numId w:val="1254"/>
        </w:numPr>
      </w:pPr>
      <w:r>
        <w:t xml:space="preserve">Sync Cursor positions — what had we pulled by what timestamp</w:t>
      </w:r>
    </w:p>
    <w:p>
      <w:pPr>
        <w:pStyle w:val="Compact"/>
        <w:numPr>
          <w:ilvl w:val="0"/>
          <w:numId w:val="1254"/>
        </w:numPr>
      </w:pPr>
      <w:r>
        <w:t xml:space="preserve">Cache state — what was in cache at past time (for clearings, with cache_state_at)</w:t>
      </w:r>
    </w:p>
    <w:bookmarkEnd w:id="414"/>
    <w:bookmarkStart w:id="415" w:name="limits"/>
    <w:p>
      <w:pPr>
        <w:pStyle w:val="Heading3"/>
      </w:pPr>
      <w:r>
        <w:t xml:space="preserve">26.4.2 Limits</w:t>
      </w:r>
    </w:p>
    <w:p>
      <w:pPr>
        <w:pStyle w:val="Compact"/>
        <w:numPr>
          <w:ilvl w:val="0"/>
          <w:numId w:val="1255"/>
        </w:numPr>
      </w:pPr>
      <w:r>
        <w:t xml:space="preserve">ERPNext core records (Sales Invoice, Purchase Receipt) are NOT time-traveled by this integration — Frappe’s native version history applies, separate scope</w:t>
      </w:r>
    </w:p>
    <w:p>
      <w:pPr>
        <w:pStyle w:val="Compact"/>
        <w:numPr>
          <w:ilvl w:val="0"/>
          <w:numId w:val="1255"/>
        </w:numPr>
      </w:pPr>
      <w:r>
        <w:t xml:space="preserve">Granularity is to the second; sub-second precision not preserved</w:t>
      </w:r>
    </w:p>
    <w:p>
      <w:pPr>
        <w:pStyle w:val="Compact"/>
        <w:numPr>
          <w:ilvl w:val="0"/>
          <w:numId w:val="1255"/>
        </w:numPr>
      </w:pPr>
      <w:r>
        <w:t xml:space="preserve">Performance: point-in-time is O(log n) on indexed timestamp; should be fast for any reasonable history depth</w:t>
      </w:r>
    </w:p>
    <w:bookmarkEnd w:id="415"/>
    <w:bookmarkEnd w:id="416"/>
    <w:bookmarkStart w:id="420" w:name="time-travel-ui-affordances"/>
    <w:p>
      <w:pPr>
        <w:pStyle w:val="Heading2"/>
      </w:pPr>
      <w:r>
        <w:t xml:space="preserve">26.5 Time-travel UI affordances</w:t>
      </w:r>
    </w:p>
    <w:bookmarkStart w:id="417" w:name="configuration-audit-list-view"/>
    <w:p>
      <w:pPr>
        <w:pStyle w:val="Heading3"/>
      </w:pPr>
      <w:r>
        <w:t xml:space="preserve">26.5.1 Configuration Audit list view</w:t>
      </w:r>
    </w:p>
    <w:p>
      <w:pPr>
        <w:pStyle w:val="Compact"/>
        <w:numPr>
          <w:ilvl w:val="0"/>
          <w:numId w:val="1256"/>
        </w:numPr>
      </w:pPr>
      <w:r>
        <w:t xml:space="preserve">Default view: chronological, last 7 days</w:t>
      </w:r>
    </w:p>
    <w:p>
      <w:pPr>
        <w:pStyle w:val="Compact"/>
        <w:numPr>
          <w:ilvl w:val="0"/>
          <w:numId w:val="1256"/>
        </w:numPr>
      </w:pPr>
      <w:r>
        <w:t xml:space="preserve">Filters: actor, company, target_doctype, target_name, change_type, time range</w:t>
      </w:r>
    </w:p>
    <w:p>
      <w:pPr>
        <w:pStyle w:val="Compact"/>
        <w:numPr>
          <w:ilvl w:val="0"/>
          <w:numId w:val="1256"/>
        </w:numPr>
      </w:pPr>
      <w:r>
        <w:t xml:space="preserve">Search: free text on diff_summary, change_reason</w:t>
      </w:r>
    </w:p>
    <w:p>
      <w:pPr>
        <w:pStyle w:val="Compact"/>
        <w:numPr>
          <w:ilvl w:val="0"/>
          <w:numId w:val="1256"/>
        </w:numPr>
      </w:pPr>
      <w:r>
        <w:t xml:space="preserve">Group by: actor (per-user activity log) / target_doctype (per-system change log) / company</w:t>
      </w:r>
    </w:p>
    <w:bookmarkEnd w:id="417"/>
    <w:bookmarkStart w:id="418" w:name="time-travel-inspector"/>
    <w:p>
      <w:pPr>
        <w:pStyle w:val="Heading3"/>
      </w:pPr>
      <w:r>
        <w:t xml:space="preserve">26.5.2 Time-travel inspector</w:t>
      </w:r>
    </w:p>
    <w:p>
      <w:pPr>
        <w:pStyle w:val="Compact"/>
        <w:numPr>
          <w:ilvl w:val="0"/>
          <w:numId w:val="1257"/>
        </w:numPr>
      </w:pPr>
      <w:r>
        <w:t xml:space="preserve">Form: target DocType, target name, datetime</w:t>
      </w:r>
    </w:p>
    <w:p>
      <w:pPr>
        <w:pStyle w:val="Compact"/>
        <w:numPr>
          <w:ilvl w:val="0"/>
          <w:numId w:val="1257"/>
        </w:numPr>
      </w:pPr>
      <w:r>
        <w:t xml:space="preserve">Output: rendered DocType form showing the state at the requested time</w:t>
      </w:r>
    </w:p>
    <w:p>
      <w:pPr>
        <w:pStyle w:val="Compact"/>
        <w:numPr>
          <w:ilvl w:val="0"/>
          <w:numId w:val="1257"/>
        </w:numPr>
      </w:pPr>
      <w:r>
        <w:t>‘Compare to current’ button: shows diff between past state and current state</w:t>
      </w:r>
    </w:p>
    <w:p>
      <w:pPr>
        <w:pStyle w:val="Compact"/>
        <w:numPr>
          <w:ilvl w:val="0"/>
          <w:numId w:val="1257"/>
        </w:numPr>
      </w:pPr>
      <w:r>
        <w:t>‘Show all changes since’ button: lists every Configuration Audit row touching this record since the requested time</w:t>
      </w:r>
    </w:p>
    <w:bookmarkEnd w:id="418"/>
    <w:bookmarkStart w:id="419" w:name="diff-viewer"/>
    <w:p>
      <w:pPr>
        <w:pStyle w:val="Heading3"/>
      </w:pPr>
      <w:r>
        <w:t xml:space="preserve">26.5.3 Diff viewer</w:t>
      </w:r>
    </w:p>
    <w:p>
      <w:pPr>
        <w:pStyle w:val="Compact"/>
        <w:numPr>
          <w:ilvl w:val="0"/>
          <w:numId w:val="1258"/>
        </w:numPr>
      </w:pPr>
      <w:r>
        <w:t xml:space="preserve">Side-by-side or unified-diff JSON view</w:t>
      </w:r>
    </w:p>
    <w:p>
      <w:pPr>
        <w:pStyle w:val="Compact"/>
        <w:numPr>
          <w:ilvl w:val="0"/>
          <w:numId w:val="1258"/>
        </w:numPr>
      </w:pPr>
      <w:r>
        <w:t xml:space="preserve">Field-level highlighting: added (green), removed (red), modified (yellow)</w:t>
      </w:r>
    </w:p>
    <w:p>
      <w:pPr>
        <w:pStyle w:val="Compact"/>
        <w:numPr>
          <w:ilvl w:val="0"/>
          <w:numId w:val="1258"/>
        </w:numPr>
      </w:pPr>
      <w:r>
        <w:t xml:space="preserve">Collapses unchanged sections</w:t>
      </w:r>
    </w:p>
    <w:p>
      <w:pPr>
        <w:pStyle w:val="Compact"/>
        <w:numPr>
          <w:ilvl w:val="0"/>
          <w:numId w:val="1258"/>
        </w:numPr>
      </w:pPr>
      <w:r>
        <w:t xml:space="preserve">Copy buttons for each side</w:t>
      </w:r>
    </w:p>
    <w:bookmarkEnd w:id="419"/>
    <w:bookmarkEnd w:id="420"/>
    <w:bookmarkStart w:id="421"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59"/>
        </w:numPr>
      </w:pPr>
      <w:r>
        <w:t xml:space="preserve">Given a failing Sync Record + the timestamp of failure onset</w:t>
      </w:r>
    </w:p>
    <w:p>
      <w:pPr>
        <w:pStyle w:val="Compact"/>
        <w:numPr>
          <w:ilvl w:val="0"/>
          <w:numId w:val="1259"/>
        </w:numPr>
      </w:pPr>
      <w:r>
        <w:t xml:space="preserve">Surface every Configuration Audit row in the previous 24h that touched any DocType referenced by the Sync Record’s flow</w:t>
      </w:r>
    </w:p>
    <w:p>
      <w:pPr>
        <w:pStyle w:val="Compact"/>
        <w:numPr>
          <w:ilvl w:val="0"/>
          <w:numId w:val="1259"/>
        </w:numPr>
      </w:pPr>
      <w:r>
        <w:t xml:space="preserve">Ranked by relevance (touches the same Field Mapping ruleset &gt; touches the Settings → touches unrelated config)</w:t>
      </w:r>
    </w:p>
    <w:p>
      <w:pPr>
        <w:pStyle w:val="Compact"/>
        <w:numPr>
          <w:ilvl w:val="0"/>
          <w:numId w:val="1259"/>
        </w:numPr>
      </w:pPr>
      <w:r>
        <w:t xml:space="preserve">Direct link from any Sync Record’s Failed-since timestamp to this query</w:t>
      </w:r>
    </w:p>
    <w:bookmarkEnd w:id="421"/>
    <w:bookmarkStart w:id="422" w:name="audit-retention-and-compliance"/>
    <w:p>
      <w:pPr>
        <w:pStyle w:val="Heading2"/>
      </w:pPr>
      <w:r>
        <w:t xml:space="preserve">26.7 Audit retention and compliance</w:t>
      </w:r>
    </w:p>
    <w:p>
      <w:pPr>
        <w:pStyle w:val="Compact"/>
        <w:numPr>
          <w:ilvl w:val="0"/>
          <w:numId w:val="1260"/>
        </w:numPr>
      </w:pPr>
      <w:r>
        <w:t xml:space="preserve">Configuration Audit retention: indefinite by default; configurable lower bound 7 years for compliance-driven clients</w:t>
      </w:r>
    </w:p>
    <w:p>
      <w:pPr>
        <w:pStyle w:val="Compact"/>
        <w:numPr>
          <w:ilvl w:val="0"/>
          <w:numId w:val="1260"/>
        </w:numPr>
      </w:pPr>
      <w:r>
        <w:t xml:space="preserve">Field Mapping Version retention: indefinite (bounded payload)</w:t>
      </w:r>
    </w:p>
    <w:p>
      <w:pPr>
        <w:pStyle w:val="Compact"/>
        <w:numPr>
          <w:ilvl w:val="0"/>
          <w:numId w:val="1260"/>
        </w:numPr>
      </w:pPr>
      <w:r>
        <w:t xml:space="preserve">Audit records cannot be deleted by any user — even System Manager</w:t>
      </w:r>
    </w:p>
    <w:p>
      <w:pPr>
        <w:pStyle w:val="Compact"/>
        <w:numPr>
          <w:ilvl w:val="0"/>
          <w:numId w:val="1260"/>
        </w:numPr>
      </w:pPr>
      <w:r>
        <w:t xml:space="preserve">Audit records cannot be edited</w:t>
      </w:r>
    </w:p>
    <w:p>
      <w:pPr>
        <w:pStyle w:val="Compact"/>
        <w:numPr>
          <w:ilvl w:val="0"/>
          <w:numId w:val="1260"/>
        </w:numPr>
      </w:pPr>
      <w:r>
        <w:t xml:space="preserve">Audit records are queryable for compliance reporting</w:t>
      </w:r>
    </w:p>
    <w:bookmarkEnd w:id="422"/>
    <w:bookmarkStart w:id="423" w:name="what-time-travel-does-not-solve"/>
    <w:p>
      <w:pPr>
        <w:pStyle w:val="Heading2"/>
      </w:pPr>
      <w:r>
        <w:t xml:space="preserve">26.8 What time travel does NOT solve</w:t>
      </w:r>
    </w:p>
    <w:p>
      <w:pPr>
        <w:pStyle w:val="Compact"/>
        <w:numPr>
          <w:ilvl w:val="0"/>
          <w:numId w:val="1261"/>
        </w:numPr>
      </w:pPr>
      <w:r>
        <w:t xml:space="preserve">Doesn’t replay history — you can see what was configured but not how data flowed</w:t>
      </w:r>
    </w:p>
    <w:p>
      <w:pPr>
        <w:pStyle w:val="Compact"/>
        <w:numPr>
          <w:ilvl w:val="0"/>
          <w:numId w:val="1261"/>
        </w:numPr>
      </w:pPr>
      <w:r>
        <w:t xml:space="preserve">Doesn’t time-travel the EasyEcom side — we can see what we knew, not what they knew</w:t>
      </w:r>
    </w:p>
    <w:p>
      <w:pPr>
        <w:pStyle w:val="Compact"/>
        <w:numPr>
          <w:ilvl w:val="0"/>
          <w:numId w:val="1261"/>
        </w:numPr>
      </w:pPr>
      <w:r>
        <w:t xml:space="preserve">Doesn’t time-travel ERPNext core records — Frappe’s version history is the tool for that</w:t>
      </w:r>
    </w:p>
    <w:p>
      <w:pPr>
        <w:pStyle w:val="Compact"/>
        <w:numPr>
          <w:ilvl w:val="0"/>
          <w:numId w:val="1261"/>
        </w:numPr>
      </w:pPr>
      <w:r>
        <w:t xml:space="preserve">Doesn’t preserve performance metrics over years — separate retention policy applies to API Call records (default 90 days, configurable)</w:t>
      </w:r>
    </w:p>
    <w:bookmarkEnd w:id="423"/>
    <w:bookmarkEnd w:id="424"/>
    <w:bookmarkStart w:id="425"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25"/>
    <w:bookmarkStart w:id="429"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6"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6"/>
    <w:bookmarkStart w:id="427"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62"/>
        </w:numPr>
      </w:pPr>
      <w:r>
        <w:t xml:space="preserve">Every B2C marketplace order will produce a Sales Invoice with ecs_marketplace_order_id, ecs_marketplace (flat channel), ecs_marketplace_account populated</w:t>
      </w:r>
    </w:p>
    <w:p>
      <w:pPr>
        <w:pStyle w:val="Compact"/>
        <w:numPr>
          <w:ilvl w:val="0"/>
          <w:numId w:val="1262"/>
        </w:numPr>
      </w:pPr>
      <w:r>
        <w:t xml:space="preserve">Every Sales Invoice will have a Marketplace Order Map record at creation time</w:t>
      </w:r>
    </w:p>
    <w:p>
      <w:pPr>
        <w:pStyle w:val="Compact"/>
        <w:numPr>
          <w:ilvl w:val="0"/>
          <w:numId w:val="1262"/>
        </w:numPr>
      </w:pPr>
      <w:r>
        <w:t xml:space="preserve">Every Settlement Forecast will be created concurrently with the SI</w:t>
      </w:r>
    </w:p>
    <w:p>
      <w:pPr>
        <w:pStyle w:val="Compact"/>
        <w:numPr>
          <w:ilvl w:val="0"/>
          <w:numId w:val="1262"/>
        </w:numPr>
      </w:pPr>
      <w:r>
        <w:t xml:space="preserve">Every Purchase Receipt from EE GRN will have correct tax lines, ITC eligibility, and HSN — usable directly for fee Purchase Invoice posting</w:t>
      </w:r>
    </w:p>
    <w:p>
      <w:pPr>
        <w:pStyle w:val="Compact"/>
        <w:numPr>
          <w:ilvl w:val="0"/>
          <w:numId w:val="1262"/>
        </w:numPr>
      </w:pPr>
      <w:r>
        <w:t xml:space="preserve">Every cancellation/return will produce a Credit Note or Sales Return with ecs_original_sales_invoice and ecs_easyecom_event_id</w:t>
      </w:r>
    </w:p>
    <w:p>
      <w:pPr>
        <w:pStyle w:val="Compact"/>
        <w:numPr>
          <w:ilvl w:val="0"/>
          <w:numId w:val="1262"/>
        </w:numPr>
      </w:pPr>
      <w:r>
        <w:t xml:space="preserve">Every Stock Movement (transfer, adjustment) will carry ecs_easyecom_source_event for traceability</w:t>
      </w:r>
    </w:p>
    <w:p>
      <w:pPr>
        <w:pStyle w:val="Compact"/>
        <w:numPr>
          <w:ilvl w:val="0"/>
          <w:numId w:val="1262"/>
        </w:numPr>
      </w:pPr>
      <w:r>
        <w:t xml:space="preserve">Webhook + polling reliability ensures these artefacts exist within tolerable lag of the EE event</w:t>
      </w:r>
    </w:p>
    <w:bookmarkEnd w:id="427"/>
    <w:bookmarkStart w:id="428"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63"/>
        </w:numPr>
      </w:pPr>
      <w:r>
        <w:t xml:space="preserve">Sales Invoices missing for orders → Order-to-Settlement recon flags entire orders as Unmatched. Cumulative across many missing SIs, recon is meaningless</w:t>
      </w:r>
    </w:p>
    <w:p>
      <w:pPr>
        <w:pStyle w:val="Compact"/>
        <w:numPr>
          <w:ilvl w:val="0"/>
          <w:numId w:val="1263"/>
        </w:numPr>
      </w:pPr>
      <w:r>
        <w:t xml:space="preserve">Purchase Receipts with wrong tax lines → Fee Purchase Invoice ITC postings are wrong → ITC vs GSTR-2B reconciliation always fails</w:t>
      </w:r>
    </w:p>
    <w:p>
      <w:pPr>
        <w:pStyle w:val="Compact"/>
        <w:numPr>
          <w:ilvl w:val="0"/>
          <w:numId w:val="1263"/>
        </w:numPr>
      </w:pPr>
      <w:r>
        <w:t xml:space="preserve">Stock movements missing → Inventory variance recon falsely reports drift</w:t>
      </w:r>
    </w:p>
    <w:p>
      <w:pPr>
        <w:pStyle w:val="Compact"/>
        <w:numPr>
          <w:ilvl w:val="0"/>
          <w:numId w:val="1263"/>
        </w:numPr>
      </w:pPr>
      <w:r>
        <w:t xml:space="preserve">Cancellation/return artefacts missing → Settlement Refund events flag as Unmatched → claim queue swells with false-positive Discrepancies</w:t>
      </w:r>
    </w:p>
    <w:p>
      <w:pPr>
        <w:pStyle w:val="Compact"/>
        <w:numPr>
          <w:ilvl w:val="0"/>
          <w:numId w:val="1263"/>
        </w:numPr>
      </w:pPr>
      <w:r>
        <w:t xml:space="preserve">In short: integration brokenness destroys recon engine usefulness. The integration is not optional plumbing; it is the primary product surface</w:t>
      </w:r>
    </w:p>
    <w:bookmarkEnd w:id="428"/>
    <w:bookmarkEnd w:id="429"/>
    <w:bookmarkStart w:id="438"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30"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30"/>
    <w:bookmarkStart w:id="431" w:name="ee-sandbox-account-requirement"/>
    <w:p>
      <w:pPr>
        <w:pStyle w:val="Heading2"/>
      </w:pPr>
      <w:r>
        <w:t xml:space="preserve">28.2 EE sandbox account requirement</w:t>
      </w:r>
    </w:p>
    <w:p>
      <w:pPr>
        <w:pStyle w:val="Compact"/>
        <w:numPr>
          <w:ilvl w:val="0"/>
          <w:numId w:val="1264"/>
        </w:numPr>
      </w:pPr>
      <w:r>
        <w:t xml:space="preserve">EasyEcom must provide a sandbox account for pilot and ongoing development</w:t>
      </w:r>
    </w:p>
    <w:p>
      <w:pPr>
        <w:pStyle w:val="Compact"/>
        <w:numPr>
          <w:ilvl w:val="0"/>
          <w:numId w:val="1264"/>
        </w:numPr>
      </w:pPr>
      <w:r>
        <w:t xml:space="preserve">Sandbox provides full API surface but with isolated data (not affecting production)</w:t>
      </w:r>
    </w:p>
    <w:p>
      <w:pPr>
        <w:pStyle w:val="Compact"/>
        <w:numPr>
          <w:ilvl w:val="0"/>
          <w:numId w:val="1264"/>
        </w:numPr>
      </w:pPr>
      <w:r>
        <w:t xml:space="preserve">Sandbox credentials separate from production; never mixed</w:t>
      </w:r>
    </w:p>
    <w:p>
      <w:pPr>
        <w:pStyle w:val="Compact"/>
        <w:numPr>
          <w:ilvl w:val="0"/>
          <w:numId w:val="1264"/>
        </w:numPr>
      </w:pPr>
      <w:r>
        <w:t xml:space="preserve">If sandbox not available: limited to mock-server testing; flag this as material risk</w:t>
      </w:r>
    </w:p>
    <w:bookmarkEnd w:id="431"/>
    <w:bookmarkStart w:id="432"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32"/>
    <w:bookmarkStart w:id="433" w:name="test-categories"/>
    <w:p>
      <w:pPr>
        <w:pStyle w:val="Heading2"/>
      </w:pPr>
      <w:r>
        <w:t xml:space="preserve">28.4 Test categories</w:t>
      </w:r>
    </w:p>
    <w:p>
      <w:pPr>
        <w:pStyle w:val="Compact"/>
        <w:numPr>
          <w:ilvl w:val="0"/>
          <w:numId w:val="1265"/>
        </w:numPr>
      </w:pPr>
      <w:r>
        <w:t xml:space="preserve">Happy path — normal flow, all preconditions met</w:t>
      </w:r>
    </w:p>
    <w:p>
      <w:pPr>
        <w:pStyle w:val="Compact"/>
        <w:numPr>
          <w:ilvl w:val="0"/>
          <w:numId w:val="1265"/>
        </w:numPr>
      </w:pPr>
      <w:r>
        <w:t xml:space="preserve">Precondition failures — Item not synced, Vendor missing, etc.</w:t>
      </w:r>
    </w:p>
    <w:p>
      <w:pPr>
        <w:pStyle w:val="Compact"/>
        <w:numPr>
          <w:ilvl w:val="0"/>
          <w:numId w:val="1265"/>
        </w:numPr>
      </w:pPr>
      <w:r>
        <w:t xml:space="preserve">Idempotency — same event processed twice, replay safety</w:t>
      </w:r>
    </w:p>
    <w:p>
      <w:pPr>
        <w:pStyle w:val="Compact"/>
        <w:numPr>
          <w:ilvl w:val="0"/>
          <w:numId w:val="1265"/>
        </w:numPr>
      </w:pPr>
      <w:r>
        <w:t xml:space="preserve">Out-of-order — downstream event before upstream</w:t>
      </w:r>
    </w:p>
    <w:p>
      <w:pPr>
        <w:pStyle w:val="Compact"/>
        <w:numPr>
          <w:ilvl w:val="0"/>
          <w:numId w:val="1265"/>
        </w:numPr>
      </w:pPr>
      <w:r>
        <w:t xml:space="preserve">Webhook-vs-poll convergence — ensure both paths produce same result</w:t>
      </w:r>
    </w:p>
    <w:p>
      <w:pPr>
        <w:pStyle w:val="Compact"/>
        <w:numPr>
          <w:ilvl w:val="0"/>
          <w:numId w:val="1265"/>
        </w:numPr>
      </w:pPr>
      <w:r>
        <w:t xml:space="preserve">Multi-company isolation — Company A user blocked from Company B data</w:t>
      </w:r>
    </w:p>
    <w:p>
      <w:pPr>
        <w:pStyle w:val="Compact"/>
        <w:numPr>
          <w:ilvl w:val="0"/>
          <w:numId w:val="1265"/>
        </w:numPr>
      </w:pPr>
      <w:r>
        <w:t xml:space="preserve">Master conflict resolution — bidirectional conflicts resolved per ownership matrix</w:t>
      </w:r>
    </w:p>
    <w:p>
      <w:pPr>
        <w:pStyle w:val="Compact"/>
        <w:numPr>
          <w:ilvl w:val="0"/>
          <w:numId w:val="1265"/>
        </w:numPr>
      </w:pPr>
      <w:r>
        <w:t xml:space="preserve">Failure injection — random API errors, retries within tolerance</w:t>
      </w:r>
    </w:p>
    <w:p>
      <w:pPr>
        <w:pStyle w:val="Compact"/>
        <w:numPr>
          <w:ilvl w:val="0"/>
          <w:numId w:val="1265"/>
        </w:numPr>
      </w:pPr>
      <w:r>
        <w:t xml:space="preserve">Replay — Reverse-and-Replay produces clean state</w:t>
      </w:r>
    </w:p>
    <w:p>
      <w:pPr>
        <w:pStyle w:val="Compact"/>
        <w:numPr>
          <w:ilvl w:val="0"/>
          <w:numId w:val="1265"/>
        </w:numPr>
      </w:pPr>
      <w:r>
        <w:t xml:space="preserve">Field Mapping rule failure — rule raises with correct exception class and rule ID</w:t>
      </w:r>
    </w:p>
    <w:p>
      <w:pPr>
        <w:pStyle w:val="Compact"/>
        <w:numPr>
          <w:ilvl w:val="0"/>
          <w:numId w:val="1265"/>
        </w:numPr>
      </w:pPr>
      <w:r>
        <w:t xml:space="preserve">Schema drift detection — new shape triggers Drift alert with correct similarity scoring</w:t>
      </w:r>
    </w:p>
    <w:p>
      <w:pPr>
        <w:pStyle w:val="Compact"/>
        <w:numPr>
          <w:ilvl w:val="0"/>
          <w:numId w:val="1265"/>
        </w:numPr>
      </w:pPr>
      <w:r>
        <w:t xml:space="preserve">SLA breach detection — slow flow triggers correct breach record</w:t>
      </w:r>
    </w:p>
    <w:p>
      <w:pPr>
        <w:pStyle w:val="Compact"/>
        <w:numPr>
          <w:ilvl w:val="0"/>
          <w:numId w:val="1265"/>
        </w:numPr>
      </w:pPr>
      <w:r>
        <w:t xml:space="preserve">Permission boundaries — each role’s read/write scope is correctly enforced</w:t>
      </w:r>
    </w:p>
    <w:bookmarkEnd w:id="433"/>
    <w:bookmarkStart w:id="434"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66"/>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66"/>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66"/>
        </w:numPr>
      </w:pPr>
      <w:r>
        <w:rPr>
          <w:rStyle w:val="VerbatimChar"/>
        </w:rPr>
        <w:t xml:space="preserve">tests/cassettes/</w:t>
      </w:r>
      <w:r>
        <w:t xml:space="preserve"> stores VCR.py cassettes per (test_module, test_function) — records of EE API exchanges</w:t>
      </w:r>
    </w:p>
    <w:p>
      <w:pPr>
        <w:pStyle w:val="Compact"/>
        <w:numPr>
          <w:ilvl w:val="0"/>
          <w:numId w:val="1266"/>
        </w:numPr>
      </w:pPr>
      <w:r>
        <w:rPr>
          <w:rStyle w:val="VerbatimChar"/>
        </w:rPr>
        <w:t xml:space="preserve">tests/sample_payloads/</w:t>
      </w:r>
      <w:r>
        <w:t xml:space="preserve"> stores representative redacted EE payloads — used for Field Mapping and schema drift tests</w:t>
      </w:r>
    </w:p>
    <w:bookmarkEnd w:id="434"/>
    <w:bookmarkStart w:id="435" w:name="multi-company-test-fixtures"/>
    <w:p>
      <w:pPr>
        <w:pStyle w:val="Heading2"/>
      </w:pPr>
      <w:r>
        <w:t xml:space="preserve">28.6 Multi-company test fixtures</w:t>
      </w:r>
    </w:p>
    <w:p>
      <w:pPr>
        <w:pStyle w:val="Compact"/>
        <w:numPr>
          <w:ilvl w:val="0"/>
          <w:numId w:val="1267"/>
        </w:numPr>
      </w:pPr>
      <w:r>
        <w:t xml:space="preserve">Test site with 3 Companies: standalone, aggregator-of-3, single-with-multiple-locations</w:t>
      </w:r>
    </w:p>
    <w:p>
      <w:pPr>
        <w:pStyle w:val="Compact"/>
        <w:numPr>
          <w:ilvl w:val="0"/>
          <w:numId w:val="1267"/>
        </w:numPr>
      </w:pPr>
      <w:r>
        <w:t xml:space="preserve">Each Company with its own EE sandbox account (or scoped sandbox)</w:t>
      </w:r>
    </w:p>
    <w:p>
      <w:pPr>
        <w:pStyle w:val="Compact"/>
        <w:numPr>
          <w:ilvl w:val="0"/>
          <w:numId w:val="1267"/>
        </w:numPr>
      </w:pPr>
      <w:r>
        <w:t xml:space="preserve">Cross-Company isolation tests run on every regression cycle</w:t>
      </w:r>
    </w:p>
    <w:p>
      <w:pPr>
        <w:pStyle w:val="Compact"/>
        <w:numPr>
          <w:ilvl w:val="0"/>
          <w:numId w:val="1267"/>
        </w:numPr>
      </w:pPr>
      <w:r>
        <w:t xml:space="preserve">Aggregator-specific tests for the 5-Companies-in-one-site case</w:t>
      </w:r>
    </w:p>
    <w:bookmarkEnd w:id="435"/>
    <w:bookmarkStart w:id="436"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68"/>
        </w:numPr>
      </w:pPr>
      <w:r>
        <w:t xml:space="preserve">EasyEcom Account configured with valid credentials</w:t>
      </w:r>
    </w:p>
    <w:p>
      <w:pPr>
        <w:pStyle w:val="Compact"/>
        <w:numPr>
          <w:ilvl w:val="0"/>
          <w:numId w:val="1268"/>
        </w:numPr>
      </w:pPr>
      <w:r>
        <w:t xml:space="preserve">All EasyEcom Locations created and mapped to Frappe Warehouses</w:t>
      </w:r>
    </w:p>
    <w:p>
      <w:pPr>
        <w:pStyle w:val="Compact"/>
        <w:numPr>
          <w:ilvl w:val="0"/>
          <w:numId w:val="1268"/>
        </w:numPr>
      </w:pPr>
      <w:r>
        <w:t xml:space="preserve">Source-of-Truth Map populated for every relevant Warehouse</w:t>
      </w:r>
    </w:p>
    <w:p>
      <w:pPr>
        <w:pStyle w:val="Compact"/>
        <w:numPr>
          <w:ilvl w:val="0"/>
          <w:numId w:val="1268"/>
        </w:numPr>
      </w:pPr>
      <w:r>
        <w:t xml:space="preserve">Marketplace (flat channel list) synced from EasyEcom and classified by the FDE</w:t>
      </w:r>
    </w:p>
    <w:p>
      <w:pPr>
        <w:pStyle w:val="Compact"/>
        <w:numPr>
          <w:ilvl w:val="0"/>
          <w:numId w:val="1268"/>
        </w:numPr>
      </w:pPr>
      <w:r>
        <w:t xml:space="preserve">Marketplace Account configured per (Company, Marketplace) in use</w:t>
      </w:r>
    </w:p>
    <w:p>
      <w:pPr>
        <w:pStyle w:val="Compact"/>
        <w:numPr>
          <w:ilvl w:val="0"/>
          <w:numId w:val="1268"/>
        </w:numPr>
      </w:pPr>
      <w:r>
        <w:t xml:space="preserve">All marketplace-relevant Items synced (push status = Synced)</w:t>
      </w:r>
    </w:p>
    <w:p>
      <w:pPr>
        <w:pStyle w:val="Compact"/>
        <w:numPr>
          <w:ilvl w:val="0"/>
          <w:numId w:val="1268"/>
        </w:numPr>
      </w:pPr>
      <w:r>
        <w:t xml:space="preserve">All Customers (including pseudo-customers) synced</w:t>
      </w:r>
    </w:p>
    <w:p>
      <w:pPr>
        <w:pStyle w:val="Compact"/>
        <w:numPr>
          <w:ilvl w:val="0"/>
          <w:numId w:val="1268"/>
        </w:numPr>
      </w:pPr>
      <w:r>
        <w:t xml:space="preserve">All Suppliers synced</w:t>
      </w:r>
    </w:p>
    <w:p>
      <w:pPr>
        <w:pStyle w:val="Compact"/>
        <w:numPr>
          <w:ilvl w:val="0"/>
          <w:numId w:val="1268"/>
        </w:numPr>
      </w:pPr>
      <w:r>
        <w:t xml:space="preserve">Tax Category mappings configured</w:t>
      </w:r>
    </w:p>
    <w:p>
      <w:pPr>
        <w:pStyle w:val="Compact"/>
        <w:numPr>
          <w:ilvl w:val="0"/>
          <w:numId w:val="1268"/>
        </w:numPr>
      </w:pPr>
      <w:r>
        <w:t xml:space="preserve">HSN-to-Item-Tax-Template fixture loaded; FDE has reviewed coverage for client’s catalogue</w:t>
      </w:r>
    </w:p>
    <w:p>
      <w:pPr>
        <w:pStyle w:val="Compact"/>
        <w:numPr>
          <w:ilvl w:val="0"/>
          <w:numId w:val="1268"/>
        </w:numPr>
      </w:pPr>
      <w:r>
        <w:t xml:space="preserve">Account Role Map (per PRD Section 8.6) configured by client’s CA</w:t>
      </w:r>
    </w:p>
    <w:p>
      <w:pPr>
        <w:pStyle w:val="Compact"/>
        <w:numPr>
          <w:ilvl w:val="0"/>
          <w:numId w:val="1268"/>
        </w:numPr>
      </w:pPr>
      <w:r>
        <w:t xml:space="preserve">Webhook endpoint registered with EasyEcom; webhook_token matched</w:t>
      </w:r>
    </w:p>
    <w:p>
      <w:pPr>
        <w:pStyle w:val="Compact"/>
        <w:numPr>
          <w:ilvl w:val="0"/>
          <w:numId w:val="1268"/>
        </w:numPr>
      </w:pPr>
      <w:r>
        <w:t xml:space="preserve">Field Mapping rulesets active for all 10 flows; Show Computed Mapping reviewed by FDE</w:t>
      </w:r>
    </w:p>
    <w:p>
      <w:pPr>
        <w:pStyle w:val="Compact"/>
        <w:numPr>
          <w:ilvl w:val="0"/>
          <w:numId w:val="1268"/>
        </w:numPr>
      </w:pPr>
      <w:r>
        <w:t xml:space="preserve">SLA Budgets configured per Company per flow</w:t>
      </w:r>
    </w:p>
    <w:p>
      <w:pPr>
        <w:pStyle w:val="Compact"/>
        <w:numPr>
          <w:ilvl w:val="0"/>
          <w:numId w:val="1268"/>
        </w:numPr>
      </w:pPr>
      <w:r>
        <w:t xml:space="preserve">Alert recipients configured per Company per severity</w:t>
      </w:r>
    </w:p>
    <w:p>
      <w:pPr>
        <w:pStyle w:val="Compact"/>
        <w:numPr>
          <w:ilvl w:val="0"/>
          <w:numId w:val="1268"/>
        </w:numPr>
      </w:pPr>
      <w:r>
        <w:t xml:space="preserve">Connection Health dashboard shows green for all Companies</w:t>
      </w:r>
    </w:p>
    <w:p>
      <w:pPr>
        <w:pStyle w:val="Compact"/>
        <w:numPr>
          <w:ilvl w:val="0"/>
          <w:numId w:val="1268"/>
        </w:numPr>
      </w:pPr>
      <w:r>
        <w:t xml:space="preserve">End-to-end smoke test: 1 PO + 1 GRN + 1 B2C order + 1 cancellation + 1 return — all flow through cleanly</w:t>
      </w:r>
    </w:p>
    <w:p>
      <w:pPr>
        <w:pStyle w:val="Compact"/>
        <w:numPr>
          <w:ilvl w:val="0"/>
          <w:numId w:val="1268"/>
        </w:numPr>
      </w:pPr>
      <w:r>
        <w:t xml:space="preserve">Methodology v0 Defaults loaded; client CA has reviewed and accepted</w:t>
      </w:r>
    </w:p>
    <w:p>
      <w:pPr>
        <w:pStyle w:val="Compact"/>
        <w:numPr>
          <w:ilvl w:val="0"/>
          <w:numId w:val="1268"/>
        </w:numPr>
      </w:pPr>
      <w:r>
        <w:t xml:space="preserve">FDE has signed off on the pre-flight checklist before client go-live</w:t>
      </w:r>
    </w:p>
    <w:bookmarkEnd w:id="436"/>
    <w:bookmarkStart w:id="437" w:name="test-data-lifecycle"/>
    <w:p>
      <w:pPr>
        <w:pStyle w:val="Heading2"/>
      </w:pPr>
      <w:r>
        <w:t xml:space="preserve">28.8 Test data lifecycle</w:t>
      </w:r>
    </w:p>
    <w:p>
      <w:pPr>
        <w:pStyle w:val="Compact"/>
        <w:numPr>
          <w:ilvl w:val="0"/>
          <w:numId w:val="1269"/>
        </w:numPr>
      </w:pPr>
      <w:r>
        <w:t xml:space="preserve">Test site rebuilt nightly from fixtures (no accumulating state)</w:t>
      </w:r>
    </w:p>
    <w:p>
      <w:pPr>
        <w:pStyle w:val="Compact"/>
        <w:numPr>
          <w:ilvl w:val="0"/>
          <w:numId w:val="1269"/>
        </w:numPr>
      </w:pPr>
      <w:r>
        <w:t xml:space="preserve">Sandbox EE account state managed via teardown hooks (every test cleans up its own EE-side records)</w:t>
      </w:r>
    </w:p>
    <w:p>
      <w:pPr>
        <w:pStyle w:val="Compact"/>
        <w:numPr>
          <w:ilvl w:val="0"/>
          <w:numId w:val="1269"/>
        </w:numPr>
      </w:pPr>
      <w:r>
        <w:t xml:space="preserve">Performance and load tests run on dedicated test sites; never against pilot or production</w:t>
      </w:r>
    </w:p>
    <w:p>
      <w:pPr>
        <w:pStyle w:val="Compact"/>
        <w:numPr>
          <w:ilvl w:val="0"/>
          <w:numId w:val="1269"/>
        </w:numPr>
      </w:pPr>
      <w:r>
        <w:t xml:space="preserve">Test data never includes PII from real clients (synthetic data only)</w:t>
      </w:r>
    </w:p>
    <w:bookmarkEnd w:id="437"/>
    <w:bookmarkEnd w:id="438"/>
    <w:bookmarkStart w:id="444"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39" w:name="phasing-model"/>
    <w:p>
      <w:pPr>
        <w:pStyle w:val="Heading2"/>
      </w:pPr>
      <w:r>
        <w:t xml:space="preserve">29.1 Phasing model</w:t>
      </w:r>
    </w:p>
    <w:p>
      <w:pPr>
        <w:pStyle w:val="FirstParagraph"/>
      </w:pPr>
      <w:r>
        <w:t xml:space="preserve">Within v0.1 there are two release tiers:</w:t>
      </w:r>
    </w:p>
    <w:p>
      <w:pPr>
        <w:pStyle w:val="Compact"/>
        <w:numPr>
          <w:ilvl w:val="0"/>
          <w:numId w:val="1270"/>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70"/>
        </w:numPr>
      </w:pPr>
      <w:r>
        <w:t xml:space="preserve">v0.1 (week 46) — alpha plus the remaining six operational directions (queryable analytics, replay tooling, schema drift, SLA tracking, cross-Company ops, time travel). Generally available to FDE team.</w:t>
      </w:r>
    </w:p>
    <w:bookmarkEnd w:id="439"/>
    <w:bookmarkStart w:id="440"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40"/>
    <w:bookmarkStart w:id="441"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71"/>
        </w:numPr>
      </w:pPr>
      <w:r>
        <w:t xml:space="preserve">Weeks 1-12: recon engine team builds the rate-card library, forecasting engine, and Settlement Forecast DocType (parallelizable since it doesn’t need integration outputs yet)</w:t>
      </w:r>
    </w:p>
    <w:p>
      <w:pPr>
        <w:pStyle w:val="Compact"/>
        <w:numPr>
          <w:ilvl w:val="0"/>
          <w:numId w:val="1271"/>
        </w:numPr>
      </w:pPr>
      <w:r>
        <w:t xml:space="preserve">Weeks 13-24: recon engine builds the five reconciliations, with the integration delivering test data per flow as it lands</w:t>
      </w:r>
    </w:p>
    <w:p>
      <w:pPr>
        <w:pStyle w:val="Compact"/>
        <w:numPr>
          <w:ilvl w:val="0"/>
          <w:numId w:val="1271"/>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71"/>
        </w:numPr>
      </w:pPr>
      <w:r>
        <w:t xml:space="preserve">Weeks 25-32: integrated end-to-end testing across integration + recon + AI</w:t>
      </w:r>
    </w:p>
    <w:p>
      <w:pPr>
        <w:pStyle w:val="Compact"/>
        <w:numPr>
          <w:ilvl w:val="0"/>
          <w:numId w:val="1271"/>
        </w:numPr>
      </w:pPr>
      <w:r>
        <w:t xml:space="preserve">Weeks 33-46: continuing alongside Phase 2 operational-surface work — recon engine fees Section 23 alerts and Section 21 SLA breach financial impact</w:t>
      </w:r>
    </w:p>
    <w:bookmarkEnd w:id="441"/>
    <w:bookmarkStart w:id="442" w:name="v0.5-integration-deliverables"/>
    <w:p>
      <w:pPr>
        <w:pStyle w:val="Heading2"/>
      </w:pPr>
      <w:r>
        <w:t xml:space="preserve">29.4 v0.5 integration deliverables</w:t>
      </w:r>
    </w:p>
    <w:p>
      <w:pPr>
        <w:pStyle w:val="Compact"/>
        <w:numPr>
          <w:ilvl w:val="0"/>
          <w:numId w:val="1272"/>
        </w:numPr>
      </w:pPr>
      <w:r>
        <w:t xml:space="preserve">Settlement Templates for at least 4 marketplaces shipped as fixtures</w:t>
      </w:r>
    </w:p>
    <w:p>
      <w:pPr>
        <w:pStyle w:val="Compact"/>
        <w:numPr>
          <w:ilvl w:val="0"/>
          <w:numId w:val="1272"/>
        </w:numPr>
      </w:pPr>
      <w:r>
        <w:t xml:space="preserve">Rate Card Library entries for top marketplaces</w:t>
      </w:r>
    </w:p>
    <w:p>
      <w:pPr>
        <w:pStyle w:val="Compact"/>
        <w:numPr>
          <w:ilvl w:val="0"/>
          <w:numId w:val="1272"/>
        </w:numPr>
      </w:pPr>
      <w:r>
        <w:t xml:space="preserve">Multi-marketplace settlement ingestion at scale</w:t>
      </w:r>
    </w:p>
    <w:p>
      <w:pPr>
        <w:pStyle w:val="Compact"/>
        <w:numPr>
          <w:ilvl w:val="0"/>
          <w:numId w:val="1272"/>
        </w:numPr>
      </w:pPr>
      <w:r>
        <w:t xml:space="preserve">Aggregator topology validated with one real client</w:t>
      </w:r>
    </w:p>
    <w:p>
      <w:pPr>
        <w:pStyle w:val="Compact"/>
        <w:numPr>
          <w:ilvl w:val="0"/>
          <w:numId w:val="1272"/>
        </w:numPr>
      </w:pPr>
      <w:r>
        <w:t xml:space="preserve">Cross-Company Discrepancy reporting</w:t>
      </w:r>
    </w:p>
    <w:p>
      <w:pPr>
        <w:pStyle w:val="Compact"/>
        <w:numPr>
          <w:ilvl w:val="0"/>
          <w:numId w:val="1272"/>
        </w:numPr>
      </w:pPr>
      <w:r>
        <w:t xml:space="preserve">Performance hardening to v0.5 scale targets</w:t>
      </w:r>
    </w:p>
    <w:bookmarkEnd w:id="442"/>
    <w:bookmarkStart w:id="443" w:name="v1.0-integration-deliverables"/>
    <w:p>
      <w:pPr>
        <w:pStyle w:val="Heading2"/>
      </w:pPr>
      <w:r>
        <w:t xml:space="preserve">29.5 v1.0 integration deliverables</w:t>
      </w:r>
    </w:p>
    <w:p>
      <w:pPr>
        <w:pStyle w:val="Compact"/>
        <w:numPr>
          <w:ilvl w:val="0"/>
          <w:numId w:val="1273"/>
        </w:numPr>
      </w:pPr>
      <w:r>
        <w:t xml:space="preserve">Aggregator topology supporting 10+ Companies in one site</w:t>
      </w:r>
    </w:p>
    <w:p>
      <w:pPr>
        <w:pStyle w:val="Compact"/>
        <w:numPr>
          <w:ilvl w:val="0"/>
          <w:numId w:val="1273"/>
        </w:numPr>
      </w:pPr>
      <w:r>
        <w:t xml:space="preserve">Self-service onboarding wizard for non-FDE-led integration setup</w:t>
      </w:r>
    </w:p>
    <w:p>
      <w:pPr>
        <w:pStyle w:val="Compact"/>
        <w:numPr>
          <w:ilvl w:val="0"/>
          <w:numId w:val="1273"/>
        </w:numPr>
      </w:pPr>
      <w:r>
        <w:t xml:space="preserve">Performance hardening to v1.0 scale targets (100k orders/month)</w:t>
      </w:r>
    </w:p>
    <w:p>
      <w:pPr>
        <w:pStyle w:val="Compact"/>
        <w:numPr>
          <w:ilvl w:val="0"/>
          <w:numId w:val="1273"/>
        </w:numPr>
      </w:pPr>
      <w:r>
        <w:t xml:space="preserve">Frappe Cloud Marketplace listing of the parent app</w:t>
      </w:r>
    </w:p>
    <w:p>
      <w:pPr>
        <w:pStyle w:val="Compact"/>
        <w:numPr>
          <w:ilvl w:val="0"/>
          <w:numId w:val="1273"/>
        </w:numPr>
      </w:pPr>
      <w:r>
        <w:t xml:space="preserve">Documented partner-FDE certification for the integration setup</w:t>
      </w:r>
    </w:p>
    <w:bookmarkEnd w:id="443"/>
    <w:bookmarkEnd w:id="444"/>
    <w:bookmarkStart w:id="450" w:name="open-questions-and-v2-candidates"/>
    <w:p>
      <w:pPr>
        <w:pStyle w:val="Heading1"/>
      </w:pPr>
      <w:r>
        <w:t xml:space="preserve">30. Open Questions and v2 Candidates</w:t>
      </w:r>
    </w:p>
    <w:bookmarkStart w:id="445" w:name="deferred-to-v0.5"/>
    <w:p>
      <w:pPr>
        <w:pStyle w:val="Heading2"/>
      </w:pPr>
      <w:r>
        <w:t xml:space="preserve">30.1 Deferred to v0.5</w:t>
      </w:r>
    </w:p>
    <w:p>
      <w:pPr>
        <w:pStyle w:val="Compact"/>
        <w:numPr>
          <w:ilvl w:val="0"/>
          <w:numId w:val="1274"/>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74"/>
        </w:numPr>
      </w:pPr>
      <w:r>
        <w:t xml:space="preserve">EasyEcom B2B Invoice Generation API — for clients who prefer EE to generate B2B invoices instead of ERPNext (current default is ERPNext). Trivial to add when needed.</w:t>
      </w:r>
    </w:p>
    <w:p>
      <w:pPr>
        <w:pStyle w:val="Compact"/>
        <w:numPr>
          <w:ilvl w:val="0"/>
          <w:numId w:val="1274"/>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74"/>
        </w:numPr>
      </w:pPr>
      <w:r>
        <w:t xml:space="preserve">Self-service master sync UI — currently FDE-driven; v0.5 will add a self-service onboarding wizard</w:t>
      </w:r>
    </w:p>
    <w:p>
      <w:pPr>
        <w:pStyle w:val="Compact"/>
        <w:numPr>
          <w:ilvl w:val="0"/>
          <w:numId w:val="1274"/>
        </w:numPr>
      </w:pPr>
      <w:r>
        <w:t xml:space="preserve">Translation Library admin contributions from non-Anthropic FDEs (governance and review process needed)</w:t>
      </w:r>
    </w:p>
    <w:p>
      <w:pPr>
        <w:pStyle w:val="Compact"/>
        <w:numPr>
          <w:ilvl w:val="0"/>
          <w:numId w:val="1274"/>
        </w:numPr>
      </w:pPr>
      <w:r>
        <w:t xml:space="preserve">Cross-tenant translation library sharing (with privacy guarantees) — could become a network effect</w:t>
      </w:r>
    </w:p>
    <w:p>
      <w:pPr>
        <w:pStyle w:val="Compact"/>
        <w:numPr>
          <w:ilvl w:val="0"/>
          <w:numId w:val="1274"/>
        </w:numPr>
      </w:pPr>
      <w:r>
        <w:t xml:space="preserve">Inventory variance recon — separately scoped post-v0.1 enhancement to the recon engine</w:t>
      </w:r>
    </w:p>
    <w:bookmarkEnd w:id="445"/>
    <w:bookmarkStart w:id="446" w:name="deferred-to-v1.0"/>
    <w:p>
      <w:pPr>
        <w:pStyle w:val="Heading2"/>
      </w:pPr>
      <w:r>
        <w:t xml:space="preserve">30.2 Deferred to v1.0</w:t>
      </w:r>
    </w:p>
    <w:p>
      <w:pPr>
        <w:pStyle w:val="Compact"/>
        <w:numPr>
          <w:ilvl w:val="0"/>
          <w:numId w:val="1275"/>
        </w:numPr>
      </w:pPr>
      <w:r>
        <w:t xml:space="preserve">Multi-currency support — orders, settlements, invoices in non-INR. Not v0.5 scope either</w:t>
      </w:r>
    </w:p>
    <w:p>
      <w:pPr>
        <w:pStyle w:val="Compact"/>
        <w:numPr>
          <w:ilvl w:val="0"/>
          <w:numId w:val="1275"/>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75"/>
        </w:numPr>
      </w:pPr>
      <w:r>
        <w:t xml:space="preserve">ML-based root cause inference for Untranslated errors — v0.1 uses TF-IDF clustering; ML would be more accurate but heavier infrastructure</w:t>
      </w:r>
    </w:p>
    <w:p>
      <w:pPr>
        <w:pStyle w:val="Compact"/>
        <w:numPr>
          <w:ilvl w:val="0"/>
          <w:numId w:val="1275"/>
        </w:numPr>
      </w:pPr>
      <w:r>
        <w:t xml:space="preserve">Predictive alerting (alert before failures occur based on patterns) — requires established baseline; depends on enough production data</w:t>
      </w:r>
    </w:p>
    <w:p>
      <w:pPr>
        <w:pStyle w:val="Compact"/>
        <w:numPr>
          <w:ilvl w:val="0"/>
          <w:numId w:val="1275"/>
        </w:numPr>
      </w:pPr>
      <w:r>
        <w:t xml:space="preserve">Causal graph visualisation for time-travel queries</w:t>
      </w:r>
    </w:p>
    <w:p>
      <w:pPr>
        <w:pStyle w:val="Compact"/>
        <w:numPr>
          <w:ilvl w:val="0"/>
          <w:numId w:val="1275"/>
        </w:numPr>
      </w:pPr>
      <w:r>
        <w:t xml:space="preserve">Frappe Cloud Marketplace listing of the parent app — requires tenant isolation hardening beyond v0.1 scope</w:t>
      </w:r>
    </w:p>
    <w:bookmarkEnd w:id="446"/>
    <w:bookmarkStart w:id="447" w:name="X591ee1a6920a2c7076ee3e256ee90abe6553783"/>
    <w:p>
      <w:pPr>
        <w:pStyle w:val="Heading2"/>
      </w:pPr>
      <w:r>
        <w:t xml:space="preserve">30.3 Currently uncertain — to validate during v0.1 build</w:t>
      </w:r>
    </w:p>
    <w:p>
      <w:pPr>
        <w:pStyle w:val="Compact"/>
        <w:numPr>
          <w:ilvl w:val="0"/>
          <w:numId w:val="1276"/>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76"/>
        </w:numPr>
      </w:pPr>
      <w:r>
        <w:t xml:space="preserve">Webhook reliability — will measure actual delivery rate against polling-detected events; informs whether webhook-as-optimization is worth the configuration cost</w:t>
      </w:r>
    </w:p>
    <w:p>
      <w:pPr>
        <w:pStyle w:val="Compact"/>
        <w:numPr>
          <w:ilvl w:val="0"/>
          <w:numId w:val="1276"/>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76"/>
        </w:numPr>
      </w:pPr>
      <w:r>
        <w:t xml:space="preserve">e-waybill auto-generation latency — IRP API responsiveness in production volumes</w:t>
      </w:r>
    </w:p>
    <w:p>
      <w:pPr>
        <w:pStyle w:val="Compact"/>
        <w:numPr>
          <w:ilvl w:val="0"/>
          <w:numId w:val="1276"/>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76"/>
        </w:numPr>
      </w:pPr>
      <w:r>
        <w:t xml:space="preserve">Field Mapping engine performance overhead — declarative engine has compile-time + runtime cost vs. hardcoded; need to characterise on production-shaped payloads</w:t>
      </w:r>
    </w:p>
    <w:p>
      <w:pPr>
        <w:pStyle w:val="Compact"/>
        <w:numPr>
          <w:ilvl w:val="0"/>
          <w:numId w:val="1276"/>
        </w:numPr>
      </w:pPr>
      <w:r>
        <w:t xml:space="preserve">Schema drift false-positive rate — too sensitive and the FDE gets noise; too lenient and we miss real drift</w:t>
      </w:r>
    </w:p>
    <w:bookmarkEnd w:id="447"/>
    <w:bookmarkStart w:id="448" w:name="key-design-decisions-and-rationale"/>
    <w:p>
      <w:pPr>
        <w:pStyle w:val="Heading2"/>
      </w:pPr>
      <w:r>
        <w:t xml:space="preserve">30.4 Key design decisions and rationale</w:t>
      </w:r>
    </w:p>
    <w:p>
      <w:pPr>
        <w:pStyle w:val="Compact"/>
        <w:numPr>
          <w:ilvl w:val="0"/>
          <w:numId w:val="1277"/>
        </w:numPr>
      </w:pPr>
      <w:r>
        <w:t xml:space="preserve">Build our own integration rather than depend on erpnext_easyecom — accepted increased engineering scope for control</w:t>
      </w:r>
    </w:p>
    <w:p>
      <w:pPr>
        <w:pStyle w:val="Compact"/>
        <w:numPr>
          <w:ilvl w:val="0"/>
          <w:numId w:val="1277"/>
        </w:numPr>
      </w:pPr>
      <w:r>
        <w:t xml:space="preserve">ERPNext v16 only — chose feature reliance over backwards compatibility</w:t>
      </w:r>
    </w:p>
    <w:p>
      <w:pPr>
        <w:pStyle w:val="Compact"/>
        <w:numPr>
          <w:ilvl w:val="0"/>
          <w:numId w:val="1277"/>
        </w:numPr>
      </w:pPr>
      <w:r>
        <w:t xml:space="preserve">Polling-first, webhooks as optimization — chose deterministic catch-up over minimum latency</w:t>
      </w:r>
    </w:p>
    <w:p>
      <w:pPr>
        <w:pStyle w:val="Compact"/>
        <w:numPr>
          <w:ilvl w:val="0"/>
          <w:numId w:val="1277"/>
        </w:numPr>
      </w:pPr>
      <w:r>
        <w:t xml:space="preserve">Bidirectional Item master with field-level ownership matrix — chose explicit conflict resolution over picking a single direction</w:t>
      </w:r>
    </w:p>
    <w:p>
      <w:pPr>
        <w:pStyle w:val="Compact"/>
        <w:numPr>
          <w:ilvl w:val="0"/>
          <w:numId w:val="1277"/>
        </w:numPr>
      </w:pPr>
      <w:r>
        <w:t xml:space="preserve">Path-based Field Mapping engine — chose configurability over hardcoded simplicity</w:t>
      </w:r>
    </w:p>
    <w:p>
      <w:pPr>
        <w:pStyle w:val="Compact"/>
        <w:numPr>
          <w:ilvl w:val="0"/>
          <w:numId w:val="1277"/>
        </w:numPr>
      </w:pPr>
      <w:r>
        <w:t xml:space="preserve">Three-log model (Sync Record + API Call + Webhook Event) — chose separation of concerns over unified log</w:t>
      </w:r>
    </w:p>
    <w:p>
      <w:pPr>
        <w:pStyle w:val="Compact"/>
        <w:numPr>
          <w:ilvl w:val="0"/>
          <w:numId w:val="1277"/>
        </w:numPr>
      </w:pPr>
      <w:r>
        <w:t>Recon-aware alerts with financial impact — chose product wedge over standard ‘thing failed’ alerts</w:t>
      </w:r>
    </w:p>
    <w:p>
      <w:pPr>
        <w:pStyle w:val="Compact"/>
        <w:numPr>
          <w:ilvl w:val="0"/>
          <w:numId w:val="1277"/>
        </w:numPr>
      </w:pPr>
      <w:r>
        <w:t xml:space="preserve">Morning Brief as a first-class deliverable — chose directive UX over diagnostic UX</w:t>
      </w:r>
    </w:p>
    <w:p>
      <w:pPr>
        <w:pStyle w:val="Compact"/>
        <w:numPr>
          <w:ilvl w:val="0"/>
          <w:numId w:val="1277"/>
        </w:numPr>
      </w:pPr>
      <w:r>
        <w:t xml:space="preserve">Error Translation Library — chose plain-English over raw error pass-through</w:t>
      </w:r>
    </w:p>
    <w:p>
      <w:pPr>
        <w:pStyle w:val="Compact"/>
        <w:numPr>
          <w:ilvl w:val="0"/>
          <w:numId w:val="1277"/>
        </w:numPr>
      </w:pPr>
      <w:r>
        <w:t xml:space="preserve">Time travel via Configuration Audit + Field Mapping Versions — chose forensic capability over storage minimization</w:t>
      </w:r>
    </w:p>
    <w:p>
      <w:pPr>
        <w:pStyle w:val="Compact"/>
        <w:numPr>
          <w:ilvl w:val="0"/>
          <w:numId w:val="1277"/>
        </w:numPr>
      </w:pPr>
      <w:r>
        <w:t xml:space="preserve">All 10 flows in v0.1 plus full operational surface — chose product completeness over time-to-pilot. Resulting v0.1 timeline: 38-46 weeks</w:t>
      </w:r>
    </w:p>
    <w:p>
      <w:pPr>
        <w:pStyle w:val="Compact"/>
        <w:numPr>
          <w:ilvl w:val="0"/>
          <w:numId w:val="1277"/>
        </w:numPr>
      </w:pPr>
      <w:r>
        <w:t xml:space="preserve">EasyEcom Account (account-level) and EasyEcom Company Settings (per-Company) — chose an account-scoped credential boundary with location-resolved Companies</w:t>
      </w:r>
    </w:p>
    <w:bookmarkEnd w:id="448"/>
    <w:bookmarkStart w:id="449"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49"/>
    <w:bookmarkEnd w:id="450"/>
    <w:bookmarkStart w:id="514"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54"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51"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51"/>
    <w:bookmarkStart w:id="452"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78"/>
        </w:numPr>
      </w:pPr>
      <w:r>
        <w:t xml:space="preserve">Custom DocTypes specific to this client (rare; usually the parent app suffices)</w:t>
      </w:r>
    </w:p>
    <w:p>
      <w:pPr>
        <w:pStyle w:val="Compact"/>
        <w:numPr>
          <w:ilvl w:val="0"/>
          <w:numId w:val="1278"/>
        </w:numPr>
      </w:pPr>
      <w:r>
        <w:t xml:space="preserve">Per-client Field Mapping fixtures (overrides to global rulesets)</w:t>
      </w:r>
    </w:p>
    <w:p>
      <w:pPr>
        <w:pStyle w:val="Compact"/>
        <w:numPr>
          <w:ilvl w:val="0"/>
          <w:numId w:val="1278"/>
        </w:numPr>
      </w:pPr>
      <w:r>
        <w:t xml:space="preserve">Per-client Error Translation entries (Company-scoped overrides)</w:t>
      </w:r>
    </w:p>
    <w:p>
      <w:pPr>
        <w:pStyle w:val="Compact"/>
        <w:numPr>
          <w:ilvl w:val="0"/>
          <w:numId w:val="1278"/>
        </w:numPr>
      </w:pPr>
      <w:r>
        <w:t xml:space="preserve">Per-client SLA Budget fixtures</w:t>
      </w:r>
    </w:p>
    <w:p>
      <w:pPr>
        <w:pStyle w:val="Compact"/>
        <w:numPr>
          <w:ilvl w:val="0"/>
          <w:numId w:val="1278"/>
        </w:numPr>
      </w:pPr>
      <w:r>
        <w:t xml:space="preserve">Per-client Methodology defaults (Account Role Map adjustments, etc.)</w:t>
      </w:r>
    </w:p>
    <w:p>
      <w:pPr>
        <w:pStyle w:val="Compact"/>
        <w:numPr>
          <w:ilvl w:val="0"/>
          <w:numId w:val="1278"/>
        </w:numPr>
      </w:pPr>
      <w:r>
        <w:t xml:space="preserve">Client-specific tests (e2e tests against the client’s actual EE sandbox)</w:t>
      </w:r>
    </w:p>
    <w:bookmarkEnd w:id="452"/>
    <w:bookmarkStart w:id="453"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79"/>
        </w:numPr>
      </w:pPr>
      <w:r>
        <w:t xml:space="preserve">doc_events for Sales Order, Sales Invoice, Purchase Order, Purchase Receipt, Stock Entry, Item, Customer, Supplier — drives push hooks</w:t>
      </w:r>
    </w:p>
    <w:p>
      <w:pPr>
        <w:pStyle w:val="Compact"/>
        <w:numPr>
          <w:ilvl w:val="0"/>
          <w:numId w:val="1279"/>
        </w:numPr>
      </w:pPr>
      <w:r>
        <w:t xml:space="preserve">scheduler_events for periodic pulls and Morning Brief generation</w:t>
      </w:r>
    </w:p>
    <w:p>
      <w:pPr>
        <w:pStyle w:val="Compact"/>
        <w:numPr>
          <w:ilvl w:val="0"/>
          <w:numId w:val="1279"/>
        </w:numPr>
      </w:pPr>
      <w:r>
        <w:t xml:space="preserve">permission_query_conditions for Company-scoped data isolation</w:t>
      </w:r>
    </w:p>
    <w:p>
      <w:pPr>
        <w:pStyle w:val="Compact"/>
        <w:numPr>
          <w:ilvl w:val="0"/>
          <w:numId w:val="1279"/>
        </w:numPr>
      </w:pPr>
      <w:r>
        <w:t xml:space="preserve">has_permission for cross-Company permission rules</w:t>
      </w:r>
    </w:p>
    <w:p>
      <w:pPr>
        <w:pStyle w:val="Compact"/>
        <w:numPr>
          <w:ilvl w:val="0"/>
          <w:numId w:val="1279"/>
        </w:numPr>
      </w:pPr>
      <w:r>
        <w:t xml:space="preserve">override_doctype_class for ERPNext core DocType extensions (rare)</w:t>
      </w:r>
    </w:p>
    <w:p>
      <w:pPr>
        <w:pStyle w:val="Compact"/>
        <w:numPr>
          <w:ilvl w:val="0"/>
          <w:numId w:val="1279"/>
        </w:numPr>
      </w:pPr>
      <w:r>
        <w:t xml:space="preserve">after_install for first-run setup (creating default Roles, loading initial fixtures)</w:t>
      </w:r>
    </w:p>
    <w:bookmarkEnd w:id="453"/>
    <w:bookmarkEnd w:id="454"/>
    <w:bookmarkStart w:id="479"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55"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55"/>
    <w:bookmarkStart w:id="456"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6"/>
    <w:bookmarkStart w:id="457"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per-location pull cursors, and the EE-supplied location attributes from </w:t>
      </w:r>
      <w:r>
        <w:rPr>
          <w:rStyle w:val="VerbatimChar"/>
        </w:rPr>
        <w:t xml:space="preserve">/getAllLocation</w:t>
      </w:r>
      <w:r>
        <w:t xml:space="preserve"> (§8.4.1).</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                                         FDE-designated — NOT supplied by /getAllLocation</w:t>
      </w:r>
      <w:r>
        <w:br/>
      </w:r>
      <w:r>
        <w:rPr>
          <w:rStyle w:val="VerbatimChar"/>
        </w:rPr>
        <w:t xml:space="preserve">is_operational           Check      Y   Default 0. Workflow-DERIVED (set by Go Live transition);</w:t>
      </w:r>
      <w:r>
        <w:br/>
      </w:r>
      <w:r>
        <w:rPr>
          <w:rStyle w:val="VerbatimChar"/>
        </w:rPr>
        <w:t xml:space="preserve">                                         not user-toggled, not from payload</w:t>
      </w:r>
      <w:r>
        <w:br/>
      </w:r>
      <w:r>
        <w:rPr>
          <w:rStyle w:val="VerbatimChar"/>
        </w:rPr>
        <w:t xml:space="preserve">is_wms_location          Check      Y   Default 0. Derived on discovery from EE stockHandle</w:t>
      </w:r>
      <w:r>
        <w:br/>
      </w:r>
      <w:r>
        <w:rPr>
          <w:rStyle w:val="VerbatimChar"/>
        </w:rPr>
        <w:t xml:space="preserve">                                         (stockHandle=1 → 1). WMS plan (PO/GRN/cycle-count/putaway)</w:t>
      </w:r>
      <w:r>
        <w:br/>
      </w:r>
      <w:r>
        <w:rPr>
          <w:rStyle w:val="VerbatimChar"/>
        </w:rPr>
        <w:t xml:space="preserve">                                         vs OMS-only. Gates the Section 9 buying/GRN flow. FDE may override</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(payload: company_id)</w:t>
      </w:r>
      <w:r>
        <w:br/>
      </w:r>
      <w:r>
        <w:rPr>
          <w:rStyle w:val="VerbatimChar"/>
        </w:rPr>
        <w:t xml:space="preserve">is_store                 Check      N   EE store-vs-warehouse flag (payload: is_store)</w:t>
      </w:r>
      <w:r>
        <w:br/>
      </w:r>
      <w:r>
        <w:rPr>
          <w:rStyle w:val="VerbatimChar"/>
        </w:rPr>
        <w:t xml:space="preserve">copy_master_from_primary Check      N   Whether this location inherits masters from primary</w:t>
      </w:r>
      <w:r>
        <w:br/>
      </w:r>
      <w:r>
        <w:rPr>
          <w:rStyle w:val="VerbatimChar"/>
        </w:rPr>
        <w:t xml:space="preserve">                                         (payload: copy_master_from_primary). Recorded; not a primary signal</w:t>
      </w:r>
      <w:r>
        <w:br/>
      </w:r>
      <w:r>
        <w:rPr>
          <w:rStyle w:val="VerbatimChar"/>
        </w:rPr>
        <w:t xml:space="preserve">city                     Data       N   payload: city</w:t>
      </w:r>
      <w:r>
        <w:br/>
      </w:r>
      <w:r>
        <w:rPr>
          <w:rStyle w:val="VerbatimChar"/>
        </w:rPr>
        <w:t xml:space="preserve">state                    Data       N   payload: state — GST place-of-supply critical</w:t>
      </w:r>
      <w:r>
        <w:br/>
      </w:r>
      <w:r>
        <w:rPr>
          <w:rStyle w:val="VerbatimChar"/>
        </w:rPr>
        <w:t xml:space="preserve">country                  Data       N   payload: country</w:t>
      </w:r>
      <w:r>
        <w:br/>
      </w:r>
      <w:r>
        <w:rPr>
          <w:rStyle w:val="VerbatimChar"/>
        </w:rPr>
        <w:t xml:space="preserve">pincode                  Data       N   payload: zip (name differs)</w:t>
      </w:r>
      <w:r>
        <w:br/>
      </w:r>
      <w:r>
        <w:rPr>
          <w:rStyle w:val="VerbatimChar"/>
        </w:rPr>
        <w:t xml:space="preserve">address_line             Data       N   payload: address (flat string)</w:t>
      </w:r>
      <w:r>
        <w:br/>
      </w:r>
      <w:r>
        <w:rPr>
          <w:rStyle w:val="VerbatimChar"/>
        </w:rPr>
        <w:t xml:space="preserve">billing_street           Data       N   payload: address type.billing_address.street</w:t>
      </w:r>
      <w:r>
        <w:br/>
      </w:r>
      <w:r>
        <w:rPr>
          <w:rStyle w:val="VerbatimChar"/>
        </w:rPr>
        <w:t xml:space="preserve">billing_state            Data       N   payload: address type.billing_address.state</w:t>
      </w:r>
      <w:r>
        <w:br/>
      </w:r>
      <w:r>
        <w:rPr>
          <w:rStyle w:val="VerbatimChar"/>
        </w:rPr>
        <w:t xml:space="preserve">billing_zipcode          Data       N   payload: address type.billing_address.zipcode</w:t>
      </w:r>
      <w:r>
        <w:br/>
      </w:r>
      <w:r>
        <w:rPr>
          <w:rStyle w:val="VerbatimChar"/>
        </w:rPr>
        <w:t xml:space="preserve">billing_country          Data       N   payload: address type.billing_address.country</w:t>
      </w:r>
      <w:r>
        <w:br/>
      </w:r>
      <w:r>
        <w:rPr>
          <w:rStyle w:val="VerbatimChar"/>
        </w:rPr>
        <w:t xml:space="preserve">pickup_street            Data       N   payload: address type.pickup_address.street</w:t>
      </w:r>
      <w:r>
        <w:br/>
      </w:r>
      <w:r>
        <w:rPr>
          <w:rStyle w:val="VerbatimChar"/>
        </w:rPr>
        <w:t xml:space="preserve">pickup_state             Data       N   payload: address type.pickup_address.state</w:t>
      </w:r>
      <w:r>
        <w:br/>
      </w:r>
      <w:r>
        <w:rPr>
          <w:rStyle w:val="VerbatimChar"/>
        </w:rPr>
        <w:t xml:space="preserve">pickup_zipcode           Data       N   payload: address type.pickup_address.zipcode</w:t>
      </w:r>
      <w:r>
        <w:br/>
      </w:r>
      <w:r>
        <w:rPr>
          <w:rStyle w:val="VerbatimChar"/>
        </w:rPr>
        <w:t xml:space="preserve">pickup_country           Data       N   payload: address type.pickup_address.country</w:t>
      </w:r>
      <w:r>
        <w:br/>
      </w:r>
      <w:r>
        <w:rPr>
          <w:rStyle w:val="VerbatimChar"/>
        </w:rPr>
        <w:t xml:space="preserve">gstin                    Data       N   Validated against India Compliance (operational locations).</w:t>
      </w:r>
      <w:r>
        <w:br/>
      </w:r>
      <w:r>
        <w:rPr>
          <w:rStyle w:val="VerbatimChar"/>
        </w:rPr>
        <w:t xml:space="preserve">                                         NOT supplied by /getAllLocation — FDE-set, never inferred</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Dropped from the /getAllLocation payload (not stored):</w:t>
      </w:r>
      <w:r>
        <w:br/>
      </w:r>
      <w:r>
        <w:rPr>
          <w:rStyle w:val="VerbatimChar"/>
        </w:rPr>
        <w:t xml:space="preserve">#  - api_token : irrelevant today; a credential-shaped string — never stored; redacted if ever logged</w:t>
      </w:r>
      <w:r>
        <w:br/>
      </w:r>
      <w:r>
        <w:rPr>
          <w:rStyle w:val="VerbatimChar"/>
        </w:rPr>
        <w:t xml:space="preserve">#  - userId, "phone number" : not currently mapped. NB "phone number" has a literal space in</w:t>
      </w:r>
      <w:r>
        <w:br/>
      </w:r>
      <w:r>
        <w:rPr>
          <w:rStyle w:val="VerbatimChar"/>
        </w:rPr>
        <w:t xml:space="preserve">#    the EE key — the mapping engine must tolerate space-bearing source keys</w:t>
      </w:r>
      <w:r>
        <w:br/>
      </w:r>
      <w:r>
        <w:rPr>
          <w:rStyle w:val="VerbatimChar"/>
        </w:rPr>
        <w:t xml:space="preserve">#  - (the former spec field ee_company_value is removed — no such field in the real payload)</w:t>
      </w:r>
      <w:r>
        <w:br/>
        <w:br/>
      </w:r>
      <w:r>
        <w:rPr>
          <w:rStyle w:val="VerbatimChar"/>
        </w:rPr>
        <w:t xml:space="preserve"># Validation:</w:t>
      </w:r>
      <w:r>
        <w:br/>
      </w:r>
      <w:r>
        <w:rPr>
          <w:rStyle w:val="VerbatimChar"/>
        </w:rPr>
        <w:t xml:space="preserve">#  - exactly one location per account has is_primary = 1 (FDE-set)</w:t>
      </w:r>
      <w:r>
        <w:br/>
      </w:r>
      <w:r>
        <w:rPr>
          <w:rStyle w:val="VerbatimChar"/>
        </w:rPr>
        <w:t xml:space="preserve">#  - frappe_company presence is governed by workflow state (state-aware invariant):</w:t>
      </w:r>
      <w:r>
        <w:br/>
      </w:r>
      <w:r>
        <w:rPr>
          <w:rStyle w:val="VerbatimChar"/>
        </w:rPr>
        <w:t xml:space="preserve">#      To Map / Skipped (unmapped states)        → frappe_company MUST be empty</w:t>
      </w:r>
      <w:r>
        <w:br/>
      </w:r>
      <w:r>
        <w:rPr>
          <w:rStyle w:val="VerbatimChar"/>
        </w:rPr>
        <w:t xml:space="preserve">#      Mapped but not Live / Live (mapped states) → frappe_company MUST be set</w:t>
      </w:r>
      <w:r>
        <w:br/>
      </w:r>
      <w:r>
        <w:rPr>
          <w:rStyle w:val="VerbatimChar"/>
        </w:rPr>
        <w:t xml:space="preserve">#    Moving to an unmapped state auto-clears frappe_company and mapped_warehouse.</w:t>
      </w:r>
      <w:r>
        <w:br/>
      </w:r>
      <w:r>
        <w:rPr>
          <w:rStyle w:val="VerbatimChar"/>
        </w:rPr>
        <w:t xml:space="preserve">#    The invariant short-circuits when workflow_state is empty (back-fill exemption).</w:t>
      </w:r>
      <w:r>
        <w:br/>
      </w:r>
      <w:r>
        <w:rPr>
          <w:rStyle w:val="VerbatimChar"/>
        </w:rPr>
        <w:t xml:space="preserve">#    (This supersedes the older "required iff is_operational" rule: is_operational=1</w:t>
      </w:r>
      <w:r>
        <w:br/>
      </w:r>
      <w:r>
        <w:rPr>
          <w:rStyle w:val="VerbatimChar"/>
        </w:rPr>
        <w:t xml:space="preserve">#     only occurs in state Live, which already requires a Company.)</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r>
        <w:br/>
      </w:r>
      <w:r>
        <w:rPr>
          <w:rStyle w:val="VerbatimChar"/>
        </w:rPr>
        <w:t xml:space="preserve">#</w:t>
      </w:r>
      <w:r>
        <w:br/>
      </w:r>
      <w:r>
        <w:rPr>
          <w:rStyle w:val="VerbatimChar"/>
        </w:rPr>
        <w:t xml:space="preserve"># Workflow (per §8.4.1): a Frappe Workflow is attached to this DocType (shipped as a</w:t>
      </w:r>
      <w:r>
        <w:br/>
      </w:r>
      <w:r>
        <w:rPr>
          <w:rStyle w:val="VerbatimChar"/>
        </w:rPr>
        <w:t xml:space="preserve"># fixture), adding the standard workflow_state field with states</w:t>
      </w:r>
      <w:r>
        <w:br/>
      </w:r>
      <w:r>
        <w:rPr>
          <w:rStyle w:val="VerbatimChar"/>
        </w:rPr>
        <w:t xml:space="preserve"># To Map | Mapped but not Live | Live | Skipped. The workflow state is the source of</w:t>
      </w:r>
      <w:r>
        <w:br/>
      </w:r>
      <w:r>
        <w:rPr>
          <w:rStyle w:val="VerbatimChar"/>
        </w:rPr>
        <w:t xml:space="preserve"># truth for whether the location is operational; is_operational is DERIVED from it</w:t>
      </w:r>
      <w:r>
        <w:br/>
      </w:r>
      <w:r>
        <w:rPr>
          <w:rStyle w:val="VerbatimChar"/>
        </w:rPr>
        <w:t xml:space="preserve"># (set true by the Go Live transition). Discovery-pull creates new rows in state To Map,</w:t>
      </w:r>
      <w:r>
        <w:br/>
      </w:r>
      <w:r>
        <w:rPr>
          <w:rStyle w:val="VerbatimChar"/>
        </w:rPr>
        <w:t xml:space="preserve"># pre-populating is_wms_location from stockHandle.</w:t>
      </w:r>
    </w:p>
    <w:bookmarkEnd w:id="457"/>
    <w:bookmarkStart w:id="458"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p>
      <w:pPr>
        <w:pStyle w:val="FirstParagraph"/>
      </w:pPr>
      <w:r>
        <w:rPr>
          <w:bCs/>
          <w:b/>
        </w:rPr>
        <w:t xml:space="preserve">Child table — EasyEcom Sync Record Line</w:t>
      </w:r>
      <w:r>
        <w:t xml:space="preserve"> (added with the first nested-document flow, Section 9 GRN; see Section 7.1.1). Populated only by flows whose unit of work is a composite document with nested lines (GRN, Order, Return); single-entity flows (Item/Customer/Supplier) leave it empty.</w:t>
      </w:r>
    </w:p>
    <w:p>
      <w:pPr>
        <w:pStyle w:val="SourceCode"/>
      </w:pPr>
      <w:r>
        <w:rPr>
          <w:rStyle w:val="VerbatimChar"/>
        </w:rPr>
        <w:t xml:space="preserve"># child of EasyEcom Sync Record</w:t>
      </w:r>
      <w:r>
        <w:br/>
      </w:r>
      <w:r>
        <w:rPr>
          <w:rStyle w:val="VerbatimChar"/>
        </w:rPr>
        <w:t xml:space="preserve">source_line_ref          Data       Y   EE-side line identifier (e.g. SKU / line id)</w:t>
      </w:r>
      <w:r>
        <w:br/>
      </w:r>
      <w:r>
        <w:rPr>
          <w:rStyle w:val="VerbatimChar"/>
        </w:rPr>
        <w:t xml:space="preserve">target_field             Data       N   mapped ERPNext target (e.g. item_code)</w:t>
      </w:r>
      <w:r>
        <w:br/>
      </w:r>
      <w:r>
        <w:rPr>
          <w:rStyle w:val="VerbatimChar"/>
        </w:rPr>
        <w:t xml:space="preserve">line_status              Select     Y   OK | Failed | Discrepancy</w:t>
      </w:r>
      <w:r>
        <w:br/>
      </w:r>
      <w:r>
        <w:rPr>
          <w:rStyle w:val="VerbatimChar"/>
        </w:rPr>
        <w:t xml:space="preserve">reason                   Long Text  N   plain-English reason when not OK</w:t>
      </w:r>
      <w:r>
        <w:br/>
      </w:r>
      <w:r>
        <w:rPr>
          <w:rStyle w:val="VerbatimChar"/>
        </w:rPr>
        <w:t xml:space="preserve">ecs_integration_discrepancy Link    N   EasyEcom Integration Discrepancy (set when line_status=Discrepancy; Section 23)</w:t>
      </w:r>
    </w:p>
    <w:bookmarkEnd w:id="458"/>
    <w:bookmarkStart w:id="459"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59"/>
    <w:bookmarkStart w:id="460"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60"/>
    <w:bookmarkStart w:id="461" w:name="easyecom-queue-job"/>
    <w:p>
      <w:pPr>
        <w:pStyle w:val="Heading3"/>
      </w:pPr>
      <w:r>
        <w:t xml:space="preserve">31.2.6 EasyEcom Queue Job</w:t>
      </w:r>
    </w:p>
    <w:p>
      <w:pPr>
        <w:pStyle w:val="FirstParagraph"/>
      </w:pPr>
      <w:r>
        <w:t xml:space="preserve">See Section 6.3.2 for the full schema (already specified there).</w:t>
      </w:r>
    </w:p>
    <w:bookmarkEnd w:id="461"/>
    <w:bookmarkStart w:id="462"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62"/>
    <w:bookmarkStart w:id="463"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63"/>
    <w:bookmarkStart w:id="464"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64"/>
    <w:bookmarkStart w:id="465" w:name="easyecom-replay-plan"/>
    <w:p>
      <w:pPr>
        <w:pStyle w:val="Heading3"/>
      </w:pPr>
      <w:r>
        <w:t xml:space="preserve">31.2.10 EasyEcom Replay Plan</w:t>
      </w:r>
    </w:p>
    <w:p>
      <w:pPr>
        <w:pStyle w:val="FirstParagraph"/>
      </w:pPr>
      <w:r>
        <w:t xml:space="preserve">See Section 19.1 for the full schema (already specified there).</w:t>
      </w:r>
    </w:p>
    <w:bookmarkEnd w:id="465"/>
    <w:bookmarkStart w:id="466" w:name="easyecom-schema-snapshot"/>
    <w:p>
      <w:pPr>
        <w:pStyle w:val="Heading3"/>
      </w:pPr>
      <w:r>
        <w:t xml:space="preserve">31.2.11 EasyEcom Schema Snapshot</w:t>
      </w:r>
    </w:p>
    <w:p>
      <w:pPr>
        <w:pStyle w:val="FirstParagraph"/>
      </w:pPr>
      <w:r>
        <w:t xml:space="preserve">See Section 20.2 for the full schema (already specified there).</w:t>
      </w:r>
    </w:p>
    <w:bookmarkEnd w:id="466"/>
    <w:bookmarkStart w:id="467" w:name="easyecom-payload-sample"/>
    <w:p>
      <w:pPr>
        <w:pStyle w:val="Heading3"/>
      </w:pPr>
      <w:r>
        <w:t xml:space="preserve">31.2.12 EasyEcom Payload Sample</w:t>
      </w:r>
    </w:p>
    <w:p>
      <w:pPr>
        <w:pStyle w:val="FirstParagraph"/>
      </w:pPr>
      <w:r>
        <w:t xml:space="preserve">See Section 20.3.</w:t>
      </w:r>
    </w:p>
    <w:bookmarkEnd w:id="467"/>
    <w:bookmarkStart w:id="468" w:name="easyecom-error-translation"/>
    <w:p>
      <w:pPr>
        <w:pStyle w:val="Heading3"/>
      </w:pPr>
      <w:r>
        <w:t xml:space="preserve">31.2.13 EasyEcom Error Translation</w:t>
      </w:r>
    </w:p>
    <w:p>
      <w:pPr>
        <w:pStyle w:val="FirstParagraph"/>
      </w:pPr>
      <w:r>
        <w:t xml:space="preserve">See Section 25.1.</w:t>
      </w:r>
    </w:p>
    <w:bookmarkEnd w:id="468"/>
    <w:bookmarkStart w:id="469" w:name="easyecom-sla-budget"/>
    <w:p>
      <w:pPr>
        <w:pStyle w:val="Heading3"/>
      </w:pPr>
      <w:r>
        <w:t xml:space="preserve">31.2.14 EasyEcom SLA Budget</w:t>
      </w:r>
    </w:p>
    <w:p>
      <w:pPr>
        <w:pStyle w:val="FirstParagraph"/>
      </w:pPr>
      <w:r>
        <w:t xml:space="preserve">See Section 21.1.</w:t>
      </w:r>
    </w:p>
    <w:bookmarkEnd w:id="469"/>
    <w:bookmarkStart w:id="470" w:name="easyecom-sla-breach"/>
    <w:p>
      <w:pPr>
        <w:pStyle w:val="Heading3"/>
      </w:pPr>
      <w:r>
        <w:t xml:space="preserve">31.2.15 EasyEcom SLA Breach</w:t>
      </w:r>
    </w:p>
    <w:p>
      <w:pPr>
        <w:pStyle w:val="FirstParagraph"/>
      </w:pPr>
      <w:r>
        <w:t xml:space="preserve">See Section 21.4.</w:t>
      </w:r>
    </w:p>
    <w:bookmarkEnd w:id="470"/>
    <w:bookmarkStart w:id="471"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71"/>
    <w:bookmarkStart w:id="472" w:name="easyecom-morning-brief-snapshot"/>
    <w:p>
      <w:pPr>
        <w:pStyle w:val="Heading3"/>
      </w:pPr>
      <w:r>
        <w:t xml:space="preserve">31.2.17 EasyEcom Morning Brief Snapshot</w:t>
      </w:r>
    </w:p>
    <w:p>
      <w:pPr>
        <w:pStyle w:val="FirstParagraph"/>
      </w:pPr>
      <w:r>
        <w:t xml:space="preserve">See Section 24.2.</w:t>
      </w:r>
    </w:p>
    <w:bookmarkEnd w:id="472"/>
    <w:bookmarkStart w:id="473" w:name="marketplace-the-flat-channel-list"/>
    <w:p>
      <w:pPr>
        <w:pStyle w:val="Heading3"/>
      </w:pPr>
      <w:r>
        <w:t xml:space="preserve">31.2.18 Marketplace (the flat channel list)</w:t>
      </w:r>
    </w:p>
    <w:p>
      <w:pPr>
        <w:pStyle w:val="FirstParagraph"/>
      </w:pPr>
      <w:r>
        <w:t xml:space="preserve">One row per EasyEcom channel, keyed by EE marketplace_id (account-level identity — deduped across locations). Read from </w:t>
      </w:r>
      <w:r>
        <w:rPr>
          <w:rStyle w:val="VerbatimChar"/>
        </w:rPr>
        <w:t xml:space="preserve">/current-channel-status</w:t>
      </w:r>
      <w:r>
        <w:t xml:space="preserve"> (Section 8.6) — a </w:t>
      </w:r>
      <w:r>
        <w:rPr>
          <w:bCs/>
          <w:b/>
        </w:rPr>
        <w:t xml:space="preserve">per-location</w:t>
      </w:r>
      <w:r>
        <w:t xml:space="preserve"> call (per-location JWT), swept across </w:t>
      </w:r>
      <w:r>
        <w:rPr>
          <w:bCs/>
          <w:b/>
        </w:rPr>
        <w:t xml:space="preserve">all</w:t>
      </w:r>
      <w:r>
        <w:t xml:space="preserve"> discovered locations and deduped by </w:t>
      </w:r>
      <w:r>
        <w:rPr>
          <w:rStyle w:val="VerbatimChar"/>
        </w:rPr>
        <w:t xml:space="preserve">marketplace_id</w:t>
      </w:r>
      <w:r>
        <w:t xml:space="preserve"> (skip if the row already exists). The payload→field mapping goes through the </w:t>
      </w:r>
      <w:r>
        <w:rPr>
          <w:rStyle w:val="VerbatimChar"/>
        </w:rPr>
        <w:t xml:space="preserve">EasyEcom-Channel-Pull</w:t>
      </w:r>
      <w:r>
        <w:t xml:space="preserve"> ruleset (§8.0 policy), not a hardcoded mapper.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N   B2C Marketplace | B2B | Quick-Commerce | Own Storefront | POS-Offline | Connector-Ignore. FDE-classified via the workflow (blank until classified); the Classify transition is gated on this being set</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FDE-set; not supplied by EE; not a claim about EE structure</w:t>
      </w:r>
      <w:r>
        <w:br/>
      </w:r>
      <w:r>
        <w:rPr>
          <w:rStyle w:val="VerbatimChar"/>
        </w:rPr>
        <w:t xml:space="preserve">default_customer_pattern Data       N   e.g., 'Amazon FBA Buyer Pool' (for B2C marketplace channels)</w:t>
      </w:r>
      <w:r>
        <w:br/>
      </w:r>
      <w:r>
        <w:rPr>
          <w:rStyle w:val="VerbatimChar"/>
        </w:rPr>
        <w:t xml:space="preserve">is_active                Check      Y   Active if the channel is Active on ANY location (catalogue-level, deduped across the per-location sweep). EE's integration status — a SEPARATE axis from workflow_state</w:t>
      </w:r>
      <w:r>
        <w:br/>
      </w:r>
      <w:r>
        <w:rPr>
          <w:rStyle w:val="VerbatimChar"/>
        </w:rPr>
        <w:t xml:space="preserve">enabled                  Check      Y   Default 1 (our-side per-channel kill-switch)</w:t>
      </w:r>
      <w:r>
        <w:br/>
        <w:br/>
      </w:r>
      <w:r>
        <w:rPr>
          <w:rStyle w:val="VerbatimChar"/>
        </w:rPr>
        <w:t xml:space="preserve"># Workflow (per §8.6.3): a Frappe Workflow is attached (shipped as a fixture, reusing the 8a</w:t>
      </w:r>
      <w:r>
        <w:br/>
      </w:r>
      <w:r>
        <w:rPr>
          <w:rStyle w:val="VerbatimChar"/>
        </w:rPr>
        <w:t xml:space="preserve"># Location pattern), adding workflow_state with states Unclassified → Classified → Active,</w:t>
      </w:r>
      <w:r>
        <w:br/>
      </w:r>
      <w:r>
        <w:rPr>
          <w:rStyle w:val="VerbatimChar"/>
        </w:rPr>
        <w:t xml:space="preserve"># branch Ignored. Discovery creates new rows in Unclassified. is_active (pulled) and</w:t>
      </w:r>
      <w:r>
        <w:br/>
      </w:r>
      <w:r>
        <w:rPr>
          <w:rStyle w:val="VerbatimChar"/>
        </w:rPr>
        <w:t xml:space="preserve"># workflow_state (our classification lifecycle) are independent.</w:t>
      </w:r>
      <w:r>
        <w:br/>
      </w:r>
      <w:r>
        <w:rPr>
          <w:rStyle w:val="VerbatimChar"/>
        </w:rPr>
        <w:t xml:space="preserve">#</w:t>
      </w:r>
      <w:r>
        <w:br/>
      </w:r>
      <w:r>
        <w:rPr>
          <w:rStyle w:val="VerbatimChar"/>
        </w:rPr>
        <w:t xml:space="preserve"># Deferred to reconciliation (NOT built in the Channel packet 8b):</w:t>
      </w:r>
      <w:r>
        <w:br/>
      </w:r>
      <w:r>
        <w:rPr>
          <w:rStyle w:val="VerbatimChar"/>
        </w:rPr>
        <w:t xml:space="preserve">#  - default_settlement_template — a settlement concern; lives with Marketplace Account (§8.6.2),</w:t>
      </w:r>
      <w:r>
        <w:br/>
      </w:r>
      <w:r>
        <w:rPr>
          <w:rStyle w:val="VerbatimChar"/>
        </w:rPr>
        <w:t xml:space="preserve">#    built when reconciliation is built.</w:t>
      </w:r>
    </w:p>
    <w:bookmarkEnd w:id="473"/>
    <w:bookmarkStart w:id="474"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74"/>
    <w:bookmarkStart w:id="475"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75"/>
    <w:bookmarkStart w:id="476"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6"/>
    <w:bookmarkStart w:id="477"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77"/>
    <w:bookmarkStart w:id="478" w:name="source-of-truth-map"/>
    <w:p>
      <w:pPr>
        <w:pStyle w:val="Heading3"/>
      </w:pPr>
      <w:r>
        <w:t xml:space="preserve">31.2.23 Source-of-Truth Map</w:t>
      </w:r>
    </w:p>
    <w:p>
      <w:pPr>
        <w:pStyle w:val="FirstParagraph"/>
      </w:pPr>
      <w:r>
        <w:t xml:space="preserve">Per-location (per-Warehouse) mapping. The full DocType — including the inventory-authority fields — is built with the Location packet (§8.4.1-8.4.2) and FDE-configured at onboarding; the later flows (§9-11) read these fields rather than add them. Keyed per location; location→Company is many-to-one, so a Company may own several rows.</w:t>
      </w:r>
    </w:p>
    <w:p>
      <w:pPr>
        <w:pStyle w:val="SourceCode"/>
      </w:pPr>
      <w:r>
        <w:rPr>
          <w:rStyle w:val="VerbatimChar"/>
        </w:rPr>
        <w:t xml:space="preserve">map_name                 Data       Y   autoname {company}-{warehouse}</w:t>
      </w:r>
      <w:r>
        <w:br/>
      </w:r>
      <w:r>
        <w:rPr>
          <w:rStyle w:val="VerbatimChar"/>
        </w:rPr>
        <w:t xml:space="preserve">company                  Link       Y   Resolved from the linked location's frappe_company</w:t>
      </w:r>
      <w:r>
        <w:br/>
      </w:r>
      <w:r>
        <w:rPr>
          <w:rStyle w:val="VerbatimChar"/>
        </w:rPr>
        <w:t xml:space="preserve">warehouse                Link       Y   Warehouse</w:t>
      </w:r>
      <w:r>
        <w:br/>
      </w:r>
      <w:r>
        <w:rPr>
          <w:rStyle w:val="VerbatimChar"/>
        </w:rPr>
        <w:t xml:space="preserve">ee_location_key          Link       N   EasyEcom Location (null if ERPNext-only / internal-only)</w:t>
      </w:r>
      <w:r>
        <w:br/>
      </w:r>
      <w:r>
        <w:rPr>
          <w:rStyle w:val="VerbatimChar"/>
        </w:rPr>
        <w:t xml:space="preserve">is_linked                Check      Y   Computed: True iff ee_location_key is set</w:t>
      </w:r>
      <w:r>
        <w:br/>
      </w:r>
      <w:r>
        <w:rPr>
          <w:rStyle w:val="VerbatimChar"/>
        </w:rPr>
        <w:t xml:space="preserve">inventory_master         Select     Y   ERPNext | EasyEcom — authoritative running balance (read by §9/§10)</w:t>
      </w:r>
      <w:r>
        <w:br/>
      </w:r>
      <w:r>
        <w:rPr>
          <w:rStyle w:val="VerbatimChar"/>
        </w:rPr>
        <w:t xml:space="preserve">pr_origination           Select     Y   ERPNext direct | EasyEcom GRN flow — who originates PRs (read by §9)</w:t>
      </w:r>
      <w:r>
        <w:br/>
      </w:r>
      <w:r>
        <w:rPr>
          <w:rStyle w:val="VerbatimChar"/>
        </w:rPr>
        <w:t xml:space="preserve">adjustment_origination   Select     Y   ERPNext | EasyEcom — who originates stock adjustments (read by §10)</w:t>
      </w:r>
      <w:r>
        <w:br/>
      </w:r>
      <w:r>
        <w:rPr>
          <w:rStyle w:val="VerbatimChar"/>
        </w:rPr>
        <w:t xml:space="preserve">mirror_stock_reservations Check     N   Mirror EE reservation → ERPNext SRE (read by §11)</w:t>
      </w:r>
      <w:r>
        <w:br/>
      </w:r>
      <w:r>
        <w:rPr>
          <w:rStyle w:val="VerbatimChar"/>
        </w:rPr>
        <w:t xml:space="preserve">allow_negative_stock     Check      N   Default 0</w:t>
      </w:r>
      <w:r>
        <w:br/>
      </w:r>
      <w:r>
        <w:rPr>
          <w:rStyle w:val="VerbatimChar"/>
        </w:rPr>
        <w:t xml:space="preserve">enabled                  Check      Y   Default 1; per-warehouse kill-switch</w:t>
      </w:r>
      <w:r>
        <w:br/>
      </w:r>
      <w:r>
        <w:rPr>
          <w:rStyle w:val="VerbatimChar"/>
        </w:rPr>
        <w:t xml:space="preserve">notes                    Small Text N</w:t>
      </w:r>
      <w:r>
        <w:br/>
        <w:br/>
      </w:r>
      <w:r>
        <w:rPr>
          <w:rStyle w:val="VerbatimChar"/>
        </w:rPr>
        <w:t xml:space="preserve"># Indexes: (company, warehouse) UNIQUE</w:t>
      </w:r>
      <w:r>
        <w:br/>
      </w:r>
      <w:r>
        <w:rPr>
          <w:rStyle w:val="VerbatimChar"/>
        </w:rPr>
        <w:t xml:space="preserve"># All fields built with the Location packet; the §9-11 flows read the authority fields.</w:t>
      </w:r>
    </w:p>
    <w:bookmarkEnd w:id="478"/>
    <w:bookmarkEnd w:id="479"/>
    <w:bookmarkStart w:id="487"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80"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80"/>
    <w:bookmarkStart w:id="481"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/getAllLocation                          # confirmed live; returns the account's location array (see §8.4.1 for the real payload + field mapping)</w:t>
      </w:r>
      <w:r>
        <w:br/>
        <w:br/>
      </w:r>
      <w:r>
        <w:rPr>
          <w:rStyle w:val="VerbatimChar"/>
        </w:rPr>
        <w:t xml:space="preserve"># Channels</w:t>
      </w:r>
      <w:r>
        <w:br/>
      </w:r>
      <w:r>
        <w:rPr>
          <w:rStyle w:val="VerbatimChar"/>
        </w:rPr>
        <w:t xml:space="preserve">GET  /current-channel-status                  # confirmed live; channels integrated ON ONE LOCATION (per-location JWT), with Active/Inactive status. Channel sync sweeps this across ALL locations + dedupes by marketplace_id (§8.6.3)</w:t>
      </w:r>
      <w:r>
        <w:br/>
      </w:r>
      <w:r>
        <w:rPr>
          <w:rStyle w:val="VerbatimChar"/>
        </w:rPr>
        <w:t xml:space="preserve"># GET /marketplaces/list  — NOT used (earlier-draft "full catalogue" assumption; /current-channel-status is sufficient)</w:t>
      </w:r>
    </w:p>
    <w:bookmarkEnd w:id="481"/>
    <w:bookmarkStart w:id="482"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82"/>
    <w:bookmarkStart w:id="483"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83"/>
    <w:bookmarkStart w:id="484"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84"/>
    <w:bookmarkStart w:id="485"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85"/>
    <w:bookmarkStart w:id="486"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6"/>
    <w:bookmarkEnd w:id="487"/>
    <w:bookmarkStart w:id="497"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88"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88"/>
    <w:bookmarkStart w:id="489"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89"/>
    <w:bookmarkStart w:id="490"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90"/>
    <w:bookmarkStart w:id="491"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91"/>
    <w:bookmarkStart w:id="492"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92"/>
    <w:bookmarkStart w:id="493"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93"/>
    <w:bookmarkStart w:id="494"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94"/>
    <w:bookmarkStart w:id="495"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95"/>
    <w:bookmarkStart w:id="496"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6"/>
    <w:bookmarkEnd w:id="497"/>
    <w:bookmarkStart w:id="498"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498"/>
    <w:bookmarkStart w:id="499"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499"/>
    <w:bookmarkStart w:id="505"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500"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500"/>
    <w:bookmarkStart w:id="501"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80"/>
        </w:numPr>
      </w:pPr>
      <w:r>
        <w:t xml:space="preserve">Marketplace (the flat channel list) — read by all integration roles; write by System Manager</w:t>
      </w:r>
    </w:p>
    <w:p>
      <w:pPr>
        <w:pStyle w:val="Compact"/>
        <w:numPr>
          <w:ilvl w:val="0"/>
          <w:numId w:val="1280"/>
        </w:numPr>
      </w:pPr>
      <w:r>
        <w:t xml:space="preserve">EasyEcom Field Mapping (when company_scope is empty) — read by all FDE roles; write by System Manager</w:t>
      </w:r>
    </w:p>
    <w:p>
      <w:pPr>
        <w:pStyle w:val="Compact"/>
        <w:numPr>
          <w:ilvl w:val="0"/>
          <w:numId w:val="1280"/>
        </w:numPr>
      </w:pPr>
      <w:r>
        <w:t xml:space="preserve">EasyEcom Error Translation (when not Company-scoped) — same</w:t>
      </w:r>
    </w:p>
    <w:bookmarkEnd w:id="501"/>
    <w:bookmarkStart w:id="502"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81"/>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81"/>
        </w:numPr>
      </w:pPr>
      <w:r>
        <w:t xml:space="preserve">Other sections (Sync Window, Sync Tuning, GRN Policy, Alerts): Accounts Manager + System Manager</w:t>
      </w:r>
    </w:p>
    <w:bookmarkEnd w:id="502"/>
    <w:bookmarkStart w:id="503"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503"/>
    <w:bookmarkStart w:id="504"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504"/>
    <w:bookmarkEnd w:id="505"/>
    <w:bookmarkStart w:id="511" w:name="frappe-hooks-registry"/>
    <w:p>
      <w:pPr>
        <w:pStyle w:val="Heading2"/>
      </w:pPr>
      <w:r>
        <w:t xml:space="preserve">31.8 Frappe hooks registry</w:t>
      </w:r>
    </w:p>
    <w:p>
      <w:pPr>
        <w:pStyle w:val="FirstParagraph"/>
      </w:pPr>
      <w:r>
        <w:t xml:space="preserve">The parent app’s hooks.py registers the following hooks:</w:t>
      </w:r>
    </w:p>
    <w:bookmarkStart w:id="506"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6"/>
    <w:bookmarkStart w:id="507"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07"/>
    <w:bookmarkStart w:id="508"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08"/>
    <w:bookmarkStart w:id="509"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09"/>
    <w:bookmarkStart w:id="510"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10"/>
    <w:bookmarkEnd w:id="511"/>
    <w:bookmarkStart w:id="512"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82"/>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82"/>
        </w:numPr>
      </w:pPr>
      <w:r>
        <w:t xml:space="preserve">Field Mapping engine: compiler, executor, transformers, exceptions, FDE editing UI</w:t>
      </w:r>
    </w:p>
    <w:p>
      <w:pPr>
        <w:pStyle w:val="Compact"/>
        <w:numPr>
          <w:ilvl w:val="0"/>
          <w:numId w:val="1282"/>
        </w:numPr>
      </w:pPr>
      <w:r>
        <w:t xml:space="preserve">Master sync (Item, Customer, Supplier, Warehouse, Tax Category, Channel) — uses Field Mapping engine; first real exercise of the integration</w:t>
      </w:r>
    </w:p>
    <w:p>
      <w:pPr>
        <w:pStyle w:val="Compact"/>
        <w:numPr>
          <w:ilvl w:val="0"/>
          <w:numId w:val="1282"/>
        </w:numPr>
      </w:pPr>
      <w:r>
        <w:t xml:space="preserve">Buying flow (PO push, GRN pull, PR creation)</w:t>
      </w:r>
    </w:p>
    <w:p>
      <w:pPr>
        <w:pStyle w:val="Compact"/>
        <w:numPr>
          <w:ilvl w:val="0"/>
          <w:numId w:val="1282"/>
        </w:numPr>
      </w:pPr>
      <w:r>
        <w:t xml:space="preserve">Stock transfers</w:t>
      </w:r>
    </w:p>
    <w:p>
      <w:pPr>
        <w:pStyle w:val="Compact"/>
        <w:numPr>
          <w:ilvl w:val="0"/>
          <w:numId w:val="1282"/>
        </w:numPr>
      </w:pPr>
      <w:r>
        <w:t xml:space="preserve">B2C sales (manifests, SI creation, Marketplace Order Map)</w:t>
      </w:r>
    </w:p>
    <w:p>
      <w:pPr>
        <w:pStyle w:val="Compact"/>
        <w:numPr>
          <w:ilvl w:val="0"/>
          <w:numId w:val="1282"/>
        </w:numPr>
      </w:pPr>
      <w:r>
        <w:t xml:space="preserve">B2B sales (SO push, Stock Reservation Entry mirror, B2B invoice flow)</w:t>
      </w:r>
    </w:p>
    <w:p>
      <w:pPr>
        <w:pStyle w:val="Compact"/>
        <w:numPr>
          <w:ilvl w:val="0"/>
          <w:numId w:val="1282"/>
        </w:numPr>
      </w:pPr>
      <w:r>
        <w:t xml:space="preserve">Returns and cancellations</w:t>
      </w:r>
    </w:p>
    <w:p>
      <w:pPr>
        <w:pStyle w:val="Compact"/>
        <w:numPr>
          <w:ilvl w:val="0"/>
          <w:numId w:val="1282"/>
        </w:numPr>
      </w:pPr>
      <w:r>
        <w:t xml:space="preserve">Must-have operational surface: Recon-Aware Alerts, Morning Brief, Error Translation library, Operational Workspace shell</w:t>
      </w:r>
    </w:p>
    <w:p>
      <w:pPr>
        <w:pStyle w:val="Compact"/>
        <w:numPr>
          <w:ilvl w:val="0"/>
          <w:numId w:val="1282"/>
        </w:numPr>
      </w:pPr>
      <w:r>
        <w:t xml:space="preserve">v0.1-alpha cut at week 32 — internal release</w:t>
      </w:r>
    </w:p>
    <w:p>
      <w:pPr>
        <w:pStyle w:val="Compact"/>
        <w:numPr>
          <w:ilvl w:val="0"/>
          <w:numId w:val="1282"/>
        </w:numPr>
      </w:pPr>
      <w:r>
        <w:t xml:space="preserve">Hardening + analytics layer (queryable analytics on logs)</w:t>
      </w:r>
    </w:p>
    <w:p>
      <w:pPr>
        <w:pStyle w:val="Compact"/>
        <w:numPr>
          <w:ilvl w:val="0"/>
          <w:numId w:val="1282"/>
        </w:numPr>
      </w:pPr>
      <w:r>
        <w:t xml:space="preserve">Replay tooling</w:t>
      </w:r>
    </w:p>
    <w:p>
      <w:pPr>
        <w:pStyle w:val="Compact"/>
        <w:numPr>
          <w:ilvl w:val="0"/>
          <w:numId w:val="1282"/>
        </w:numPr>
      </w:pPr>
      <w:r>
        <w:t xml:space="preserve">SLA tracking + Cross-Company ops</w:t>
      </w:r>
    </w:p>
    <w:p>
      <w:pPr>
        <w:pStyle w:val="Compact"/>
        <w:numPr>
          <w:ilvl w:val="0"/>
          <w:numId w:val="1282"/>
        </w:numPr>
      </w:pPr>
      <w:r>
        <w:t xml:space="preserve">Schema drift + Time travel</w:t>
      </w:r>
    </w:p>
    <w:p>
      <w:pPr>
        <w:pStyle w:val="Compact"/>
        <w:numPr>
          <w:ilvl w:val="0"/>
          <w:numId w:val="1282"/>
        </w:numPr>
      </w:pPr>
      <w:r>
        <w:t xml:space="preserve">v0.1 final hardening at week 46 — pilot-ready</w:t>
      </w:r>
    </w:p>
    <w:bookmarkEnd w:id="512"/>
    <w:bookmarkStart w:id="513"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83"/>
        </w:numPr>
      </w:pPr>
      <w:r>
        <w:t xml:space="preserve">Treat this section as the schema source of truth; treat earlier sections as the design rationale</w:t>
      </w:r>
    </w:p>
    <w:p>
      <w:pPr>
        <w:pStyle w:val="Compact"/>
        <w:numPr>
          <w:ilvl w:val="0"/>
          <w:numId w:val="1283"/>
        </w:numPr>
      </w:pPr>
      <w:r>
        <w:t xml:space="preserve">When in doubt about a field name or fieldtype, prefer the convention here over inventing new</w:t>
      </w:r>
    </w:p>
    <w:p>
      <w:pPr>
        <w:pStyle w:val="Compact"/>
        <w:numPr>
          <w:ilvl w:val="0"/>
          <w:numId w:val="1283"/>
        </w:numPr>
      </w:pPr>
      <w:r>
        <w:t xml:space="preserve">Implement DocTypes in the order specified in 31.9 — dependencies are real</w:t>
      </w:r>
    </w:p>
    <w:p>
      <w:pPr>
        <w:pStyle w:val="Compact"/>
        <w:numPr>
          <w:ilvl w:val="0"/>
          <w:numId w:val="1283"/>
        </w:numPr>
      </w:pPr>
      <w:r>
        <w:t xml:space="preserve">Always include the indexes specified in field schemas; index choices were made for query patterns the spec depends on</w:t>
      </w:r>
    </w:p>
    <w:p>
      <w:pPr>
        <w:pStyle w:val="Compact"/>
        <w:numPr>
          <w:ilvl w:val="0"/>
          <w:numId w:val="1283"/>
        </w:numPr>
      </w:pPr>
      <w:r>
        <w:t xml:space="preserve">Always raise the specific exception class from 31.5; do not raise generic Exception</w:t>
      </w:r>
    </w:p>
    <w:p>
      <w:pPr>
        <w:pStyle w:val="Compact"/>
        <w:numPr>
          <w:ilvl w:val="0"/>
          <w:numId w:val="1283"/>
        </w:numPr>
      </w:pPr>
      <w:r>
        <w:t xml:space="preserve">Always pass correlation_id through the call stack; do not generate new IDs at intermediate layers</w:t>
      </w:r>
    </w:p>
    <w:p>
      <w:pPr>
        <w:pStyle w:val="Compact"/>
        <w:numPr>
          <w:ilvl w:val="0"/>
          <w:numId w:val="1283"/>
        </w:numPr>
      </w:pPr>
      <w:r>
        <w:t>Always call the Field Mapping engine for translation; do not write hardcoded translations even if ‘simpler’</w:t>
      </w:r>
    </w:p>
    <w:p>
      <w:pPr>
        <w:pStyle w:val="Compact"/>
        <w:numPr>
          <w:ilvl w:val="0"/>
          <w:numId w:val="1283"/>
        </w:numPr>
      </w:pPr>
      <w:r>
        <w:t>Always call the Error Translation library for failed records; do not bypass it for ‘common’ errors</w:t>
      </w:r>
    </w:p>
    <w:p>
      <w:pPr>
        <w:pStyle w:val="Compact"/>
        <w:numPr>
          <w:ilvl w:val="0"/>
          <w:numId w:val="1283"/>
        </w:numPr>
      </w:pPr>
      <w:r>
        <w:t xml:space="preserve">Always include a test for every flow at the unit + integration tier minimum (Section 28.1)</w:t>
      </w:r>
    </w:p>
    <w:p>
      <w:pPr>
        <w:pStyle w:val="Compact"/>
        <w:numPr>
          <w:ilvl w:val="0"/>
          <w:numId w:val="1283"/>
        </w:numPr>
      </w:pPr>
      <w:r>
        <w:t>Always update the Configuration Audit log when modifying configuration; never skip the audit even for ‘small’ changes</w:t>
      </w:r>
    </w:p>
    <w:bookmarkEnd w:id="513"/>
    <w:bookmarkEnd w:id="5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2026-05-25T17:46:05Z</dcterms:created>
  <dcterms:modified xsi:type="dcterms:W3CDTF">2026-05-25T17:46:05Z</dcterms:modified>
</cp:coreProperties>
</file>

<file path=docProps/custom.xml><?xml version="1.0" encoding="utf-8"?>
<Properties xmlns="http://schemas.openxmlformats.org/officeDocument/2006/custom-properties" xmlns:vt="http://schemas.openxmlformats.org/officeDocument/2006/docPropsVTypes"/>
</file>