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B2E0" w14:textId="0A6E3544" w:rsidR="004051C9" w:rsidRPr="00436922" w:rsidRDefault="0016700A" w:rsidP="00484E11">
      <w:pPr>
        <w:pStyle w:val="Heading1"/>
        <w:spacing w:before="120" w:line="278" w:lineRule="auto"/>
        <w:rPr>
          <w:lang w:val="fr-CA"/>
        </w:rPr>
      </w:pPr>
      <w:r>
        <w:rPr>
          <w:lang w:val="fr-CA"/>
        </w:rPr>
        <w:t>Un</w:t>
      </w:r>
      <w:r w:rsidR="00024D8D" w:rsidRPr="00436922">
        <w:rPr>
          <w:b/>
          <w:bCs/>
          <w:lang w:val="fr-CA"/>
        </w:rPr>
        <w:t xml:space="preserve"> </w:t>
      </w:r>
      <w:r w:rsidR="00024D8D" w:rsidRPr="00436922">
        <w:rPr>
          <w:lang w:val="fr-CA"/>
        </w:rPr>
        <w:t>Canada</w:t>
      </w:r>
      <w:r>
        <w:rPr>
          <w:lang w:val="fr-CA"/>
        </w:rPr>
        <w:t xml:space="preserve"> accessible</w:t>
      </w:r>
      <w:r w:rsidR="00024D8D" w:rsidRPr="00436922">
        <w:rPr>
          <w:lang w:val="fr-CA"/>
        </w:rPr>
        <w:t xml:space="preserve">, </w:t>
      </w:r>
      <w:r>
        <w:rPr>
          <w:lang w:val="fr-CA"/>
        </w:rPr>
        <w:t>Un monde a</w:t>
      </w:r>
      <w:r w:rsidR="00024D8D" w:rsidRPr="00436922">
        <w:rPr>
          <w:lang w:val="fr-CA"/>
        </w:rPr>
        <w:t xml:space="preserve">ccessible </w:t>
      </w:r>
    </w:p>
    <w:p w14:paraId="3622DE8E" w14:textId="4EF9CC19" w:rsidR="00436922" w:rsidRPr="00436922" w:rsidRDefault="00B3574B" w:rsidP="0016700A">
      <w:pPr>
        <w:pStyle w:val="Heading2"/>
        <w:rPr>
          <w:lang w:val="fr-CA"/>
        </w:rPr>
      </w:pPr>
      <w:r w:rsidRPr="00B3574B">
        <w:rPr>
          <w:rFonts w:eastAsia="MS Gothic"/>
          <w:noProof/>
          <w:lang w:val="fr-CA" w:eastAsia="ja-JP"/>
        </w:rPr>
        <w:t xml:space="preserve">Résumé </w:t>
      </w:r>
      <w:r w:rsidR="00847E4F">
        <w:rPr>
          <w:rFonts w:eastAsia="MS Gothic"/>
          <w:noProof/>
          <w:lang w:val="fr-CA" w:eastAsia="ja-JP"/>
        </w:rPr>
        <w:t>e</w:t>
      </w:r>
      <w:r w:rsidRPr="00B3574B">
        <w:rPr>
          <w:rFonts w:eastAsia="MS Gothic"/>
          <w:noProof/>
          <w:lang w:val="fr-CA" w:eastAsia="ja-JP"/>
        </w:rPr>
        <w:t xml:space="preserve">xécutif en </w:t>
      </w:r>
      <w:r w:rsidR="00847E4F">
        <w:rPr>
          <w:rFonts w:eastAsia="MS Gothic"/>
          <w:noProof/>
          <w:lang w:val="fr-CA" w:eastAsia="ja-JP"/>
        </w:rPr>
        <w:t>l</w:t>
      </w:r>
      <w:r w:rsidRPr="00B3574B">
        <w:rPr>
          <w:rFonts w:eastAsia="MS Gothic"/>
          <w:noProof/>
          <w:lang w:val="fr-CA" w:eastAsia="ja-JP"/>
        </w:rPr>
        <w:t xml:space="preserve">angage </w:t>
      </w:r>
      <w:r w:rsidR="00847E4F">
        <w:rPr>
          <w:rFonts w:eastAsia="MS Gothic"/>
          <w:noProof/>
          <w:lang w:val="fr-CA" w:eastAsia="ja-JP"/>
        </w:rPr>
        <w:t>s</w:t>
      </w:r>
      <w:r w:rsidRPr="00B3574B">
        <w:rPr>
          <w:rFonts w:eastAsia="MS Gothic"/>
          <w:noProof/>
          <w:lang w:val="fr-CA" w:eastAsia="ja-JP"/>
        </w:rPr>
        <w:t>imple</w:t>
      </w:r>
    </w:p>
    <w:p w14:paraId="61D22F19" w14:textId="25F30633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 xml:space="preserve">Le projet Un Canada accessible, Un monde accessible </w:t>
      </w:r>
      <w:r>
        <w:rPr>
          <w:lang w:val="fr-CA"/>
        </w:rPr>
        <w:t xml:space="preserve">(CAMA) </w:t>
      </w:r>
      <w:r w:rsidRPr="0016700A">
        <w:rPr>
          <w:lang w:val="fr-CA"/>
        </w:rPr>
        <w:t>2024 a été dirigé par le Centre de recherche sur la conception inclusive de l'Université OCAD. Il a été financé par Normes d’accessibilité Canada pour aider à améliorer les normes d’accessibilité au Canada.</w:t>
      </w:r>
    </w:p>
    <w:p w14:paraId="5765C7A5" w14:textId="77777777" w:rsidR="0016700A" w:rsidRPr="0016700A" w:rsidRDefault="0016700A" w:rsidP="005F2F6B">
      <w:pPr>
        <w:pStyle w:val="Heading2"/>
        <w:rPr>
          <w:lang w:val="fr-CA"/>
        </w:rPr>
      </w:pPr>
      <w:r w:rsidRPr="0016700A">
        <w:rPr>
          <w:lang w:val="fr-CA"/>
        </w:rPr>
        <w:t>Quel était le but ?</w:t>
      </w:r>
    </w:p>
    <w:p w14:paraId="76A8DE8D" w14:textId="77777777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 xml:space="preserve">L'objectif était de réunir des personnes handicapées, des experts et des membres de la communauté pour discuter des problèmes d'accessibilité et </w:t>
      </w:r>
      <w:proofErr w:type="spellStart"/>
      <w:r w:rsidRPr="0016700A">
        <w:rPr>
          <w:lang w:val="fr-CA"/>
        </w:rPr>
        <w:t>co-concevoir</w:t>
      </w:r>
      <w:proofErr w:type="spellEnd"/>
      <w:r w:rsidRPr="0016700A">
        <w:rPr>
          <w:lang w:val="fr-CA"/>
        </w:rPr>
        <w:t xml:space="preserve"> des façons de les résoudre. Le projet visait à :</w:t>
      </w:r>
    </w:p>
    <w:p w14:paraId="476ED0B7" w14:textId="1300FB83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Établir un réseau national d’experts en accessibilité.</w:t>
      </w:r>
    </w:p>
    <w:p w14:paraId="0149E250" w14:textId="598B678A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Impliquer les personnes handicapées dans toutes les parties de la recherche.</w:t>
      </w:r>
    </w:p>
    <w:p w14:paraId="0A7BC4C6" w14:textId="7EA6EC66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Partager des connaissances, des outils et des idées pour éliminer les obstacles.</w:t>
      </w:r>
    </w:p>
    <w:p w14:paraId="49388BC4" w14:textId="77777777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>Ce travail a directement soutenu les priorités du programme de financement en aidant à identifier, à éliminer et à prévenir les obstacles à l’accessibilité dans les domaines sous responsabilité fédérale.</w:t>
      </w:r>
    </w:p>
    <w:p w14:paraId="1956A726" w14:textId="77777777" w:rsidR="0016700A" w:rsidRPr="0016700A" w:rsidRDefault="0016700A" w:rsidP="005F2F6B">
      <w:pPr>
        <w:pStyle w:val="Heading2"/>
        <w:rPr>
          <w:lang w:val="fr-CA"/>
        </w:rPr>
      </w:pPr>
      <w:r w:rsidRPr="0016700A">
        <w:rPr>
          <w:lang w:val="fr-CA"/>
        </w:rPr>
        <w:t>Qu'avons-nous fait ?</w:t>
      </w:r>
    </w:p>
    <w:p w14:paraId="2C571CCC" w14:textId="77777777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>On a tenu une grosse conférence en mai 2024 à Montréal. On l'appelait Canada accessible, monde accessible. C'était un événement hybride : les gens pouvaient participer en personne ou en ligne. L'événement était entièrement accessible et offrait des services en anglais, français, ASL et LSQ.</w:t>
      </w:r>
    </w:p>
    <w:p w14:paraId="24F8763C" w14:textId="77777777" w:rsidR="0016700A" w:rsidRPr="0016700A" w:rsidRDefault="0016700A" w:rsidP="005F2F6B">
      <w:pPr>
        <w:pStyle w:val="Heading2"/>
        <w:rPr>
          <w:lang w:val="fr-CA"/>
        </w:rPr>
      </w:pPr>
      <w:r w:rsidRPr="0016700A">
        <w:rPr>
          <w:lang w:val="fr-CA"/>
        </w:rPr>
        <w:t>Qu'est-ce qui a rendu la conférence spéciale ?</w:t>
      </w:r>
    </w:p>
    <w:p w14:paraId="6ADC9125" w14:textId="432290F9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Modèle inversé : au lieu de regarder les présentations pendant l’événement, les gens les regardaient à l’avance. Ça a donné plus de temps à la discussion et à la résolution de problèmes pendant la conférence.</w:t>
      </w:r>
    </w:p>
    <w:p w14:paraId="2AB91EDF" w14:textId="566F57AB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Conception inclusive : L'événement a été conçu pour être accessible à tous. Il comprenait la langue des signes, des sous-titres, des salles tranquilles et un soutien aux animaux d’assistance.</w:t>
      </w:r>
    </w:p>
    <w:p w14:paraId="1AE2102E" w14:textId="13C55E5B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lastRenderedPageBreak/>
        <w:t>Grande participation : Plus de 400 personnes se sont jointes à nous, de partout au Canada et dans d’autres pays.</w:t>
      </w:r>
    </w:p>
    <w:p w14:paraId="6D936CE8" w14:textId="77777777" w:rsidR="0016700A" w:rsidRPr="0016700A" w:rsidRDefault="0016700A" w:rsidP="005F2F6B">
      <w:pPr>
        <w:pStyle w:val="Heading2"/>
        <w:rPr>
          <w:lang w:val="fr-CA"/>
        </w:rPr>
      </w:pPr>
      <w:r w:rsidRPr="0016700A">
        <w:rPr>
          <w:lang w:val="fr-CA"/>
        </w:rPr>
        <w:t>Un événement de recherche mené par la communauté</w:t>
      </w:r>
    </w:p>
    <w:p w14:paraId="4BC5E2F6" w14:textId="77777777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 xml:space="preserve">Ce n'était pas seulement une conférence, mais un événement de recherche conjointe. Les personnes handicapées n'étaient pas seulement des participants ; ils étaient des chercheurs. Ils ont aidé à façonner l'ordre du jour, mené des discussions et </w:t>
      </w:r>
      <w:proofErr w:type="spellStart"/>
      <w:r w:rsidRPr="0016700A">
        <w:rPr>
          <w:lang w:val="fr-CA"/>
        </w:rPr>
        <w:t>co-conçu</w:t>
      </w:r>
      <w:proofErr w:type="spellEnd"/>
      <w:r w:rsidRPr="0016700A">
        <w:rPr>
          <w:lang w:val="fr-CA"/>
        </w:rPr>
        <w:t xml:space="preserve"> des solutions aux défis du monde réel. Chaque séance était axée sur un problème spécifique et les participants ont travaillé ensemble pour proposer des idées et des plans d’action.</w:t>
      </w:r>
    </w:p>
    <w:p w14:paraId="01A0D9C1" w14:textId="77777777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>La recherche s'appuie sur l'expérience vécue et les connaissances techniques. Il a produit des résultats pratiques tels que des cahiers de séance, des éléments d’action et de nouvelles propositions de recherche.</w:t>
      </w:r>
    </w:p>
    <w:p w14:paraId="12CE6130" w14:textId="77777777" w:rsidR="0016700A" w:rsidRPr="0016700A" w:rsidRDefault="0016700A" w:rsidP="005F2F6B">
      <w:pPr>
        <w:pStyle w:val="Heading2"/>
        <w:rPr>
          <w:lang w:val="fr-CA"/>
        </w:rPr>
      </w:pPr>
      <w:r w:rsidRPr="0016700A">
        <w:rPr>
          <w:lang w:val="fr-CA"/>
        </w:rPr>
        <w:t>Quels ont été les résultats ?</w:t>
      </w:r>
    </w:p>
    <w:p w14:paraId="12731807" w14:textId="45FCE444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L’événement a permis de créer un solide réseau de personnes travaillant sur l’accessibilité.</w:t>
      </w:r>
    </w:p>
    <w:p w14:paraId="646D7C40" w14:textId="321FE01F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Cela a donné lieu à de nouveaux projets de recherche et propositions, notamment des travaux sur l’IA, la planification d’urgence et la communication inclusive.</w:t>
      </w:r>
    </w:p>
    <w:p w14:paraId="5744922E" w14:textId="49D2D6AF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Il a montré comment organiser un événement hybride de grande envergure, accessible et inclusif.</w:t>
      </w:r>
    </w:p>
    <w:p w14:paraId="7CA8D8A8" w14:textId="058EF607" w:rsidR="0016700A" w:rsidRPr="00E04258" w:rsidRDefault="0016700A" w:rsidP="00E04258">
      <w:pPr>
        <w:pStyle w:val="ListParagraph"/>
        <w:numPr>
          <w:ilvl w:val="0"/>
          <w:numId w:val="14"/>
        </w:numPr>
        <w:rPr>
          <w:lang w:val="fr-CA"/>
        </w:rPr>
      </w:pPr>
      <w:r w:rsidRPr="00E04258">
        <w:rPr>
          <w:lang w:val="fr-CA"/>
        </w:rPr>
        <w:t>Cela a donné aux personnes handicapées une véritable voix dans l’élaboration des normes futures.</w:t>
      </w:r>
    </w:p>
    <w:p w14:paraId="748C9F16" w14:textId="77777777" w:rsidR="0016700A" w:rsidRPr="0016700A" w:rsidRDefault="0016700A" w:rsidP="005F2F6B">
      <w:pPr>
        <w:pStyle w:val="Heading2"/>
        <w:rPr>
          <w:lang w:val="fr-CA"/>
        </w:rPr>
      </w:pPr>
      <w:r w:rsidRPr="0016700A">
        <w:rPr>
          <w:lang w:val="fr-CA"/>
        </w:rPr>
        <w:t>Poursuivre la conversation</w:t>
      </w:r>
    </w:p>
    <w:p w14:paraId="51C00B26" w14:textId="77777777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>Pour maintenir l'élan, une plateforme de clavardage en ligne a été créée. Toute personne intéressée par l'accessibilité et les normes peut se joindre à la conversation à l'adresse suivante :</w:t>
      </w:r>
    </w:p>
    <w:p w14:paraId="4F7889E5" w14:textId="5EBBD77A" w:rsidR="0016700A" w:rsidRPr="0016700A" w:rsidRDefault="00E04258" w:rsidP="0016700A">
      <w:pPr>
        <w:rPr>
          <w:lang w:val="fr-CA"/>
        </w:rPr>
      </w:pPr>
      <w:hyperlink r:id="rId10" w:history="1">
        <w:r w:rsidRPr="003C6F23">
          <w:rPr>
            <w:rStyle w:val="Hyperlink"/>
            <w:lang w:val="fr-CA"/>
          </w:rPr>
          <w:t>https://groups.io/g/ACAW-CAMA</w:t>
        </w:r>
      </w:hyperlink>
      <w:r>
        <w:rPr>
          <w:lang w:val="fr-CA"/>
        </w:rPr>
        <w:t xml:space="preserve"> </w:t>
      </w:r>
    </w:p>
    <w:p w14:paraId="5E4EEEE8" w14:textId="77777777" w:rsidR="0016700A" w:rsidRPr="0016700A" w:rsidRDefault="0016700A" w:rsidP="0016700A">
      <w:pPr>
        <w:rPr>
          <w:lang w:val="fr-CA"/>
        </w:rPr>
      </w:pPr>
      <w:r w:rsidRPr="0016700A">
        <w:rPr>
          <w:lang w:val="fr-CA"/>
        </w:rPr>
        <w:t>Vous pouvez également explorer la collection complète des présentations et des documents de la conférence ici :</w:t>
      </w:r>
    </w:p>
    <w:p w14:paraId="15301685" w14:textId="289CE74A" w:rsidR="0016700A" w:rsidRPr="0016700A" w:rsidRDefault="00E04258" w:rsidP="0016700A">
      <w:pPr>
        <w:rPr>
          <w:lang w:val="fr-CA"/>
        </w:rPr>
      </w:pPr>
      <w:hyperlink r:id="rId11" w:history="1">
        <w:r w:rsidRPr="003C6F23">
          <w:rPr>
            <w:rStyle w:val="Hyperlink"/>
            <w:lang w:val="fr-CA"/>
          </w:rPr>
          <w:t>https://acaw-cama.idrc.ocadu.ca/fr/</w:t>
        </w:r>
      </w:hyperlink>
      <w:r>
        <w:rPr>
          <w:lang w:val="fr-CA"/>
        </w:rPr>
        <w:t xml:space="preserve"> </w:t>
      </w:r>
    </w:p>
    <w:p w14:paraId="70DCB6CB" w14:textId="77777777" w:rsidR="0016700A" w:rsidRPr="0016700A" w:rsidRDefault="0016700A" w:rsidP="005F2F6B">
      <w:pPr>
        <w:pStyle w:val="Heading2"/>
        <w:rPr>
          <w:lang w:val="fr-CA"/>
        </w:rPr>
      </w:pPr>
      <w:r w:rsidRPr="0016700A">
        <w:rPr>
          <w:lang w:val="fr-CA"/>
        </w:rPr>
        <w:lastRenderedPageBreak/>
        <w:t>Pourquoi c'est important ?</w:t>
      </w:r>
    </w:p>
    <w:p w14:paraId="4412123D" w14:textId="5E5D78B7" w:rsidR="00024D8D" w:rsidRDefault="0016700A" w:rsidP="00797C4E">
      <w:pPr>
        <w:rPr>
          <w:lang w:val="fr-CA"/>
        </w:rPr>
      </w:pPr>
      <w:r w:rsidRPr="0016700A">
        <w:rPr>
          <w:lang w:val="fr-CA"/>
        </w:rPr>
        <w:t>Ce projet a aidé le Canada à se rapprocher de son objectif de devenir un pays sans obstacles. Elle a montré comment une recherche inclusive et menée par la communauté peut mener à de meilleures politiques et normes. Il a aussi créé des outils et des idées que d'autres peuvent utiliser pour rendre leur travail plus inclusif.</w:t>
      </w:r>
    </w:p>
    <w:sectPr w:rsidR="00024D8D" w:rsidSect="00484E11">
      <w:headerReference w:type="default" r:id="rId12"/>
      <w:footerReference w:type="default" r:id="rId13"/>
      <w:pgSz w:w="12240" w:h="15840"/>
      <w:pgMar w:top="226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FCDE3" w14:textId="77777777" w:rsidR="009F12EE" w:rsidRDefault="009F12EE" w:rsidP="00024D8D">
      <w:pPr>
        <w:spacing w:after="0" w:line="240" w:lineRule="auto"/>
      </w:pPr>
      <w:r>
        <w:separator/>
      </w:r>
    </w:p>
  </w:endnote>
  <w:endnote w:type="continuationSeparator" w:id="0">
    <w:p w14:paraId="4D85C9F5" w14:textId="77777777" w:rsidR="009F12EE" w:rsidRDefault="009F12EE" w:rsidP="0002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3538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C585B" w14:textId="52D6561E" w:rsidR="004051C9" w:rsidRDefault="004051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E115BB" w14:textId="44A2D0FD" w:rsidR="00024D8D" w:rsidRDefault="004051C9">
    <w:pPr>
      <w:pStyle w:val="Footer"/>
    </w:pPr>
    <w:r>
      <w:rPr>
        <w:noProof/>
      </w:rPr>
      <w:drawing>
        <wp:inline distT="0" distB="0" distL="0" distR="0" wp14:anchorId="69142E11" wp14:editId="45D7B9B2">
          <wp:extent cx="2838450" cy="495300"/>
          <wp:effectExtent l="0" t="0" r="0" b="0"/>
          <wp:docPr id="1328255718" name="Picture 1328255718" descr="Inclusive Design Research Cent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arge_idrc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2" t="12422" r="-51294" b="18352"/>
                  <a:stretch>
                    <a:fillRect/>
                  </a:stretch>
                </pic:blipFill>
                <pic:spPr bwMode="auto">
                  <a:xfrm>
                    <a:off x="0" y="0"/>
                    <a:ext cx="2883949" cy="503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02864">
      <w:tab/>
    </w:r>
    <w:r w:rsidR="00F02864">
      <w:rPr>
        <w:noProof/>
      </w:rPr>
      <w:drawing>
        <wp:inline distT="0" distB="0" distL="0" distR="0" wp14:anchorId="2616D730" wp14:editId="3677987C">
          <wp:extent cx="3015762" cy="339918"/>
          <wp:effectExtent l="0" t="0" r="0" b="3175"/>
          <wp:docPr id="1188407495" name="Picture 97" descr="finance par le gouvernement du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86051" name="Picture 97" descr="finance par le gouvernement du Ca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3126" cy="341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E02B" w14:textId="77777777" w:rsidR="009F12EE" w:rsidRDefault="009F12EE" w:rsidP="00024D8D">
      <w:pPr>
        <w:spacing w:after="0" w:line="240" w:lineRule="auto"/>
      </w:pPr>
      <w:r>
        <w:separator/>
      </w:r>
    </w:p>
  </w:footnote>
  <w:footnote w:type="continuationSeparator" w:id="0">
    <w:p w14:paraId="26835B33" w14:textId="77777777" w:rsidR="009F12EE" w:rsidRDefault="009F12EE" w:rsidP="0002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7032E" w14:textId="42D1344B" w:rsidR="00024D8D" w:rsidRPr="004051C9" w:rsidRDefault="004051C9" w:rsidP="004051C9">
    <w:pPr>
      <w:pStyle w:val="Header"/>
    </w:pPr>
    <w:r>
      <w:rPr>
        <w:noProof/>
        <w:sz w:val="96"/>
        <w:szCs w:val="144"/>
      </w:rPr>
      <w:drawing>
        <wp:inline distT="0" distB="0" distL="0" distR="0" wp14:anchorId="6ECFEECB" wp14:editId="3A08E1E0">
          <wp:extent cx="2413000" cy="594485"/>
          <wp:effectExtent l="0" t="0" r="0" b="0"/>
          <wp:docPr id="1746145135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45999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0644" cy="628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6204"/>
    <w:multiLevelType w:val="hybridMultilevel"/>
    <w:tmpl w:val="8790234E"/>
    <w:lvl w:ilvl="0" w:tplc="B8AAD9B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5C27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07C32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04BEC"/>
    <w:multiLevelType w:val="hybridMultilevel"/>
    <w:tmpl w:val="B3F42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517D5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03B22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C75F9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C4692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D0F08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742F7"/>
    <w:multiLevelType w:val="hybridMultilevel"/>
    <w:tmpl w:val="6C440846"/>
    <w:lvl w:ilvl="0" w:tplc="B8AAD9B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F1C9E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00F23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55A83"/>
    <w:multiLevelType w:val="hybridMultilevel"/>
    <w:tmpl w:val="21EEF4A0"/>
    <w:lvl w:ilvl="0" w:tplc="B8AAD9B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50A8E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24BE2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6593D"/>
    <w:multiLevelType w:val="multilevel"/>
    <w:tmpl w:val="35EE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98130">
    <w:abstractNumId w:val="1"/>
  </w:num>
  <w:num w:numId="2" w16cid:durableId="650446314">
    <w:abstractNumId w:val="13"/>
  </w:num>
  <w:num w:numId="3" w16cid:durableId="1387215955">
    <w:abstractNumId w:val="15"/>
  </w:num>
  <w:num w:numId="4" w16cid:durableId="1585913059">
    <w:abstractNumId w:val="14"/>
  </w:num>
  <w:num w:numId="5" w16cid:durableId="1475490079">
    <w:abstractNumId w:val="11"/>
  </w:num>
  <w:num w:numId="6" w16cid:durableId="1203399634">
    <w:abstractNumId w:val="5"/>
  </w:num>
  <w:num w:numId="7" w16cid:durableId="218827163">
    <w:abstractNumId w:val="7"/>
  </w:num>
  <w:num w:numId="8" w16cid:durableId="1914272584">
    <w:abstractNumId w:val="4"/>
  </w:num>
  <w:num w:numId="9" w16cid:durableId="903219245">
    <w:abstractNumId w:val="6"/>
  </w:num>
  <w:num w:numId="10" w16cid:durableId="251399160">
    <w:abstractNumId w:val="10"/>
  </w:num>
  <w:num w:numId="11" w16cid:durableId="1655572090">
    <w:abstractNumId w:val="8"/>
  </w:num>
  <w:num w:numId="12" w16cid:durableId="1375159764">
    <w:abstractNumId w:val="2"/>
  </w:num>
  <w:num w:numId="13" w16cid:durableId="1177965196">
    <w:abstractNumId w:val="3"/>
  </w:num>
  <w:num w:numId="14" w16cid:durableId="129135198">
    <w:abstractNumId w:val="0"/>
  </w:num>
  <w:num w:numId="15" w16cid:durableId="1453354460">
    <w:abstractNumId w:val="9"/>
  </w:num>
  <w:num w:numId="16" w16cid:durableId="19300383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8D"/>
    <w:rsid w:val="00024D8D"/>
    <w:rsid w:val="00105566"/>
    <w:rsid w:val="0016700A"/>
    <w:rsid w:val="00274A89"/>
    <w:rsid w:val="00301624"/>
    <w:rsid w:val="004051C9"/>
    <w:rsid w:val="00436922"/>
    <w:rsid w:val="00484E11"/>
    <w:rsid w:val="005F2F6B"/>
    <w:rsid w:val="00736804"/>
    <w:rsid w:val="00797C4E"/>
    <w:rsid w:val="00847E4F"/>
    <w:rsid w:val="0090175F"/>
    <w:rsid w:val="009073C4"/>
    <w:rsid w:val="009A0BE0"/>
    <w:rsid w:val="009F12EE"/>
    <w:rsid w:val="00A53C46"/>
    <w:rsid w:val="00AD7B7A"/>
    <w:rsid w:val="00B3574B"/>
    <w:rsid w:val="00D32F29"/>
    <w:rsid w:val="00D546FA"/>
    <w:rsid w:val="00E04258"/>
    <w:rsid w:val="00F0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143B7"/>
  <w15:chartTrackingRefBased/>
  <w15:docId w15:val="{2970B45D-7F2D-4486-91BD-C4B76065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C9"/>
    <w:pPr>
      <w:keepNext/>
      <w:keepLines/>
      <w:spacing w:before="360" w:after="80" w:line="279" w:lineRule="auto"/>
      <w:outlineLvl w:val="0"/>
    </w:pPr>
    <w:rPr>
      <w:rFonts w:ascii="Aptos Display" w:eastAsia="MS Gothic" w:hAnsi="Aptos Display" w:cs="Times New Roman"/>
      <w:noProof/>
      <w:color w:val="B21A26"/>
      <w:kern w:val="0"/>
      <w:sz w:val="48"/>
      <w:szCs w:val="48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C9"/>
    <w:rPr>
      <w:rFonts w:ascii="Aptos Display" w:eastAsia="MS Gothic" w:hAnsi="Aptos Display" w:cs="Times New Roman"/>
      <w:noProof/>
      <w:color w:val="B21A26"/>
      <w:kern w:val="0"/>
      <w:sz w:val="48"/>
      <w:szCs w:val="48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8D"/>
  </w:style>
  <w:style w:type="paragraph" w:styleId="Footer">
    <w:name w:val="footer"/>
    <w:basedOn w:val="Normal"/>
    <w:link w:val="FooterChar"/>
    <w:uiPriority w:val="99"/>
    <w:unhideWhenUsed/>
    <w:rsid w:val="0002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8D"/>
  </w:style>
  <w:style w:type="character" w:styleId="Hyperlink">
    <w:name w:val="Hyperlink"/>
    <w:basedOn w:val="DefaultParagraphFont"/>
    <w:uiPriority w:val="99"/>
    <w:unhideWhenUsed/>
    <w:rsid w:val="00797C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aw-cama.idrc.ocadu.ca/f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roups.io/g/ACAW-CAM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d86d78-0ff1-41f0-ab23-d2692a4332af">
      <Terms xmlns="http://schemas.microsoft.com/office/infopath/2007/PartnerControls"/>
    </lcf76f155ced4ddcb4097134ff3c332f>
    <TaxCatchAll xmlns="b6394e7d-bb77-4d04-b189-d6980e0b1240" xsi:nil="true"/>
    <SharedWithUsers xmlns="b6394e7d-bb77-4d04-b189-d6980e0b124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EEE064259734EBC4DA888343C829E" ma:contentTypeVersion="15" ma:contentTypeDescription="Create a new document." ma:contentTypeScope="" ma:versionID="61522da599c1df77e4493096743556de">
  <xsd:schema xmlns:xsd="http://www.w3.org/2001/XMLSchema" xmlns:xs="http://www.w3.org/2001/XMLSchema" xmlns:p="http://schemas.microsoft.com/office/2006/metadata/properties" xmlns:ns2="a7d86d78-0ff1-41f0-ab23-d2692a4332af" xmlns:ns3="b6394e7d-bb77-4d04-b189-d6980e0b1240" targetNamespace="http://schemas.microsoft.com/office/2006/metadata/properties" ma:root="true" ma:fieldsID="198bbce26b7eb8be2b729de184730d13" ns2:_="" ns3:_="">
    <xsd:import namespace="a7d86d78-0ff1-41f0-ab23-d2692a4332af"/>
    <xsd:import namespace="b6394e7d-bb77-4d04-b189-d6980e0b1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86d78-0ff1-41f0-ab23-d2692a433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686fead-1ccd-4025-a17a-cc234994b5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94e7d-bb77-4d04-b189-d6980e0b1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16d3083-27d8-4e01-b210-884fb404e502}" ma:internalName="TaxCatchAll" ma:showField="CatchAllData" ma:web="b6394e7d-bb77-4d04-b189-d6980e0b1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81B68F-E9B6-40C2-92DC-F19F2BEA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8E06A-0387-44F1-A2EA-03B12688E542}"/>
</file>

<file path=customXml/itemProps3.xml><?xml version="1.0" encoding="utf-8"?>
<ds:datastoreItem xmlns:ds="http://schemas.openxmlformats.org/officeDocument/2006/customXml" ds:itemID="{742536C7-4F11-4CC4-88A8-CBF9DECEF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Roberts</dc:creator>
  <cp:keywords/>
  <dc:description/>
  <cp:lastModifiedBy>Vera Roberts</cp:lastModifiedBy>
  <cp:revision>17</cp:revision>
  <dcterms:created xsi:type="dcterms:W3CDTF">2025-03-31T23:55:00Z</dcterms:created>
  <dcterms:modified xsi:type="dcterms:W3CDTF">2025-05-30T17:47:00Z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0x0101008CBEEE064259734EBC4DA888343C829E</vt:lpwstr>
  </property>
  <property fmtid="{D5CDD505-2E9C-101B-9397-08002B2CF9AE}" pid="3" name="Order">
    <vt:r8>11900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