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4A113BE" w:rsidR="006F6A97" w:rsidRDefault="00702523">
      <w:r>
        <w:rPr>
          <w:noProof/>
        </w:rPr>
        <w:drawing>
          <wp:inline distT="0" distB="0" distL="0" distR="0" wp14:anchorId="127F3CCA" wp14:editId="75075548">
            <wp:extent cx="5943600" cy="767080"/>
            <wp:effectExtent l="0" t="0" r="0" b="0"/>
            <wp:docPr id="1064130401" name="Picture 2" descr="logo du Accès aux communications dans le cadre de la Loi canadienne sur l’access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30401" name="Picture 2" descr="logo du Accès aux communications dans le cadre de la Loi canadienne sur l’accessibilité"/>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00000004" w14:textId="77777777" w:rsidR="006F6A97" w:rsidRDefault="006F6A97"/>
    <w:p w14:paraId="21EE5AA5" w14:textId="77777777" w:rsidR="007E1B42" w:rsidRDefault="007E1B42"/>
    <w:p w14:paraId="49B36F72" w14:textId="77777777" w:rsidR="007E1B42" w:rsidRDefault="007E1B42"/>
    <w:p w14:paraId="00000005" w14:textId="77777777" w:rsidR="006F6A97" w:rsidRDefault="003E2808" w:rsidP="008245A9">
      <w:pPr>
        <w:pStyle w:val="Title"/>
      </w:pPr>
      <w:r>
        <w:t xml:space="preserve">Troisième partie : Recommandations pour </w:t>
      </w:r>
      <w:r w:rsidRPr="008245A9">
        <w:t>améliorer</w:t>
      </w:r>
      <w:r>
        <w:t xml:space="preserve"> l’accès aux </w:t>
      </w:r>
      <w:r w:rsidRPr="00141FC9">
        <w:t>communications</w:t>
      </w:r>
      <w:r>
        <w:t xml:space="preserve"> dans les contextes réglementés par le gouvernement fédéral</w:t>
      </w:r>
    </w:p>
    <w:p w14:paraId="00000006" w14:textId="77777777" w:rsidR="006F6A97" w:rsidRDefault="003E2808" w:rsidP="008245A9">
      <w:pPr>
        <w:pStyle w:val="Subtitle"/>
      </w:pPr>
      <w:r>
        <w:t xml:space="preserve">Rapport de </w:t>
      </w:r>
      <w:r w:rsidRPr="008245A9">
        <w:t>l’Inclusive</w:t>
      </w:r>
      <w:r>
        <w:t xml:space="preserve"> Design Research </w:t>
      </w:r>
      <w:r w:rsidRPr="00712A25">
        <w:t>Centre</w:t>
      </w:r>
    </w:p>
    <w:p w14:paraId="00000007" w14:textId="77777777" w:rsidR="006F6A97" w:rsidRDefault="003E2808" w:rsidP="00F56F82">
      <w:pPr>
        <w:spacing w:line="276" w:lineRule="auto"/>
      </w:pPr>
      <w:r>
        <w:t>P</w:t>
      </w:r>
      <w:r>
        <w:t xml:space="preserve">rojet : Accès aux communications dans le cadre de la Loi canadienne </w:t>
      </w:r>
      <w:r>
        <w:t>sur l</w:t>
      </w:r>
      <w:r>
        <w:t>’accessibilité</w:t>
      </w:r>
    </w:p>
    <w:p w14:paraId="00000008" w14:textId="77777777" w:rsidR="006F6A97" w:rsidRDefault="003E2808" w:rsidP="00F56F82">
      <w:pPr>
        <w:spacing w:line="276" w:lineRule="auto"/>
      </w:pPr>
      <w:r>
        <w:t>31 mars 2023</w:t>
      </w:r>
    </w:p>
    <w:p w14:paraId="00000009" w14:textId="77777777" w:rsidR="006F6A97" w:rsidRDefault="003E2808">
      <w:r>
        <w:br w:type="page"/>
      </w:r>
    </w:p>
    <w:sdt>
      <w:sdtPr>
        <w:rPr>
          <w:rFonts w:asciiTheme="majorHAnsi" w:hAnsiTheme="majorHAnsi" w:cstheme="majorHAnsi"/>
        </w:rPr>
        <w:id w:val="-1106417702"/>
        <w:docPartObj>
          <w:docPartGallery w:val="Table of Contents"/>
          <w:docPartUnique/>
        </w:docPartObj>
      </w:sdtPr>
      <w:sdtEndPr>
        <w:rPr>
          <w:b w:val="0"/>
          <w:bCs w:val="0"/>
          <w:i w:val="0"/>
          <w:iCs w:val="0"/>
        </w:rPr>
      </w:sdtEndPr>
      <w:sdtContent>
        <w:p w14:paraId="30F09EC4" w14:textId="53BC027F" w:rsidR="004A3A82" w:rsidRPr="004A3A82" w:rsidRDefault="004A3A82">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r w:rsidRPr="004A3A82">
            <w:rPr>
              <w:rFonts w:asciiTheme="majorHAnsi" w:hAnsiTheme="majorHAnsi" w:cstheme="majorHAnsi"/>
            </w:rPr>
            <w:fldChar w:fldCharType="begin"/>
          </w:r>
          <w:r w:rsidRPr="004A3A82">
            <w:rPr>
              <w:rFonts w:asciiTheme="majorHAnsi" w:hAnsiTheme="majorHAnsi" w:cstheme="majorHAnsi"/>
            </w:rPr>
            <w:instrText xml:space="preserve"> TOC \h \z \u \t "Heading 1,1,Heading 2,2,Heading 3,3,Heading 4,4,Heading 5,5,Heading 6,6" </w:instrText>
          </w:r>
          <w:r w:rsidRPr="004A3A82">
            <w:rPr>
              <w:rFonts w:asciiTheme="majorHAnsi" w:hAnsiTheme="majorHAnsi" w:cstheme="majorHAnsi"/>
            </w:rPr>
            <w:fldChar w:fldCharType="separate"/>
          </w:r>
          <w:hyperlink w:anchor="_Toc132721404" w:history="1">
            <w:r w:rsidRPr="004A3A82">
              <w:rPr>
                <w:rStyle w:val="Hyperlink"/>
                <w:rFonts w:asciiTheme="majorHAnsi" w:hAnsiTheme="majorHAnsi" w:cstheme="majorHAnsi"/>
                <w:noProof/>
              </w:rPr>
              <w:t>Introduction</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_Toc132721404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3</w:t>
            </w:r>
            <w:r w:rsidRPr="004A3A82">
              <w:rPr>
                <w:rFonts w:asciiTheme="majorHAnsi" w:hAnsiTheme="majorHAnsi" w:cstheme="majorHAnsi"/>
                <w:noProof/>
                <w:webHidden/>
              </w:rPr>
              <w:fldChar w:fldCharType="end"/>
            </w:r>
          </w:hyperlink>
        </w:p>
        <w:p w14:paraId="1A07A26B" w14:textId="76523204" w:rsidR="004A3A82" w:rsidRPr="004A3A82" w:rsidRDefault="004A3A82">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405" w:history="1">
            <w:r w:rsidRPr="004A3A82">
              <w:rPr>
                <w:rStyle w:val="Hyperlink"/>
                <w:rFonts w:asciiTheme="majorHAnsi" w:hAnsiTheme="majorHAnsi" w:cstheme="majorHAnsi"/>
                <w:noProof/>
              </w:rPr>
              <w:t>Recommandations du projet d’accès aux communications, mars 2023</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_Toc132721405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3</w:t>
            </w:r>
            <w:r w:rsidRPr="004A3A82">
              <w:rPr>
                <w:rFonts w:asciiTheme="majorHAnsi" w:hAnsiTheme="majorHAnsi" w:cstheme="majorHAnsi"/>
                <w:noProof/>
                <w:webHidden/>
              </w:rPr>
              <w:fldChar w:fldCharType="end"/>
            </w:r>
          </w:hyperlink>
        </w:p>
        <w:p w14:paraId="31EE94D9" w14:textId="143289B0"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06" w:history="1">
            <w:r w:rsidRPr="004A3A82">
              <w:rPr>
                <w:rStyle w:val="Hyperlink"/>
                <w:rFonts w:asciiTheme="majorHAnsi" w:hAnsiTheme="majorHAnsi" w:cstheme="majorHAnsi"/>
                <w:noProof/>
              </w:rPr>
              <w:t>Obstacles comportementaux</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_Toc132721406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3</w:t>
            </w:r>
            <w:r w:rsidRPr="004A3A82">
              <w:rPr>
                <w:rFonts w:asciiTheme="majorHAnsi" w:hAnsiTheme="majorHAnsi" w:cstheme="majorHAnsi"/>
                <w:noProof/>
                <w:webHidden/>
              </w:rPr>
              <w:fldChar w:fldCharType="end"/>
            </w:r>
          </w:hyperlink>
        </w:p>
        <w:p w14:paraId="28D12898" w14:textId="5B9B63F3"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07" w:history="1">
            <w:r w:rsidRPr="004A3A82">
              <w:rPr>
                <w:rStyle w:val="Hyperlink"/>
                <w:rFonts w:asciiTheme="majorHAnsi" w:hAnsiTheme="majorHAnsi" w:cstheme="majorHAnsi"/>
                <w:noProof/>
              </w:rPr>
              <w:t>Formation et sensibilisation à l’accès à la communication</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_Toc132721407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3</w:t>
            </w:r>
            <w:r w:rsidRPr="004A3A82">
              <w:rPr>
                <w:rFonts w:asciiTheme="majorHAnsi" w:hAnsiTheme="majorHAnsi" w:cstheme="majorHAnsi"/>
                <w:noProof/>
                <w:webHidden/>
              </w:rPr>
              <w:fldChar w:fldCharType="end"/>
            </w:r>
          </w:hyperlink>
        </w:p>
        <w:p w14:paraId="7B0F07F0" w14:textId="766589AE"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08" w:history="1">
            <w:r w:rsidRPr="004A3A82">
              <w:rPr>
                <w:rStyle w:val="Hyperlink"/>
                <w:rFonts w:asciiTheme="majorHAnsi" w:hAnsiTheme="majorHAnsi" w:cstheme="majorHAnsi"/>
                <w:noProof/>
              </w:rPr>
              <w:t>Temps de communication</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_Toc132721408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4</w:t>
            </w:r>
            <w:r w:rsidRPr="004A3A82">
              <w:rPr>
                <w:rFonts w:asciiTheme="majorHAnsi" w:hAnsiTheme="majorHAnsi" w:cstheme="majorHAnsi"/>
                <w:noProof/>
                <w:webHidden/>
              </w:rPr>
              <w:fldChar w:fldCharType="end"/>
            </w:r>
          </w:hyperlink>
        </w:p>
        <w:p w14:paraId="0AB06F49" w14:textId="6067A1BB"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09" w:history="1">
            <w:r w:rsidRPr="004A3A82">
              <w:rPr>
                <w:rStyle w:val="Hyperlink"/>
                <w:rFonts w:asciiTheme="majorHAnsi" w:hAnsiTheme="majorHAnsi" w:cstheme="majorHAnsi"/>
                <w:noProof/>
              </w:rPr>
              <w:t>Accessibilité</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_Toc132721409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4</w:t>
            </w:r>
            <w:r w:rsidRPr="004A3A82">
              <w:rPr>
                <w:rFonts w:asciiTheme="majorHAnsi" w:hAnsiTheme="majorHAnsi" w:cstheme="majorHAnsi"/>
                <w:noProof/>
                <w:webHidden/>
              </w:rPr>
              <w:fldChar w:fldCharType="end"/>
            </w:r>
          </w:hyperlink>
        </w:p>
        <w:p w14:paraId="2DAA08FB" w14:textId="66D0537E"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10" w:history="1">
            <w:r w:rsidRPr="004A3A82">
              <w:rPr>
                <w:rStyle w:val="Hyperlink"/>
                <w:rFonts w:asciiTheme="majorHAnsi" w:hAnsiTheme="majorHAnsi" w:cstheme="majorHAnsi"/>
                <w:noProof/>
              </w:rPr>
              <w:t>Personne de soutien</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_Toc132721410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5</w:t>
            </w:r>
            <w:r w:rsidRPr="004A3A82">
              <w:rPr>
                <w:rFonts w:asciiTheme="majorHAnsi" w:hAnsiTheme="majorHAnsi" w:cstheme="majorHAnsi"/>
                <w:noProof/>
                <w:webHidden/>
              </w:rPr>
              <w:fldChar w:fldCharType="end"/>
            </w:r>
          </w:hyperlink>
        </w:p>
        <w:p w14:paraId="6F274745" w14:textId="3FDF0850"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11" w:history="1">
            <w:r w:rsidRPr="004A3A82">
              <w:rPr>
                <w:rStyle w:val="Hyperlink"/>
                <w:rFonts w:asciiTheme="majorHAnsi" w:hAnsiTheme="majorHAnsi" w:cstheme="majorHAnsi"/>
                <w:noProof/>
              </w:rPr>
              <w:t>Reconnaître les professionnels de la communication formés à l’évaluation des capacités</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_Toc132721411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6</w:t>
            </w:r>
            <w:r w:rsidRPr="004A3A82">
              <w:rPr>
                <w:rFonts w:asciiTheme="majorHAnsi" w:hAnsiTheme="majorHAnsi" w:cstheme="majorHAnsi"/>
                <w:noProof/>
                <w:webHidden/>
              </w:rPr>
              <w:fldChar w:fldCharType="end"/>
            </w:r>
          </w:hyperlink>
        </w:p>
        <w:p w14:paraId="50E603D9" w14:textId="56A7BFF8"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12" w:history="1">
            <w:r w:rsidRPr="004A3A82">
              <w:rPr>
                <w:rStyle w:val="Hyperlink"/>
                <w:rFonts w:asciiTheme="majorHAnsi" w:hAnsiTheme="majorHAnsi" w:cstheme="majorHAnsi"/>
                <w:noProof/>
              </w:rPr>
              <w:t>Programmes de soutien au financement</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_Toc132721412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6</w:t>
            </w:r>
            <w:r w:rsidRPr="004A3A82">
              <w:rPr>
                <w:rFonts w:asciiTheme="majorHAnsi" w:hAnsiTheme="majorHAnsi" w:cstheme="majorHAnsi"/>
                <w:noProof/>
                <w:webHidden/>
              </w:rPr>
              <w:fldChar w:fldCharType="end"/>
            </w:r>
          </w:hyperlink>
        </w:p>
        <w:p w14:paraId="232E7752" w14:textId="0C36E44E" w:rsidR="004A3A82" w:rsidRPr="004A3A82" w:rsidRDefault="004A3A82">
          <w:pPr>
            <w:pStyle w:val="TOC1"/>
            <w:tabs>
              <w:tab w:val="right" w:leader="underscore" w:pos="9350"/>
            </w:tabs>
            <w:rPr>
              <w:rFonts w:asciiTheme="majorHAnsi" w:eastAsiaTheme="minorEastAsia" w:hAnsiTheme="majorHAnsi" w:cstheme="majorHAnsi"/>
              <w:b w:val="0"/>
              <w:bCs w:val="0"/>
              <w:i w:val="0"/>
              <w:iCs w:val="0"/>
              <w:noProof/>
              <w:kern w:val="2"/>
              <w:lang w:val="en-CA" w:eastAsia="en-US"/>
              <w14:ligatures w14:val="standardContextual"/>
            </w:rPr>
          </w:pPr>
          <w:hyperlink w:anchor="_Toc132721413" w:history="1">
            <w:r w:rsidRPr="004A3A82">
              <w:rPr>
                <w:rStyle w:val="Hyperlink"/>
                <w:rFonts w:asciiTheme="majorHAnsi" w:hAnsiTheme="majorHAnsi" w:cstheme="majorHAnsi"/>
                <w:noProof/>
              </w:rPr>
              <w:t>Annexe : Recommandations d’Accès Troubles de la Communication Canada</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_Toc132721413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7</w:t>
            </w:r>
            <w:r w:rsidRPr="004A3A82">
              <w:rPr>
                <w:rFonts w:asciiTheme="majorHAnsi" w:hAnsiTheme="majorHAnsi" w:cstheme="majorHAnsi"/>
                <w:noProof/>
                <w:webHidden/>
              </w:rPr>
              <w:fldChar w:fldCharType="end"/>
            </w:r>
          </w:hyperlink>
        </w:p>
        <w:p w14:paraId="48A45650" w14:textId="5A931EEA"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14" w:history="1">
            <w:r w:rsidRPr="004A3A82">
              <w:rPr>
                <w:rStyle w:val="Hyperlink"/>
                <w:rFonts w:asciiTheme="majorHAnsi" w:hAnsiTheme="majorHAnsi" w:cstheme="majorHAnsi"/>
                <w:noProof/>
              </w:rPr>
              <w:t>Présentation du CDAC au Comité des normes d’accessibilité, le 6 décembre 2021</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_Toc132721414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7</w:t>
            </w:r>
            <w:r w:rsidRPr="004A3A82">
              <w:rPr>
                <w:rFonts w:asciiTheme="majorHAnsi" w:hAnsiTheme="majorHAnsi" w:cstheme="majorHAnsi"/>
                <w:noProof/>
                <w:webHidden/>
              </w:rPr>
              <w:fldChar w:fldCharType="end"/>
            </w:r>
          </w:hyperlink>
        </w:p>
        <w:p w14:paraId="63900683" w14:textId="16AC1DE6"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15" w:history="1">
            <w:r w:rsidRPr="004A3A82">
              <w:rPr>
                <w:rStyle w:val="Hyperlink"/>
                <w:rFonts w:asciiTheme="majorHAnsi" w:hAnsiTheme="majorHAnsi" w:cstheme="majorHAnsi"/>
                <w:noProof/>
              </w:rPr>
              <w:t>Échantillons de normes</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_Toc132721415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7</w:t>
            </w:r>
            <w:r w:rsidRPr="004A3A82">
              <w:rPr>
                <w:rFonts w:asciiTheme="majorHAnsi" w:hAnsiTheme="majorHAnsi" w:cstheme="majorHAnsi"/>
                <w:noProof/>
                <w:webHidden/>
              </w:rPr>
              <w:fldChar w:fldCharType="end"/>
            </w:r>
          </w:hyperlink>
        </w:p>
        <w:p w14:paraId="2756CC6C" w14:textId="51CA7A3B"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16" w:history="1">
            <w:r w:rsidRPr="004A3A82">
              <w:rPr>
                <w:rStyle w:val="Hyperlink"/>
                <w:rFonts w:asciiTheme="majorHAnsi" w:hAnsiTheme="majorHAnsi" w:cstheme="majorHAnsi"/>
                <w:noProof/>
              </w:rPr>
              <w:t>Recommandations du CDAC découlant de la présentation</w:t>
            </w:r>
            <w:r w:rsidRPr="004A3A82">
              <w:rPr>
                <w:rStyle w:val="Hyperlink"/>
                <w:rFonts w:asciiTheme="majorHAnsi" w:eastAsia="Arial" w:hAnsiTheme="majorHAnsi" w:cstheme="majorHAnsi"/>
                <w:noProof/>
              </w:rPr>
              <w:t xml:space="preserve"> au Sénat du projet de loi C-81, 11 avril 2019</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_Toc132721416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8</w:t>
            </w:r>
            <w:r w:rsidRPr="004A3A82">
              <w:rPr>
                <w:rFonts w:asciiTheme="majorHAnsi" w:hAnsiTheme="majorHAnsi" w:cstheme="majorHAnsi"/>
                <w:noProof/>
                <w:webHidden/>
              </w:rPr>
              <w:fldChar w:fldCharType="end"/>
            </w:r>
          </w:hyperlink>
        </w:p>
        <w:p w14:paraId="47ED163D" w14:textId="75D4A2F4" w:rsidR="004A3A82" w:rsidRPr="004A3A82" w:rsidRDefault="004A3A82">
          <w:pPr>
            <w:pStyle w:val="TOC2"/>
            <w:tabs>
              <w:tab w:val="right" w:leader="underscore" w:pos="9350"/>
            </w:tabs>
            <w:rPr>
              <w:rFonts w:asciiTheme="majorHAnsi" w:eastAsiaTheme="minorEastAsia" w:hAnsiTheme="majorHAnsi" w:cstheme="majorHAnsi"/>
              <w:b w:val="0"/>
              <w:bCs w:val="0"/>
              <w:noProof/>
              <w:kern w:val="2"/>
              <w:sz w:val="24"/>
              <w:szCs w:val="24"/>
              <w:lang w:val="en-CA" w:eastAsia="en-US"/>
              <w14:ligatures w14:val="standardContextual"/>
            </w:rPr>
          </w:pPr>
          <w:hyperlink w:anchor="_Toc132721417" w:history="1">
            <w:r w:rsidRPr="004A3A82">
              <w:rPr>
                <w:rStyle w:val="Hyperlink"/>
                <w:rFonts w:asciiTheme="majorHAnsi" w:eastAsia="Arial" w:hAnsiTheme="majorHAnsi" w:cstheme="majorHAnsi"/>
                <w:noProof/>
              </w:rPr>
              <w:t>Consultation publique du CDAC sur la législation fédérale en matière d’accessibilité : Commentaires des Canadiens ayant des troubles de la parole, du langage et de la communication, janvier 2018</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_Toc132721417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9</w:t>
            </w:r>
            <w:r w:rsidRPr="004A3A82">
              <w:rPr>
                <w:rFonts w:asciiTheme="majorHAnsi" w:hAnsiTheme="majorHAnsi" w:cstheme="majorHAnsi"/>
                <w:noProof/>
                <w:webHidden/>
              </w:rPr>
              <w:fldChar w:fldCharType="end"/>
            </w:r>
          </w:hyperlink>
        </w:p>
        <w:p w14:paraId="6D7AF52E" w14:textId="2DBBC220"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18" w:history="1">
            <w:r w:rsidRPr="004A3A82">
              <w:rPr>
                <w:rStyle w:val="Hyperlink"/>
                <w:rFonts w:asciiTheme="majorHAnsi" w:hAnsiTheme="majorHAnsi" w:cstheme="majorHAnsi"/>
                <w:noProof/>
              </w:rPr>
              <w:t>Principes directeurs</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_Toc132721418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9</w:t>
            </w:r>
            <w:r w:rsidRPr="004A3A82">
              <w:rPr>
                <w:rFonts w:asciiTheme="majorHAnsi" w:hAnsiTheme="majorHAnsi" w:cstheme="majorHAnsi"/>
                <w:noProof/>
                <w:webHidden/>
              </w:rPr>
              <w:fldChar w:fldCharType="end"/>
            </w:r>
          </w:hyperlink>
        </w:p>
        <w:p w14:paraId="211CC971" w14:textId="74DFEEF8"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19" w:history="1">
            <w:r w:rsidRPr="004A3A82">
              <w:rPr>
                <w:rStyle w:val="Hyperlink"/>
                <w:rFonts w:asciiTheme="majorHAnsi" w:hAnsiTheme="majorHAnsi" w:cstheme="majorHAnsi"/>
                <w:noProof/>
              </w:rPr>
              <w:t>Recommandations génériques</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_Toc132721419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11</w:t>
            </w:r>
            <w:r w:rsidRPr="004A3A82">
              <w:rPr>
                <w:rFonts w:asciiTheme="majorHAnsi" w:hAnsiTheme="majorHAnsi" w:cstheme="majorHAnsi"/>
                <w:noProof/>
                <w:webHidden/>
              </w:rPr>
              <w:fldChar w:fldCharType="end"/>
            </w:r>
          </w:hyperlink>
        </w:p>
        <w:p w14:paraId="6868C4E5" w14:textId="6B90F4B9"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0" w:history="1">
            <w:r w:rsidRPr="004A3A82">
              <w:rPr>
                <w:rStyle w:val="Hyperlink"/>
                <w:rFonts w:asciiTheme="majorHAnsi" w:hAnsiTheme="majorHAnsi" w:cstheme="majorHAnsi"/>
                <w:noProof/>
              </w:rPr>
              <w:t>Les fournisseurs de services qui interagissent avec le public devraient :</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_Toc132721420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11</w:t>
            </w:r>
            <w:r w:rsidRPr="004A3A82">
              <w:rPr>
                <w:rFonts w:asciiTheme="majorHAnsi" w:hAnsiTheme="majorHAnsi" w:cstheme="majorHAnsi"/>
                <w:noProof/>
                <w:webHidden/>
              </w:rPr>
              <w:fldChar w:fldCharType="end"/>
            </w:r>
          </w:hyperlink>
        </w:p>
        <w:p w14:paraId="16568506" w14:textId="770B05B6"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1" w:history="1">
            <w:r w:rsidRPr="004A3A82">
              <w:rPr>
                <w:rStyle w:val="Hyperlink"/>
                <w:rFonts w:asciiTheme="majorHAnsi" w:hAnsiTheme="majorHAnsi" w:cstheme="majorHAnsi"/>
                <w:noProof/>
              </w:rPr>
              <w:t>Les fournisseurs de services téléphoniques devraient :</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_Toc132721421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12</w:t>
            </w:r>
            <w:r w:rsidRPr="004A3A82">
              <w:rPr>
                <w:rFonts w:asciiTheme="majorHAnsi" w:hAnsiTheme="majorHAnsi" w:cstheme="majorHAnsi"/>
                <w:noProof/>
                <w:webHidden/>
              </w:rPr>
              <w:fldChar w:fldCharType="end"/>
            </w:r>
          </w:hyperlink>
        </w:p>
        <w:p w14:paraId="1039E603" w14:textId="1B79DFD4"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2" w:history="1">
            <w:r w:rsidRPr="004A3A82">
              <w:rPr>
                <w:rStyle w:val="Hyperlink"/>
                <w:rFonts w:asciiTheme="majorHAnsi" w:hAnsiTheme="majorHAnsi" w:cstheme="majorHAnsi"/>
                <w:noProof/>
              </w:rPr>
              <w:t>Les organisateurs de forums publics, de réunions et de comités devraient :</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_Toc132721422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12</w:t>
            </w:r>
            <w:r w:rsidRPr="004A3A82">
              <w:rPr>
                <w:rFonts w:asciiTheme="majorHAnsi" w:hAnsiTheme="majorHAnsi" w:cstheme="majorHAnsi"/>
                <w:noProof/>
                <w:webHidden/>
              </w:rPr>
              <w:fldChar w:fldCharType="end"/>
            </w:r>
          </w:hyperlink>
        </w:p>
        <w:p w14:paraId="1839C8B9" w14:textId="06EEEBBA" w:rsidR="004A3A82" w:rsidRPr="004A3A82" w:rsidRDefault="004A3A82">
          <w:pPr>
            <w:pStyle w:val="TOC3"/>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3" w:history="1">
            <w:r w:rsidRPr="004A3A82">
              <w:rPr>
                <w:rStyle w:val="Hyperlink"/>
                <w:rFonts w:asciiTheme="majorHAnsi" w:hAnsiTheme="majorHAnsi" w:cstheme="majorHAnsi"/>
                <w:noProof/>
              </w:rPr>
              <w:t>Recommandations sur les services essentiels</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_Toc132721423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13</w:t>
            </w:r>
            <w:r w:rsidRPr="004A3A82">
              <w:rPr>
                <w:rFonts w:asciiTheme="majorHAnsi" w:hAnsiTheme="majorHAnsi" w:cstheme="majorHAnsi"/>
                <w:noProof/>
                <w:webHidden/>
              </w:rPr>
              <w:fldChar w:fldCharType="end"/>
            </w:r>
          </w:hyperlink>
        </w:p>
        <w:p w14:paraId="7BD62D8E" w14:textId="687E4A02"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4" w:history="1">
            <w:r w:rsidRPr="004A3A82">
              <w:rPr>
                <w:rStyle w:val="Hyperlink"/>
                <w:rFonts w:asciiTheme="majorHAnsi" w:hAnsiTheme="majorHAnsi" w:cstheme="majorHAnsi"/>
                <w:noProof/>
              </w:rPr>
              <w:t>Services de soins de santé</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_Toc132721424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13</w:t>
            </w:r>
            <w:r w:rsidRPr="004A3A82">
              <w:rPr>
                <w:rFonts w:asciiTheme="majorHAnsi" w:hAnsiTheme="majorHAnsi" w:cstheme="majorHAnsi"/>
                <w:noProof/>
                <w:webHidden/>
              </w:rPr>
              <w:fldChar w:fldCharType="end"/>
            </w:r>
          </w:hyperlink>
        </w:p>
        <w:p w14:paraId="629EA44F" w14:textId="7D800CF7"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5" w:history="1">
            <w:r w:rsidRPr="004A3A82">
              <w:rPr>
                <w:rStyle w:val="Hyperlink"/>
                <w:rFonts w:asciiTheme="majorHAnsi" w:hAnsiTheme="majorHAnsi" w:cstheme="majorHAnsi"/>
                <w:noProof/>
              </w:rPr>
              <w:t>Services de la justice</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_Toc132721425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14</w:t>
            </w:r>
            <w:r w:rsidRPr="004A3A82">
              <w:rPr>
                <w:rFonts w:asciiTheme="majorHAnsi" w:hAnsiTheme="majorHAnsi" w:cstheme="majorHAnsi"/>
                <w:noProof/>
                <w:webHidden/>
              </w:rPr>
              <w:fldChar w:fldCharType="end"/>
            </w:r>
          </w:hyperlink>
        </w:p>
        <w:p w14:paraId="7B12511F" w14:textId="377A5F4C"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6" w:history="1">
            <w:r w:rsidRPr="004A3A82">
              <w:rPr>
                <w:rStyle w:val="Hyperlink"/>
                <w:rFonts w:asciiTheme="majorHAnsi" w:hAnsiTheme="majorHAnsi" w:cstheme="majorHAnsi"/>
                <w:noProof/>
              </w:rPr>
              <w:t>Urgence et sécurité publique</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_Toc132721426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14</w:t>
            </w:r>
            <w:r w:rsidRPr="004A3A82">
              <w:rPr>
                <w:rFonts w:asciiTheme="majorHAnsi" w:hAnsiTheme="majorHAnsi" w:cstheme="majorHAnsi"/>
                <w:noProof/>
                <w:webHidden/>
              </w:rPr>
              <w:fldChar w:fldCharType="end"/>
            </w:r>
          </w:hyperlink>
        </w:p>
        <w:p w14:paraId="08BF1E15" w14:textId="3D22BCE1"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7" w:history="1">
            <w:r w:rsidRPr="004A3A82">
              <w:rPr>
                <w:rStyle w:val="Hyperlink"/>
                <w:rFonts w:asciiTheme="majorHAnsi" w:hAnsiTheme="majorHAnsi" w:cstheme="majorHAnsi"/>
                <w:noProof/>
              </w:rPr>
              <w:t>Conseil de la radiodiffusion et des télécommunications canadiennes</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_Toc132721427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14</w:t>
            </w:r>
            <w:r w:rsidRPr="004A3A82">
              <w:rPr>
                <w:rFonts w:asciiTheme="majorHAnsi" w:hAnsiTheme="majorHAnsi" w:cstheme="majorHAnsi"/>
                <w:noProof/>
                <w:webHidden/>
              </w:rPr>
              <w:fldChar w:fldCharType="end"/>
            </w:r>
          </w:hyperlink>
        </w:p>
        <w:p w14:paraId="26F1BD02" w14:textId="78DB858F"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8" w:history="1">
            <w:r w:rsidRPr="004A3A82">
              <w:rPr>
                <w:rStyle w:val="Hyperlink"/>
                <w:rFonts w:asciiTheme="majorHAnsi" w:hAnsiTheme="majorHAnsi" w:cstheme="majorHAnsi"/>
                <w:noProof/>
              </w:rPr>
              <w:t>Emploi</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_Toc132721428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14</w:t>
            </w:r>
            <w:r w:rsidRPr="004A3A82">
              <w:rPr>
                <w:rFonts w:asciiTheme="majorHAnsi" w:hAnsiTheme="majorHAnsi" w:cstheme="majorHAnsi"/>
                <w:noProof/>
                <w:webHidden/>
              </w:rPr>
              <w:fldChar w:fldCharType="end"/>
            </w:r>
          </w:hyperlink>
        </w:p>
        <w:p w14:paraId="22ECC41B" w14:textId="0DF5C965"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29" w:history="1">
            <w:r w:rsidRPr="004A3A82">
              <w:rPr>
                <w:rStyle w:val="Hyperlink"/>
                <w:rFonts w:asciiTheme="majorHAnsi" w:hAnsiTheme="majorHAnsi" w:cstheme="majorHAnsi"/>
                <w:noProof/>
              </w:rPr>
              <w:t>Élections Canada</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_Toc132721429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15</w:t>
            </w:r>
            <w:r w:rsidRPr="004A3A82">
              <w:rPr>
                <w:rFonts w:asciiTheme="majorHAnsi" w:hAnsiTheme="majorHAnsi" w:cstheme="majorHAnsi"/>
                <w:noProof/>
                <w:webHidden/>
              </w:rPr>
              <w:fldChar w:fldCharType="end"/>
            </w:r>
          </w:hyperlink>
        </w:p>
        <w:p w14:paraId="702BF322" w14:textId="48AA470A" w:rsidR="004A3A82" w:rsidRPr="004A3A82" w:rsidRDefault="004A3A82">
          <w:pPr>
            <w:pStyle w:val="TOC4"/>
            <w:tabs>
              <w:tab w:val="right" w:leader="underscore" w:pos="9350"/>
            </w:tabs>
            <w:rPr>
              <w:rFonts w:asciiTheme="majorHAnsi" w:eastAsiaTheme="minorEastAsia" w:hAnsiTheme="majorHAnsi" w:cstheme="majorHAnsi"/>
              <w:noProof/>
              <w:kern w:val="2"/>
              <w:sz w:val="24"/>
              <w:szCs w:val="24"/>
              <w:lang w:val="en-CA" w:eastAsia="en-US"/>
              <w14:ligatures w14:val="standardContextual"/>
            </w:rPr>
          </w:pPr>
          <w:hyperlink w:anchor="_Toc132721430" w:history="1">
            <w:r w:rsidRPr="004A3A82">
              <w:rPr>
                <w:rStyle w:val="Hyperlink"/>
                <w:rFonts w:asciiTheme="majorHAnsi" w:hAnsiTheme="majorHAnsi" w:cstheme="majorHAnsi"/>
                <w:noProof/>
              </w:rPr>
              <w:t>Citoyenneté</w:t>
            </w:r>
            <w:r w:rsidRPr="004A3A82">
              <w:rPr>
                <w:rFonts w:asciiTheme="majorHAnsi" w:hAnsiTheme="majorHAnsi" w:cstheme="majorHAnsi"/>
                <w:noProof/>
                <w:webHidden/>
              </w:rPr>
              <w:tab/>
            </w:r>
            <w:r w:rsidRPr="004A3A82">
              <w:rPr>
                <w:rFonts w:asciiTheme="majorHAnsi" w:hAnsiTheme="majorHAnsi" w:cstheme="majorHAnsi"/>
                <w:noProof/>
                <w:webHidden/>
              </w:rPr>
              <w:fldChar w:fldCharType="begin"/>
            </w:r>
            <w:r w:rsidRPr="004A3A82">
              <w:rPr>
                <w:rFonts w:asciiTheme="majorHAnsi" w:hAnsiTheme="majorHAnsi" w:cstheme="majorHAnsi"/>
                <w:noProof/>
                <w:webHidden/>
              </w:rPr>
              <w:instrText xml:space="preserve"> PAGEREF _Toc132721430 \h </w:instrText>
            </w:r>
            <w:r w:rsidRPr="004A3A82">
              <w:rPr>
                <w:rFonts w:asciiTheme="majorHAnsi" w:hAnsiTheme="majorHAnsi" w:cstheme="majorHAnsi"/>
                <w:noProof/>
                <w:webHidden/>
              </w:rPr>
            </w:r>
            <w:r w:rsidRPr="004A3A82">
              <w:rPr>
                <w:rFonts w:asciiTheme="majorHAnsi" w:hAnsiTheme="majorHAnsi" w:cstheme="majorHAnsi"/>
                <w:noProof/>
                <w:webHidden/>
              </w:rPr>
              <w:fldChar w:fldCharType="separate"/>
            </w:r>
            <w:r w:rsidRPr="004A3A82">
              <w:rPr>
                <w:rFonts w:asciiTheme="majorHAnsi" w:hAnsiTheme="majorHAnsi" w:cstheme="majorHAnsi"/>
                <w:noProof/>
                <w:webHidden/>
              </w:rPr>
              <w:t>15</w:t>
            </w:r>
            <w:r w:rsidRPr="004A3A82">
              <w:rPr>
                <w:rFonts w:asciiTheme="majorHAnsi" w:hAnsiTheme="majorHAnsi" w:cstheme="majorHAnsi"/>
                <w:noProof/>
                <w:webHidden/>
              </w:rPr>
              <w:fldChar w:fldCharType="end"/>
            </w:r>
          </w:hyperlink>
        </w:p>
        <w:p w14:paraId="00000025" w14:textId="611B4973" w:rsidR="006F6A97" w:rsidRDefault="004A3A82" w:rsidP="004A3A82">
          <w:pPr>
            <w:pBdr>
              <w:top w:val="nil"/>
              <w:left w:val="nil"/>
              <w:bottom w:val="nil"/>
              <w:right w:val="nil"/>
              <w:between w:val="nil"/>
            </w:pBdr>
            <w:tabs>
              <w:tab w:val="right" w:pos="9350"/>
            </w:tabs>
            <w:spacing w:after="100"/>
            <w:rPr>
              <w:color w:val="000000"/>
              <w:sz w:val="22"/>
              <w:szCs w:val="22"/>
            </w:rPr>
          </w:pPr>
          <w:r w:rsidRPr="004A3A82">
            <w:rPr>
              <w:rFonts w:asciiTheme="majorHAnsi" w:hAnsiTheme="majorHAnsi" w:cstheme="majorHAnsi"/>
            </w:rPr>
            <w:fldChar w:fldCharType="end"/>
          </w:r>
        </w:p>
      </w:sdtContent>
    </w:sdt>
    <w:p w14:paraId="00000026" w14:textId="77777777" w:rsidR="006F6A97" w:rsidRDefault="003E2808">
      <w:r>
        <w:br w:type="page"/>
      </w:r>
    </w:p>
    <w:p w14:paraId="00000027" w14:textId="77777777" w:rsidR="006F6A97" w:rsidRDefault="003E2808">
      <w:pPr>
        <w:pStyle w:val="Heading1"/>
      </w:pPr>
      <w:bookmarkStart w:id="0" w:name="_Toc132721404"/>
      <w:r>
        <w:t>Introduction</w:t>
      </w:r>
      <w:bookmarkEnd w:id="0"/>
    </w:p>
    <w:p w14:paraId="00000028" w14:textId="77777777" w:rsidR="006F6A97" w:rsidRDefault="003E2808">
      <w:r>
        <w:t>Ce document de recommandations est le troisième rapport du projet Accès aux communications dans le cadr</w:t>
      </w:r>
      <w:r>
        <w:t xml:space="preserve">e de la Loi canadienne sur l’accessibilité (projet Accès aux communications). Ce rapport rassemble toutes les recommandations des deux premiers rapports </w:t>
      </w:r>
      <w:r>
        <w:t xml:space="preserve">du projet : </w:t>
      </w:r>
    </w:p>
    <w:p w14:paraId="00000029" w14:textId="77777777" w:rsidR="006F6A97" w:rsidRDefault="003E2808">
      <w:pPr>
        <w:numPr>
          <w:ilvl w:val="0"/>
          <w:numId w:val="29"/>
        </w:numPr>
        <w:pBdr>
          <w:top w:val="nil"/>
          <w:left w:val="nil"/>
          <w:bottom w:val="nil"/>
          <w:right w:val="nil"/>
          <w:between w:val="nil"/>
        </w:pBdr>
        <w:spacing w:after="0"/>
        <w:rPr>
          <w:color w:val="000000"/>
        </w:rPr>
      </w:pPr>
      <w:r>
        <w:rPr>
          <w:i/>
          <w:color w:val="000000"/>
        </w:rPr>
        <w:t>Structurer l’accessibilité des communications dans le contexte canadien</w:t>
      </w:r>
      <w:r>
        <w:rPr>
          <w:color w:val="000000"/>
        </w:rPr>
        <w:t xml:space="preserve"> et </w:t>
      </w:r>
      <w:r>
        <w:rPr>
          <w:i/>
          <w:color w:val="000000"/>
        </w:rPr>
        <w:t>Portée des appr</w:t>
      </w:r>
      <w:r>
        <w:rPr>
          <w:i/>
          <w:color w:val="000000"/>
        </w:rPr>
        <w:t xml:space="preserve">oches et </w:t>
      </w:r>
    </w:p>
    <w:p w14:paraId="0000002A" w14:textId="77777777" w:rsidR="006F6A97" w:rsidRDefault="003E2808">
      <w:pPr>
        <w:numPr>
          <w:ilvl w:val="0"/>
          <w:numId w:val="29"/>
        </w:numPr>
        <w:pBdr>
          <w:top w:val="nil"/>
          <w:left w:val="nil"/>
          <w:bottom w:val="nil"/>
          <w:right w:val="nil"/>
          <w:between w:val="nil"/>
        </w:pBdr>
        <w:rPr>
          <w:color w:val="000000"/>
        </w:rPr>
      </w:pPr>
      <w:r>
        <w:rPr>
          <w:i/>
          <w:color w:val="000000"/>
        </w:rPr>
        <w:t xml:space="preserve"> Mesures de soutien en matière d’accès</w:t>
      </w:r>
      <w:r>
        <w:rPr>
          <w:color w:val="000000"/>
        </w:rPr>
        <w:t xml:space="preserve"> </w:t>
      </w:r>
      <w:r>
        <w:rPr>
          <w:i/>
          <w:color w:val="000000"/>
        </w:rPr>
        <w:t>à la communication dans les contextes réglementés par le gouvernement fédéral</w:t>
      </w:r>
      <w:r>
        <w:rPr>
          <w:color w:val="000000"/>
        </w:rPr>
        <w:t xml:space="preserve">. </w:t>
      </w:r>
    </w:p>
    <w:p w14:paraId="0000002B" w14:textId="77777777" w:rsidR="006F6A97" w:rsidRDefault="003E2808">
      <w:r>
        <w:t>Notre recherche s’appuie</w:t>
      </w:r>
      <w:r>
        <w:t xml:space="preserve"> sur les recherches menées par Accès Troubles de la Communication Canada (CDAC) et élargit et appuie le</w:t>
      </w:r>
      <w:r>
        <w:t>s recommandations précédemment déposées par le CDAC. Ces recommandations restent utiles et nécessaires, nous les avons incluses dans une annexe afin qu’e</w:t>
      </w:r>
      <w:r>
        <w:t xml:space="preserve">lles puissent être facilement référencées et révisées. </w:t>
      </w:r>
    </w:p>
    <w:p w14:paraId="0000002C" w14:textId="77777777" w:rsidR="006F6A97" w:rsidRDefault="003E2808">
      <w:pPr>
        <w:rPr>
          <w:rFonts w:ascii="Times New Roman" w:eastAsia="Times New Roman" w:hAnsi="Times New Roman" w:cs="Times New Roman"/>
        </w:rPr>
      </w:pPr>
      <w:r>
        <w:t>L’objectif du projet d’accès à la communication</w:t>
      </w:r>
      <w:r>
        <w:t xml:space="preserve"> est d’éclairer l’élaboration de normes et de règlements d’accès aux communications en vertu de la Loi canadienne sur l’accessibilité. La Loi canadienne </w:t>
      </w:r>
      <w:r>
        <w:t>sur l’accessibilité mentionne spécifiquement la communication comme un domaine dans lequel les obstacle</w:t>
      </w:r>
      <w:r>
        <w:t xml:space="preserve">s seront identifiés, supprimés et évités. </w:t>
      </w:r>
    </w:p>
    <w:p w14:paraId="0000002D" w14:textId="77777777" w:rsidR="006F6A97" w:rsidRDefault="003E2808">
      <w:pPr>
        <w:rPr>
          <w:rFonts w:ascii="Times New Roman" w:eastAsia="Times New Roman" w:hAnsi="Times New Roman" w:cs="Times New Roman"/>
        </w:rPr>
      </w:pPr>
      <w:r>
        <w:t>L’intention de ce document est de créer une ressource unique, facile, pour les recommandations de notre recher</w:t>
      </w:r>
      <w:r>
        <w:t>che et de celle du CDAC dans le domaine de l’accès aux communications, qui pourrait être utilisée par l</w:t>
      </w:r>
      <w:r>
        <w:t>es comités d’élaboration de normes et d’autres personnes intéressées à améliorer et à éliminer les obstacles à l’accès aux communications. </w:t>
      </w:r>
    </w:p>
    <w:p w14:paraId="0000002E" w14:textId="77777777" w:rsidR="006F6A97" w:rsidRDefault="003E2808">
      <w:pPr>
        <w:pStyle w:val="Heading1"/>
      </w:pPr>
      <w:bookmarkStart w:id="1" w:name="_Toc132721405"/>
      <w:r>
        <w:t>Recommandatio</w:t>
      </w:r>
      <w:r>
        <w:t>ns du projet d’accès aux communications, mars 2023</w:t>
      </w:r>
      <w:bookmarkEnd w:id="1"/>
    </w:p>
    <w:p w14:paraId="0000002F" w14:textId="77777777" w:rsidR="006F6A97" w:rsidRDefault="003E2808">
      <w:r>
        <w:t>Dans le cadre de notre recherche, qui comprenait des</w:t>
      </w:r>
      <w:r>
        <w:t xml:space="preserve"> conversations et des entrevues avec des conseillers, d’autres experts et cliniciens sur le terrain et des personnes ayant vécu une expérience de handica</w:t>
      </w:r>
      <w:r>
        <w:t>p, nous avons élaboré 26 recommandations qui complètent et appuient les recommandations existantes du C</w:t>
      </w:r>
      <w:r>
        <w:t xml:space="preserve">DAC fournies en annexe. Les recommandations sont organisées en fonction des thèmes récurrents de notre recherche </w:t>
      </w:r>
    </w:p>
    <w:p w14:paraId="00000030" w14:textId="77777777" w:rsidR="006F6A97" w:rsidRDefault="003E2808">
      <w:pPr>
        <w:pStyle w:val="Heading2"/>
      </w:pPr>
      <w:bookmarkStart w:id="2" w:name="_Toc132721406"/>
      <w:r>
        <w:t>Obstacles comportementaux</w:t>
      </w:r>
      <w:bookmarkEnd w:id="2"/>
    </w:p>
    <w:p w14:paraId="00000031" w14:textId="77777777" w:rsidR="006F6A97" w:rsidRDefault="003E2808">
      <w:pPr>
        <w:pStyle w:val="Heading3"/>
        <w:rPr>
          <w:rFonts w:ascii="Times New Roman" w:eastAsia="Times New Roman" w:hAnsi="Times New Roman" w:cs="Times New Roman"/>
        </w:rPr>
      </w:pPr>
      <w:bookmarkStart w:id="3" w:name="_Toc132721407"/>
      <w:r>
        <w:t>Formation et sensibilisation à l’accès à la communication</w:t>
      </w:r>
      <w:bookmarkEnd w:id="3"/>
    </w:p>
    <w:p w14:paraId="00000032"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Fournir les programmes de formation requis pour </w:t>
      </w:r>
      <w:r>
        <w:rPr>
          <w:i/>
          <w:color w:val="000000"/>
        </w:rPr>
        <w:t>tous</w:t>
      </w:r>
      <w:r>
        <w:rPr>
          <w:color w:val="000000"/>
        </w:rPr>
        <w:t xml:space="preserve"> les f</w:t>
      </w:r>
      <w:r>
        <w:rPr>
          <w:color w:val="000000"/>
        </w:rPr>
        <w:t>onctionnaires et les membres du gouvernement en ce qui a trait aux approches d’accès aux communications.</w:t>
      </w:r>
    </w:p>
    <w:p w14:paraId="00000033" w14:textId="77777777" w:rsidR="006F6A97" w:rsidRDefault="003E2808">
      <w:pPr>
        <w:numPr>
          <w:ilvl w:val="0"/>
          <w:numId w:val="27"/>
        </w:numPr>
        <w:pBdr>
          <w:top w:val="nil"/>
          <w:left w:val="nil"/>
          <w:bottom w:val="nil"/>
          <w:right w:val="nil"/>
          <w:between w:val="nil"/>
        </w:pBdr>
        <w:spacing w:after="0"/>
        <w:rPr>
          <w:color w:val="000000"/>
        </w:rPr>
      </w:pPr>
      <w:r>
        <w:rPr>
          <w:color w:val="000000"/>
        </w:rPr>
        <w:t>Développe</w:t>
      </w:r>
      <w:r>
        <w:rPr>
          <w:color w:val="000000"/>
        </w:rPr>
        <w:t>r la conscience et la compréhension du fait que les personnes handicapées ont des différences dans la manière dont elles aiment communiquer. L</w:t>
      </w:r>
      <w:r>
        <w:rPr>
          <w:color w:val="000000"/>
        </w:rPr>
        <w:t>es personnes souffrant du même handicap communiqueront de différentes façons et ces façons devraient être considér</w:t>
      </w:r>
      <w:r>
        <w:rPr>
          <w:color w:val="000000"/>
        </w:rPr>
        <w:t>ées comme valables dans tous les contextes.</w:t>
      </w:r>
    </w:p>
    <w:p w14:paraId="00000034" w14:textId="77777777" w:rsidR="006F6A97" w:rsidRDefault="003E2808">
      <w:pPr>
        <w:numPr>
          <w:ilvl w:val="0"/>
          <w:numId w:val="27"/>
        </w:numPr>
        <w:pBdr>
          <w:top w:val="nil"/>
          <w:left w:val="nil"/>
          <w:bottom w:val="nil"/>
          <w:right w:val="nil"/>
          <w:between w:val="nil"/>
        </w:pBdr>
        <w:spacing w:after="0"/>
        <w:rPr>
          <w:color w:val="000000"/>
        </w:rPr>
      </w:pPr>
      <w:r>
        <w:rPr>
          <w:color w:val="000000"/>
        </w:rPr>
        <w:t>Créer une formation sur les stratégies de communication qui sont significatives pour les personnes</w:t>
      </w:r>
      <w:r>
        <w:rPr>
          <w:color w:val="000000"/>
        </w:rPr>
        <w:t xml:space="preserve"> ayant des difficultés de communication dans les programmes de « formation sur l’accessibilité ». La formation dev</w:t>
      </w:r>
      <w:r>
        <w:rPr>
          <w:color w:val="000000"/>
        </w:rPr>
        <w:t>rait être fondée sur des politiques et des pratiques d’accès à la communication significatives et au-delà d’un langage respectueux.</w:t>
      </w:r>
    </w:p>
    <w:p w14:paraId="00000035"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Créer une </w:t>
      </w:r>
      <w:r>
        <w:rPr>
          <w:color w:val="000000"/>
        </w:rPr>
        <w:t>formation spécifique pour faciliter la communication avec les personnes dont l’élocution n’est pas claire (de la p</w:t>
      </w:r>
      <w:r>
        <w:rPr>
          <w:color w:val="000000"/>
        </w:rPr>
        <w:t>arole à la parole) et/ou qui utilisent un dispositif de communication assistée ou de suppléance à la communication. Par exemple, les personnes</w:t>
      </w:r>
      <w:r>
        <w:rPr>
          <w:color w:val="000000"/>
        </w:rPr>
        <w:t xml:space="preserve"> ayant des difficultés de communication doivent savoir quelles options sont disponibles pour les connexions téléph</w:t>
      </w:r>
      <w:r>
        <w:rPr>
          <w:color w:val="000000"/>
        </w:rPr>
        <w:t>oniques. </w:t>
      </w:r>
    </w:p>
    <w:p w14:paraId="00000036" w14:textId="77777777" w:rsidR="006F6A97" w:rsidRDefault="003E2808">
      <w:pPr>
        <w:numPr>
          <w:ilvl w:val="0"/>
          <w:numId w:val="27"/>
        </w:numPr>
        <w:pBdr>
          <w:top w:val="nil"/>
          <w:left w:val="nil"/>
          <w:bottom w:val="nil"/>
          <w:right w:val="nil"/>
          <w:between w:val="nil"/>
        </w:pBdr>
        <w:rPr>
          <w:color w:val="000000"/>
        </w:rPr>
      </w:pPr>
      <w:r>
        <w:rPr>
          <w:color w:val="000000"/>
        </w:rPr>
        <w:t>Un manuel sur l’aide aux personnes ayant des difficultés de communication devrait être mis à la disposition des employés et des prof</w:t>
      </w:r>
      <w:r>
        <w:rPr>
          <w:color w:val="000000"/>
        </w:rPr>
        <w:t>essionnels dans l’ensemble des services gouvernementaux. </w:t>
      </w:r>
    </w:p>
    <w:p w14:paraId="00000037" w14:textId="77777777" w:rsidR="006F6A97" w:rsidRDefault="003E2808">
      <w:pPr>
        <w:pStyle w:val="Heading3"/>
        <w:rPr>
          <w:rFonts w:ascii="Times New Roman" w:eastAsia="Times New Roman" w:hAnsi="Times New Roman" w:cs="Times New Roman"/>
        </w:rPr>
      </w:pPr>
      <w:bookmarkStart w:id="4" w:name="_Toc132721408"/>
      <w:r>
        <w:t>Temps de communication</w:t>
      </w:r>
      <w:bookmarkEnd w:id="4"/>
    </w:p>
    <w:p w14:paraId="00000038" w14:textId="77777777" w:rsidR="006F6A97" w:rsidRDefault="003E2808">
      <w:pPr>
        <w:numPr>
          <w:ilvl w:val="0"/>
          <w:numId w:val="27"/>
        </w:numPr>
        <w:pBdr>
          <w:top w:val="nil"/>
          <w:left w:val="nil"/>
          <w:bottom w:val="nil"/>
          <w:right w:val="nil"/>
          <w:between w:val="nil"/>
        </w:pBdr>
        <w:rPr>
          <w:color w:val="000000"/>
        </w:rPr>
      </w:pPr>
      <w:r>
        <w:rPr>
          <w:color w:val="000000"/>
        </w:rPr>
        <w:t>Prévoir suffisamment de temps pou</w:t>
      </w:r>
      <w:r>
        <w:rPr>
          <w:color w:val="000000"/>
        </w:rPr>
        <w:t>r toutes les formes et méthodes de communication, y compris les interactions en ligne qui peuvent être interrompues sans avertissement ou temp</w:t>
      </w:r>
      <w:r>
        <w:rPr>
          <w:color w:val="000000"/>
        </w:rPr>
        <w:t>s de réponse adéquat.</w:t>
      </w:r>
    </w:p>
    <w:p w14:paraId="00000039" w14:textId="77777777" w:rsidR="006F6A97" w:rsidRDefault="003E2808">
      <w:pPr>
        <w:pBdr>
          <w:top w:val="nil"/>
          <w:left w:val="nil"/>
          <w:bottom w:val="nil"/>
          <w:right w:val="nil"/>
          <w:between w:val="nil"/>
        </w:pBdr>
        <w:spacing w:before="40" w:after="40"/>
        <w:rPr>
          <w:rFonts w:ascii="Times New Roman" w:eastAsia="Times New Roman" w:hAnsi="Times New Roman" w:cs="Times New Roman"/>
          <w:b/>
          <w:color w:val="85200C"/>
        </w:rPr>
      </w:pPr>
      <w:r>
        <w:rPr>
          <w:rFonts w:ascii="Arial" w:eastAsia="Arial" w:hAnsi="Arial" w:cs="Arial"/>
          <w:b/>
          <w:color w:val="85200C"/>
        </w:rPr>
        <w:t>Respecter l’individu</w:t>
      </w:r>
    </w:p>
    <w:p w14:paraId="0000003A" w14:textId="77777777" w:rsidR="006F6A97" w:rsidRDefault="003E2808">
      <w:pPr>
        <w:numPr>
          <w:ilvl w:val="0"/>
          <w:numId w:val="27"/>
        </w:numPr>
        <w:pBdr>
          <w:top w:val="nil"/>
          <w:left w:val="nil"/>
          <w:bottom w:val="nil"/>
          <w:right w:val="nil"/>
          <w:between w:val="nil"/>
        </w:pBdr>
        <w:spacing w:after="0"/>
        <w:rPr>
          <w:color w:val="000000"/>
        </w:rPr>
      </w:pPr>
      <w:r>
        <w:rPr>
          <w:color w:val="000000"/>
        </w:rPr>
        <w:t>Veiller à ce que</w:t>
      </w:r>
      <w:r>
        <w:rPr>
          <w:rFonts w:ascii="Arial" w:eastAsia="Arial" w:hAnsi="Arial" w:cs="Arial"/>
          <w:color w:val="000000"/>
        </w:rPr>
        <w:t xml:space="preserve"> </w:t>
      </w:r>
      <w:r>
        <w:rPr>
          <w:color w:val="000000"/>
        </w:rPr>
        <w:t>la communication soit mutuellement comprise.</w:t>
      </w:r>
    </w:p>
    <w:p w14:paraId="0000003B" w14:textId="77777777" w:rsidR="006F6A97" w:rsidRDefault="003E2808">
      <w:pPr>
        <w:numPr>
          <w:ilvl w:val="0"/>
          <w:numId w:val="27"/>
        </w:numPr>
        <w:pBdr>
          <w:top w:val="nil"/>
          <w:left w:val="nil"/>
          <w:bottom w:val="nil"/>
          <w:right w:val="nil"/>
          <w:between w:val="nil"/>
        </w:pBdr>
        <w:rPr>
          <w:color w:val="000000"/>
        </w:rPr>
      </w:pPr>
      <w:r>
        <w:rPr>
          <w:color w:val="000000"/>
        </w:rPr>
        <w:t>Mettre en place des registres communautaires pour les résidents souffrant de troubles de communication et de troubles neurologiques croisés auxquels le</w:t>
      </w:r>
      <w:r>
        <w:rPr>
          <w:color w:val="000000"/>
        </w:rPr>
        <w:t xml:space="preserve">s employés des services peuvent avoir accès, en particulier </w:t>
      </w:r>
      <w:r>
        <w:rPr>
          <w:color w:val="000000"/>
        </w:rPr>
        <w:t>les services essentiels tels que les services frontaliers et les services de police.</w:t>
      </w:r>
    </w:p>
    <w:p w14:paraId="0000003C" w14:textId="77777777" w:rsidR="006F6A97" w:rsidRDefault="003E2808">
      <w:pPr>
        <w:pStyle w:val="Heading2"/>
        <w:rPr>
          <w:rFonts w:ascii="Times New Roman" w:eastAsia="Times New Roman" w:hAnsi="Times New Roman" w:cs="Times New Roman"/>
          <w:sz w:val="27"/>
          <w:szCs w:val="27"/>
        </w:rPr>
      </w:pPr>
      <w:bookmarkStart w:id="5" w:name="_Toc132721409"/>
      <w:r>
        <w:t>Accessibilité</w:t>
      </w:r>
      <w:bookmarkEnd w:id="5"/>
      <w:r>
        <w:t xml:space="preserve"> </w:t>
      </w:r>
    </w:p>
    <w:p w14:paraId="0000003D" w14:textId="77777777" w:rsidR="006F6A97" w:rsidRDefault="003E2808">
      <w:pPr>
        <w:pBdr>
          <w:top w:val="nil"/>
          <w:left w:val="nil"/>
          <w:bottom w:val="nil"/>
          <w:right w:val="nil"/>
          <w:between w:val="nil"/>
        </w:pBdr>
        <w:spacing w:before="280" w:after="80"/>
        <w:rPr>
          <w:rFonts w:ascii="Times New Roman" w:eastAsia="Times New Roman" w:hAnsi="Times New Roman" w:cs="Times New Roman"/>
          <w:b/>
          <w:color w:val="85200C"/>
        </w:rPr>
      </w:pPr>
      <w:r>
        <w:rPr>
          <w:rFonts w:ascii="Arial" w:eastAsia="Arial" w:hAnsi="Arial" w:cs="Arial"/>
          <w:b/>
          <w:color w:val="85200C"/>
        </w:rPr>
        <w:t>Améliorer la transparence et la clarté des soutiens disponibles </w:t>
      </w:r>
    </w:p>
    <w:p w14:paraId="0000003E"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L’information sur les services </w:t>
      </w:r>
      <w:r>
        <w:rPr>
          <w:color w:val="000000"/>
        </w:rPr>
        <w:t>et les soutiens disponibles devrait être facilement accessible pour le personnel et les visiteurs dans tous les modes d’interaction (par exemple, face à face, clavardage en ligne, téléphone, etc.)</w:t>
      </w:r>
    </w:p>
    <w:p w14:paraId="0000003F" w14:textId="77777777" w:rsidR="006F6A97" w:rsidRDefault="003E2808">
      <w:pPr>
        <w:numPr>
          <w:ilvl w:val="0"/>
          <w:numId w:val="27"/>
        </w:numPr>
        <w:pBdr>
          <w:top w:val="nil"/>
          <w:left w:val="nil"/>
          <w:bottom w:val="nil"/>
          <w:right w:val="nil"/>
          <w:between w:val="nil"/>
        </w:pBdr>
        <w:rPr>
          <w:color w:val="000000"/>
        </w:rPr>
      </w:pPr>
      <w:r>
        <w:rPr>
          <w:color w:val="000000"/>
        </w:rPr>
        <w:t>Les informations sur les ser</w:t>
      </w:r>
      <w:r>
        <w:rPr>
          <w:color w:val="000000"/>
        </w:rPr>
        <w:t xml:space="preserve">vices et les aides disponibles </w:t>
      </w:r>
      <w:r>
        <w:rPr>
          <w:color w:val="000000"/>
        </w:rPr>
        <w:t>doivent être facilement accessibles par des liens directs à partir de la page d’accueil du site web du service concerné.</w:t>
      </w:r>
    </w:p>
    <w:p w14:paraId="00000040" w14:textId="77777777" w:rsidR="006F6A97" w:rsidRDefault="003E2808">
      <w:pPr>
        <w:pBdr>
          <w:top w:val="nil"/>
          <w:left w:val="nil"/>
          <w:bottom w:val="nil"/>
          <w:right w:val="nil"/>
          <w:between w:val="nil"/>
        </w:pBdr>
        <w:spacing w:before="280" w:after="80"/>
        <w:rPr>
          <w:rFonts w:ascii="Times New Roman" w:eastAsia="Times New Roman" w:hAnsi="Times New Roman" w:cs="Times New Roman"/>
          <w:b/>
          <w:color w:val="85200C"/>
        </w:rPr>
      </w:pPr>
      <w:r>
        <w:rPr>
          <w:rFonts w:ascii="Arial" w:eastAsia="Arial" w:hAnsi="Arial" w:cs="Arial"/>
          <w:b/>
          <w:color w:val="85200C"/>
        </w:rPr>
        <w:t>Inclure des supports pour l’écriture</w:t>
      </w:r>
    </w:p>
    <w:p w14:paraId="00000041" w14:textId="1A2D8D67" w:rsidR="006F6A97" w:rsidRDefault="003E2808">
      <w:pPr>
        <w:numPr>
          <w:ilvl w:val="0"/>
          <w:numId w:val="27"/>
        </w:numPr>
        <w:pBdr>
          <w:top w:val="nil"/>
          <w:left w:val="nil"/>
          <w:bottom w:val="nil"/>
          <w:right w:val="nil"/>
          <w:between w:val="nil"/>
        </w:pBdr>
        <w:rPr>
          <w:color w:val="000000"/>
        </w:rPr>
      </w:pPr>
      <w:r>
        <w:rPr>
          <w:color w:val="000000"/>
        </w:rPr>
        <w:t>Inclure des options pour les exigences écrites figurant dans les fo</w:t>
      </w:r>
      <w:r>
        <w:rPr>
          <w:color w:val="000000"/>
        </w:rPr>
        <w:t>rmulaires, les signatures et d’</w:t>
      </w:r>
      <w:r>
        <w:rPr>
          <w:color w:val="000000"/>
        </w:rPr>
        <w:t>autres documents qui exigent que les personnes remplissent des informations. Disposer d’autres moyens d’exprimer des exigences écrites, y compris des formulaires accessibles (par exemple, accessibles par le biais d’un clavier</w:t>
      </w:r>
      <w:r>
        <w:rPr>
          <w:color w:val="000000"/>
        </w:rPr>
        <w:t xml:space="preserve"> ou de commutateurs), d’autres </w:t>
      </w:r>
      <w:r>
        <w:rPr>
          <w:color w:val="000000"/>
        </w:rPr>
        <w:t>options de signature ou d’aide humaine (reconnaître les personnes de soutien comme des aides valables dans le processus d’accomplissement des tâches d’un individu).</w:t>
      </w:r>
    </w:p>
    <w:p w14:paraId="00000042" w14:textId="77777777" w:rsidR="006F6A97" w:rsidRDefault="003E2808">
      <w:pPr>
        <w:pBdr>
          <w:top w:val="nil"/>
          <w:left w:val="nil"/>
          <w:bottom w:val="nil"/>
          <w:right w:val="nil"/>
          <w:between w:val="nil"/>
        </w:pBdr>
        <w:spacing w:before="40" w:after="80"/>
        <w:rPr>
          <w:rFonts w:ascii="Times New Roman" w:eastAsia="Times New Roman" w:hAnsi="Times New Roman" w:cs="Times New Roman"/>
          <w:b/>
          <w:color w:val="85200C"/>
        </w:rPr>
      </w:pPr>
      <w:r>
        <w:rPr>
          <w:rFonts w:ascii="Arial" w:eastAsia="Arial" w:hAnsi="Arial" w:cs="Arial"/>
          <w:b/>
          <w:color w:val="85200C"/>
        </w:rPr>
        <w:t>Identifier les obstacles introduits par les approches basées sur la technologie</w:t>
      </w:r>
    </w:p>
    <w:p w14:paraId="00000043" w14:textId="77777777" w:rsidR="006F6A97" w:rsidRDefault="003E2808">
      <w:pPr>
        <w:numPr>
          <w:ilvl w:val="0"/>
          <w:numId w:val="27"/>
        </w:numPr>
        <w:pBdr>
          <w:top w:val="nil"/>
          <w:left w:val="nil"/>
          <w:bottom w:val="nil"/>
          <w:right w:val="nil"/>
          <w:between w:val="nil"/>
        </w:pBdr>
        <w:spacing w:after="0"/>
        <w:rPr>
          <w:color w:val="000000"/>
        </w:rPr>
      </w:pPr>
      <w:r>
        <w:rPr>
          <w:color w:val="000000"/>
        </w:rPr>
        <w:t>La technolo</w:t>
      </w:r>
      <w:r>
        <w:rPr>
          <w:color w:val="000000"/>
        </w:rPr>
        <w:t>gie utilisée pour soutenir l’accès aux communications doit également être inclusive et accessible (p. ex., utilisable par les personnes qui ont besoin de formats d’a</w:t>
      </w:r>
      <w:r>
        <w:rPr>
          <w:color w:val="000000"/>
        </w:rPr>
        <w:t>ccès alternatifs tels que les commutateurs ou les lecteurs d’écran).</w:t>
      </w:r>
    </w:p>
    <w:p w14:paraId="00000044"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Les politiques visant </w:t>
      </w:r>
      <w:r>
        <w:rPr>
          <w:color w:val="000000"/>
        </w:rPr>
        <w:t>à prévenir les obstacles à l’accès ne doivent pas être prescriptives au point d’étouffer ou d’empêcher l’adoption d’innovations (par exemple, le projet euphonia de G</w:t>
      </w:r>
      <w:r>
        <w:rPr>
          <w:color w:val="000000"/>
        </w:rPr>
        <w:t>oogle est prometteur en tant que système de reconnaissance vocale).</w:t>
      </w:r>
    </w:p>
    <w:p w14:paraId="00000045" w14:textId="77777777" w:rsidR="006F6A97" w:rsidRDefault="003E2808">
      <w:pPr>
        <w:numPr>
          <w:ilvl w:val="0"/>
          <w:numId w:val="27"/>
        </w:numPr>
        <w:pBdr>
          <w:top w:val="nil"/>
          <w:left w:val="nil"/>
          <w:bottom w:val="nil"/>
          <w:right w:val="nil"/>
          <w:between w:val="nil"/>
        </w:pBdr>
        <w:spacing w:after="0"/>
        <w:rPr>
          <w:color w:val="000000"/>
        </w:rPr>
      </w:pPr>
      <w:r>
        <w:rPr>
          <w:color w:val="000000"/>
        </w:rPr>
        <w:t>Des alternatives humain</w:t>
      </w:r>
      <w:r>
        <w:rPr>
          <w:color w:val="000000"/>
        </w:rPr>
        <w:t>es aux approches technologiques devraient toujours être disponibles, de même que d’autres approches technologiques.</w:t>
      </w:r>
    </w:p>
    <w:p w14:paraId="00000046" w14:textId="77777777" w:rsidR="006F6A97" w:rsidRDefault="003E2808">
      <w:pPr>
        <w:numPr>
          <w:ilvl w:val="0"/>
          <w:numId w:val="27"/>
        </w:numPr>
        <w:pBdr>
          <w:top w:val="nil"/>
          <w:left w:val="nil"/>
          <w:bottom w:val="nil"/>
          <w:right w:val="nil"/>
          <w:between w:val="nil"/>
        </w:pBdr>
        <w:rPr>
          <w:color w:val="000000"/>
        </w:rPr>
      </w:pPr>
      <w:r>
        <w:rPr>
          <w:color w:val="000000"/>
        </w:rPr>
        <w:t>Testez les parcours des utilisateurs avec une div</w:t>
      </w:r>
      <w:r>
        <w:rPr>
          <w:color w:val="000000"/>
        </w:rPr>
        <w:t>ersité de personnes ayant des difficultés de communication et des handicaps croisés pour en</w:t>
      </w:r>
      <w:r>
        <w:rPr>
          <w:color w:val="000000"/>
        </w:rPr>
        <w:t xml:space="preserve"> savoir plus sur les bloqueurs et vous assurer que l’expérience utilisateur correspond aux attentes.</w:t>
      </w:r>
    </w:p>
    <w:p w14:paraId="00000047" w14:textId="77777777" w:rsidR="006F6A97" w:rsidRDefault="003E2808">
      <w:pPr>
        <w:pBdr>
          <w:top w:val="nil"/>
          <w:left w:val="nil"/>
          <w:bottom w:val="nil"/>
          <w:right w:val="nil"/>
          <w:between w:val="nil"/>
        </w:pBdr>
        <w:spacing w:before="280" w:after="80"/>
        <w:rPr>
          <w:rFonts w:ascii="Times New Roman" w:eastAsia="Times New Roman" w:hAnsi="Times New Roman" w:cs="Times New Roman"/>
          <w:b/>
          <w:color w:val="85200C"/>
        </w:rPr>
      </w:pPr>
      <w:r>
        <w:rPr>
          <w:rFonts w:ascii="Arial" w:eastAsia="Arial" w:hAnsi="Arial" w:cs="Arial"/>
          <w:b/>
          <w:color w:val="85200C"/>
        </w:rPr>
        <w:t>Fournir des approches uniques pour des individus uniques</w:t>
      </w:r>
    </w:p>
    <w:p w14:paraId="00000048" w14:textId="77777777" w:rsidR="006F6A97" w:rsidRDefault="003E2808">
      <w:pPr>
        <w:numPr>
          <w:ilvl w:val="0"/>
          <w:numId w:val="28"/>
        </w:numPr>
        <w:pBdr>
          <w:top w:val="nil"/>
          <w:left w:val="nil"/>
          <w:bottom w:val="nil"/>
          <w:right w:val="nil"/>
          <w:between w:val="nil"/>
        </w:pBdr>
        <w:spacing w:after="0"/>
        <w:rPr>
          <w:color w:val="000000"/>
        </w:rPr>
      </w:pPr>
      <w:r>
        <w:rPr>
          <w:color w:val="000000"/>
        </w:rPr>
        <w:t>Proposer plusieurs options pour la communication et la collecte d’informations (par exemple, impre</w:t>
      </w:r>
      <w:r>
        <w:rPr>
          <w:color w:val="000000"/>
        </w:rPr>
        <w:t xml:space="preserve">ssion, courrier électronique, clavardage, téléphone, synchrone, asynchrone, alternatives à la signature, etc.) </w:t>
      </w:r>
    </w:p>
    <w:p w14:paraId="00000049" w14:textId="77777777" w:rsidR="006F6A97" w:rsidRDefault="003E2808">
      <w:pPr>
        <w:numPr>
          <w:ilvl w:val="0"/>
          <w:numId w:val="28"/>
        </w:numPr>
        <w:pBdr>
          <w:top w:val="nil"/>
          <w:left w:val="nil"/>
          <w:bottom w:val="nil"/>
          <w:right w:val="nil"/>
          <w:between w:val="nil"/>
        </w:pBdr>
        <w:rPr>
          <w:color w:val="000000"/>
        </w:rPr>
      </w:pPr>
      <w:r>
        <w:rPr>
          <w:color w:val="000000"/>
        </w:rPr>
        <w:t xml:space="preserve">Offrir aux personnes ayant des difficultés de </w:t>
      </w:r>
      <w:r>
        <w:rPr>
          <w:color w:val="000000"/>
        </w:rPr>
        <w:t>communication la possibilité d’indiquer les mesures de soutien qui leur conviendront le mieux.</w:t>
      </w:r>
    </w:p>
    <w:p w14:paraId="0000004A" w14:textId="77777777" w:rsidR="006F6A97" w:rsidRDefault="003E2808">
      <w:pPr>
        <w:pBdr>
          <w:top w:val="nil"/>
          <w:left w:val="nil"/>
          <w:bottom w:val="nil"/>
          <w:right w:val="nil"/>
          <w:between w:val="nil"/>
        </w:pBdr>
        <w:spacing w:before="280" w:after="80"/>
        <w:rPr>
          <w:rFonts w:ascii="Times New Roman" w:eastAsia="Times New Roman" w:hAnsi="Times New Roman" w:cs="Times New Roman"/>
          <w:b/>
          <w:color w:val="85200C"/>
        </w:rPr>
      </w:pPr>
      <w:r>
        <w:rPr>
          <w:rFonts w:ascii="Arial" w:eastAsia="Arial" w:hAnsi="Arial" w:cs="Arial"/>
          <w:b/>
          <w:color w:val="85200C"/>
        </w:rPr>
        <w:t>Ren</w:t>
      </w:r>
      <w:r>
        <w:rPr>
          <w:rFonts w:ascii="Arial" w:eastAsia="Arial" w:hAnsi="Arial" w:cs="Arial"/>
          <w:b/>
          <w:color w:val="85200C"/>
        </w:rPr>
        <w:t>dre les services et les processus accessibles</w:t>
      </w:r>
    </w:p>
    <w:p w14:paraId="0000004B"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Fournir des informations sur les exigences/informations nécessaires ou de la documentation le plus tôt possible </w:t>
      </w:r>
      <w:r>
        <w:rPr>
          <w:color w:val="000000"/>
        </w:rPr>
        <w:t>dans un processus. Par exemple, dans l’environnement en ligne, lorsqu’un processus est chronométré</w:t>
      </w:r>
      <w:r>
        <w:rPr>
          <w:color w:val="000000"/>
        </w:rPr>
        <w:t>, fournissez une liste d’exigences pour terminer le processus avant qu’il ne commence.</w:t>
      </w:r>
    </w:p>
    <w:p w14:paraId="0000004C" w14:textId="77777777" w:rsidR="006F6A97" w:rsidRDefault="003E2808">
      <w:pPr>
        <w:numPr>
          <w:ilvl w:val="0"/>
          <w:numId w:val="27"/>
        </w:numPr>
        <w:pBdr>
          <w:top w:val="nil"/>
          <w:left w:val="nil"/>
          <w:bottom w:val="nil"/>
          <w:right w:val="nil"/>
          <w:between w:val="nil"/>
        </w:pBdr>
        <w:rPr>
          <w:color w:val="000000"/>
        </w:rPr>
      </w:pPr>
      <w:r>
        <w:rPr>
          <w:color w:val="000000"/>
        </w:rPr>
        <w:t>Utilisez un langage simple et, le cas échéant pour certaines personnes, utilisez des questions oui/non.</w:t>
      </w:r>
    </w:p>
    <w:p w14:paraId="0000004D" w14:textId="77777777" w:rsidR="006F6A97" w:rsidRDefault="003E2808">
      <w:pPr>
        <w:pStyle w:val="Heading2"/>
        <w:rPr>
          <w:rFonts w:ascii="Times New Roman" w:eastAsia="Times New Roman" w:hAnsi="Times New Roman" w:cs="Times New Roman"/>
          <w:sz w:val="27"/>
          <w:szCs w:val="27"/>
        </w:rPr>
      </w:pPr>
      <w:bookmarkStart w:id="6" w:name="_Toc132721410"/>
      <w:r>
        <w:t>Personne de soutien</w:t>
      </w:r>
      <w:bookmarkEnd w:id="6"/>
    </w:p>
    <w:p w14:paraId="0000004E" w14:textId="77777777" w:rsidR="006F6A97" w:rsidRDefault="003E2808">
      <w:pPr>
        <w:pBdr>
          <w:top w:val="nil"/>
          <w:left w:val="nil"/>
          <w:bottom w:val="nil"/>
          <w:right w:val="nil"/>
          <w:between w:val="nil"/>
        </w:pBdr>
        <w:spacing w:before="280" w:after="80"/>
        <w:rPr>
          <w:rFonts w:ascii="Times New Roman" w:eastAsia="Times New Roman" w:hAnsi="Times New Roman" w:cs="Times New Roman"/>
          <w:b/>
          <w:color w:val="85200C"/>
        </w:rPr>
      </w:pPr>
      <w:r>
        <w:rPr>
          <w:rFonts w:ascii="Arial" w:eastAsia="Arial" w:hAnsi="Arial" w:cs="Arial"/>
          <w:b/>
          <w:color w:val="85200C"/>
        </w:rPr>
        <w:t xml:space="preserve">Reconnaître le rôle des personnes de soutien </w:t>
      </w:r>
      <w:r>
        <w:rPr>
          <w:rFonts w:ascii="Arial" w:eastAsia="Arial" w:hAnsi="Arial" w:cs="Arial"/>
          <w:b/>
          <w:color w:val="85200C"/>
        </w:rPr>
        <w:t>à la communication</w:t>
      </w:r>
    </w:p>
    <w:p w14:paraId="0000004F"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Ajuster les politiques et les processus qui empêchent l’utilisation d’une personne de soutien à la communication pour permettre le soutien à la communication tout en répondant aux préoccupations liées à la sécurité, à la confidentialité </w:t>
      </w:r>
      <w:r>
        <w:rPr>
          <w:color w:val="000000"/>
        </w:rPr>
        <w:t>ou à l’influence.</w:t>
      </w:r>
    </w:p>
    <w:p w14:paraId="00000050" w14:textId="77777777" w:rsidR="006F6A97" w:rsidRDefault="003E2808">
      <w:pPr>
        <w:numPr>
          <w:ilvl w:val="0"/>
          <w:numId w:val="27"/>
        </w:numPr>
        <w:pBdr>
          <w:top w:val="nil"/>
          <w:left w:val="nil"/>
          <w:bottom w:val="nil"/>
          <w:right w:val="nil"/>
          <w:between w:val="nil"/>
        </w:pBdr>
        <w:rPr>
          <w:color w:val="000000"/>
        </w:rPr>
      </w:pPr>
      <w:r>
        <w:rPr>
          <w:color w:val="000000"/>
        </w:rPr>
        <w:t>F</w:t>
      </w:r>
      <w:r>
        <w:rPr>
          <w:color w:val="000000"/>
        </w:rPr>
        <w:t>ormer les employés à s’adresser à l’individu et non à sa personne de confiance.</w:t>
      </w:r>
    </w:p>
    <w:p w14:paraId="00000051" w14:textId="77777777" w:rsidR="006F6A97" w:rsidRDefault="003E2808">
      <w:pPr>
        <w:pBdr>
          <w:top w:val="nil"/>
          <w:left w:val="nil"/>
          <w:bottom w:val="nil"/>
          <w:right w:val="nil"/>
          <w:between w:val="nil"/>
        </w:pBdr>
        <w:spacing w:before="280" w:after="80"/>
        <w:rPr>
          <w:rFonts w:ascii="Times New Roman" w:eastAsia="Times New Roman" w:hAnsi="Times New Roman" w:cs="Times New Roman"/>
          <w:b/>
          <w:color w:val="85200C"/>
        </w:rPr>
      </w:pPr>
      <w:r>
        <w:rPr>
          <w:rFonts w:ascii="Arial" w:eastAsia="Arial" w:hAnsi="Arial" w:cs="Arial"/>
          <w:b/>
          <w:color w:val="85200C"/>
        </w:rPr>
        <w:t>Reconnaître les intermédiaires en communication (IC)</w:t>
      </w:r>
    </w:p>
    <w:p w14:paraId="00000052" w14:textId="77777777" w:rsidR="006F6A97" w:rsidRDefault="003E2808">
      <w:pPr>
        <w:numPr>
          <w:ilvl w:val="0"/>
          <w:numId w:val="27"/>
        </w:numPr>
        <w:pBdr>
          <w:top w:val="nil"/>
          <w:left w:val="nil"/>
          <w:bottom w:val="nil"/>
          <w:right w:val="nil"/>
          <w:between w:val="nil"/>
        </w:pBdr>
        <w:spacing w:after="0"/>
        <w:rPr>
          <w:color w:val="000000"/>
        </w:rPr>
      </w:pPr>
      <w:r>
        <w:rPr>
          <w:color w:val="000000"/>
        </w:rPr>
        <w:t>Les intermédiaires en communication devraient être réglementés dans le cadre du processus judiciaire.</w:t>
      </w:r>
    </w:p>
    <w:p w14:paraId="00000053" w14:textId="77777777" w:rsidR="006F6A97" w:rsidRDefault="003E2808">
      <w:pPr>
        <w:numPr>
          <w:ilvl w:val="0"/>
          <w:numId w:val="27"/>
        </w:numPr>
        <w:pBdr>
          <w:top w:val="nil"/>
          <w:left w:val="nil"/>
          <w:bottom w:val="nil"/>
          <w:right w:val="nil"/>
          <w:between w:val="nil"/>
        </w:pBdr>
        <w:spacing w:after="0"/>
        <w:rPr>
          <w:color w:val="000000"/>
        </w:rPr>
      </w:pPr>
      <w:r>
        <w:rPr>
          <w:color w:val="000000"/>
        </w:rPr>
        <w:t>Le</w:t>
      </w:r>
      <w:r>
        <w:rPr>
          <w:color w:val="000000"/>
        </w:rPr>
        <w:t>s individus devraie</w:t>
      </w:r>
      <w:r>
        <w:rPr>
          <w:color w:val="000000"/>
        </w:rPr>
        <w:t>nt avoir plus d’autonomie et d’accès aux soutiens et aux approches plus tôt dans le processus.</w:t>
      </w:r>
    </w:p>
    <w:p w14:paraId="00000054" w14:textId="77777777" w:rsidR="006F6A97" w:rsidRDefault="003E2808">
      <w:pPr>
        <w:numPr>
          <w:ilvl w:val="0"/>
          <w:numId w:val="27"/>
        </w:numPr>
        <w:pBdr>
          <w:top w:val="nil"/>
          <w:left w:val="nil"/>
          <w:bottom w:val="nil"/>
          <w:right w:val="nil"/>
          <w:between w:val="nil"/>
        </w:pBdr>
        <w:rPr>
          <w:color w:val="000000"/>
        </w:rPr>
      </w:pPr>
      <w:r>
        <w:rPr>
          <w:color w:val="000000"/>
        </w:rPr>
        <w:t>Rendre obligatoire la sensibilisation et l’intégration des intermédiaires de communication en tant que supports disponibles dans les procédure</w:t>
      </w:r>
      <w:r>
        <w:rPr>
          <w:color w:val="000000"/>
        </w:rPr>
        <w:t>s judiciaires et po</w:t>
      </w:r>
      <w:r>
        <w:rPr>
          <w:color w:val="000000"/>
        </w:rPr>
        <w:t>licières. Et veiller à ce que des intermédiaires en communication (ou des professionnels formés au soutien à la communication) soient disponibles dès les premières étapes d’une procédure pour aider à l’évaluation de la capacité. </w:t>
      </w:r>
    </w:p>
    <w:p w14:paraId="00000055" w14:textId="77777777" w:rsidR="006F6A97" w:rsidRDefault="003E2808">
      <w:pPr>
        <w:pStyle w:val="Heading3"/>
        <w:rPr>
          <w:rFonts w:ascii="Times New Roman" w:eastAsia="Times New Roman" w:hAnsi="Times New Roman" w:cs="Times New Roman"/>
        </w:rPr>
      </w:pPr>
      <w:bookmarkStart w:id="7" w:name="_Toc132721411"/>
      <w:r>
        <w:t>Reconna</w:t>
      </w:r>
      <w:r>
        <w:t>ître les profession</w:t>
      </w:r>
      <w:r>
        <w:t>nels de la communication formés à l’évaluation des capacités</w:t>
      </w:r>
      <w:bookmarkEnd w:id="7"/>
    </w:p>
    <w:p w14:paraId="00000056" w14:textId="77777777" w:rsidR="006F6A97" w:rsidRDefault="003E2808">
      <w:pPr>
        <w:numPr>
          <w:ilvl w:val="0"/>
          <w:numId w:val="27"/>
        </w:numPr>
        <w:pBdr>
          <w:top w:val="nil"/>
          <w:left w:val="nil"/>
          <w:bottom w:val="nil"/>
          <w:right w:val="nil"/>
          <w:between w:val="nil"/>
        </w:pBdr>
        <w:rPr>
          <w:color w:val="000000"/>
        </w:rPr>
      </w:pPr>
      <w:r>
        <w:rPr>
          <w:color w:val="000000"/>
        </w:rPr>
        <w:t>Mandater que l’évaluation de la capacité dans les services essentiels (p. ex., les soins de santé) inclue des professionnels formés au soutien à la communication (p. ex., ortho</w:t>
      </w:r>
      <w:r>
        <w:rPr>
          <w:color w:val="000000"/>
        </w:rPr>
        <w:t>phoniste).</w:t>
      </w:r>
    </w:p>
    <w:p w14:paraId="00000057" w14:textId="77777777" w:rsidR="006F6A97" w:rsidRDefault="003E2808">
      <w:pPr>
        <w:pStyle w:val="Heading2"/>
        <w:rPr>
          <w:rFonts w:ascii="Times New Roman" w:eastAsia="Times New Roman" w:hAnsi="Times New Roman" w:cs="Times New Roman"/>
          <w:sz w:val="27"/>
          <w:szCs w:val="27"/>
        </w:rPr>
      </w:pPr>
      <w:bookmarkStart w:id="8" w:name="_Toc132721412"/>
      <w:r>
        <w:t>Programm</w:t>
      </w:r>
      <w:r>
        <w:t>es de soutien au financement</w:t>
      </w:r>
      <w:bookmarkEnd w:id="8"/>
    </w:p>
    <w:p w14:paraId="00000058" w14:textId="77777777" w:rsidR="006F6A97" w:rsidRDefault="003E2808">
      <w:pPr>
        <w:numPr>
          <w:ilvl w:val="0"/>
          <w:numId w:val="27"/>
        </w:numPr>
        <w:pBdr>
          <w:top w:val="nil"/>
          <w:left w:val="nil"/>
          <w:bottom w:val="nil"/>
          <w:right w:val="nil"/>
          <w:between w:val="nil"/>
        </w:pBdr>
        <w:spacing w:after="0"/>
        <w:rPr>
          <w:color w:val="000000"/>
        </w:rPr>
      </w:pPr>
      <w:r>
        <w:rPr>
          <w:color w:val="000000"/>
        </w:rPr>
        <w:t>Les soutiens et les approches en matière d’accès à la communication devraient faire partie de tous les budgets des services auxquels le public a accès.</w:t>
      </w:r>
    </w:p>
    <w:p w14:paraId="00000059" w14:textId="77777777" w:rsidR="006F6A97" w:rsidRDefault="003E2808">
      <w:pPr>
        <w:numPr>
          <w:ilvl w:val="0"/>
          <w:numId w:val="27"/>
        </w:numPr>
        <w:pBdr>
          <w:top w:val="nil"/>
          <w:left w:val="nil"/>
          <w:bottom w:val="nil"/>
          <w:right w:val="nil"/>
          <w:between w:val="nil"/>
        </w:pBdr>
        <w:spacing w:after="0"/>
        <w:rPr>
          <w:color w:val="000000"/>
        </w:rPr>
      </w:pPr>
      <w:r>
        <w:rPr>
          <w:color w:val="000000"/>
        </w:rPr>
        <w:t xml:space="preserve">Le fardeau de l’accès à la communication ne devrait pas </w:t>
      </w:r>
      <w:r>
        <w:rPr>
          <w:color w:val="000000"/>
        </w:rPr>
        <w:t xml:space="preserve">être supporté par la personne ayant un handicap </w:t>
      </w:r>
      <w:r>
        <w:rPr>
          <w:color w:val="000000"/>
        </w:rPr>
        <w:t>de communication, cela comprend le temps, les efforts et les charges financières.</w:t>
      </w:r>
    </w:p>
    <w:p w14:paraId="0000005A" w14:textId="77777777" w:rsidR="006F6A97" w:rsidRDefault="003E2808">
      <w:pPr>
        <w:numPr>
          <w:ilvl w:val="0"/>
          <w:numId w:val="27"/>
        </w:numPr>
        <w:pBdr>
          <w:top w:val="nil"/>
          <w:left w:val="nil"/>
          <w:bottom w:val="nil"/>
          <w:right w:val="nil"/>
          <w:between w:val="nil"/>
        </w:pBdr>
        <w:rPr>
          <w:color w:val="000000"/>
        </w:rPr>
      </w:pPr>
      <w:r>
        <w:rPr>
          <w:color w:val="000000"/>
        </w:rPr>
        <w:t>L’accès aux aides à la communication ayant un impact considérable sur l’accessibilité des interactions avec les services fédér</w:t>
      </w:r>
      <w:r>
        <w:rPr>
          <w:color w:val="000000"/>
        </w:rPr>
        <w:t xml:space="preserve">aux, il est nécessaire de rendre cet accès plus </w:t>
      </w:r>
      <w:r>
        <w:rPr>
          <w:color w:val="000000"/>
        </w:rPr>
        <w:t>homogène à travers le Canada. Les services fédéraux et provinciaux d’accès et de soutien aux communications doivent être harmonisés afin que les services fédéraux partout au Canada puissent être fournis de fa</w:t>
      </w:r>
      <w:r>
        <w:rPr>
          <w:color w:val="000000"/>
        </w:rPr>
        <w:t>çon plus équitable et uniforme aux personnes aya</w:t>
      </w:r>
      <w:r>
        <w:rPr>
          <w:color w:val="000000"/>
        </w:rPr>
        <w:t xml:space="preserve">nt des troubles de la communication, où qu’elles vivent. </w:t>
      </w:r>
    </w:p>
    <w:p w14:paraId="0000005B" w14:textId="77777777" w:rsidR="006F6A97" w:rsidRDefault="003E2808">
      <w:pPr>
        <w:rPr>
          <w:b/>
          <w:color w:val="2F5496"/>
          <w:sz w:val="32"/>
          <w:szCs w:val="32"/>
        </w:rPr>
      </w:pPr>
      <w:r>
        <w:br w:type="page"/>
      </w:r>
    </w:p>
    <w:p w14:paraId="0000005C" w14:textId="77777777" w:rsidR="006F6A97" w:rsidRDefault="003E2808">
      <w:pPr>
        <w:pStyle w:val="Heading1"/>
        <w:rPr>
          <w:rFonts w:ascii="Times New Roman" w:eastAsia="Times New Roman" w:hAnsi="Times New Roman" w:cs="Times New Roman"/>
          <w:sz w:val="48"/>
          <w:szCs w:val="48"/>
        </w:rPr>
      </w:pPr>
      <w:bookmarkStart w:id="9" w:name="_Toc132721413"/>
      <w:r>
        <w:t>Annexe : Recommandations d’Accès Troubles de la Communication Canada</w:t>
      </w:r>
      <w:bookmarkEnd w:id="9"/>
    </w:p>
    <w:p w14:paraId="0000005D" w14:textId="77777777" w:rsidR="006F6A97" w:rsidRDefault="003E2808">
      <w:pPr>
        <w:pStyle w:val="Heading2"/>
      </w:pPr>
      <w:bookmarkStart w:id="10" w:name="_Toc132721414"/>
      <w:r>
        <w:t>Présentation du CDAC au Comité des normes d’accessibilité, le 6 décembre 2021</w:t>
      </w:r>
      <w:bookmarkEnd w:id="10"/>
    </w:p>
    <w:p w14:paraId="0000005E" w14:textId="77777777" w:rsidR="006F6A97" w:rsidRDefault="003E2808">
      <w:pPr>
        <w:spacing w:after="200"/>
      </w:pPr>
      <w:hyperlink r:id="rId11">
        <w:r>
          <w:rPr>
            <w:color w:val="1155CC"/>
            <w:u w:val="single"/>
          </w:rPr>
          <w:t>https://www.cdacanada.com/wp-content/uploads/2023/03/Presentation-to-Accessibility-Standards-Committee-Dec.-2021.pdf</w:t>
        </w:r>
      </w:hyperlink>
      <w:r>
        <w:rPr>
          <w:color w:val="000000"/>
        </w:rPr>
        <w:t> </w:t>
      </w:r>
    </w:p>
    <w:p w14:paraId="0000005F" w14:textId="77777777" w:rsidR="006F6A97" w:rsidRDefault="003E2808">
      <w:pPr>
        <w:pBdr>
          <w:top w:val="nil"/>
          <w:left w:val="nil"/>
          <w:bottom w:val="nil"/>
          <w:right w:val="nil"/>
          <w:between w:val="nil"/>
        </w:pBdr>
        <w:spacing w:after="200"/>
        <w:rPr>
          <w:color w:val="000000"/>
        </w:rPr>
      </w:pPr>
      <w:r>
        <w:rPr>
          <w:b/>
          <w:color w:val="000000"/>
        </w:rPr>
        <w:t>Reco</w:t>
      </w:r>
      <w:r>
        <w:rPr>
          <w:b/>
          <w:color w:val="000000"/>
        </w:rPr>
        <w:t xml:space="preserve">mmandation 1 : </w:t>
      </w:r>
      <w:r>
        <w:rPr>
          <w:color w:val="000000"/>
        </w:rPr>
        <w:t>Adopter des définitions claires, inclusives et cohérentes des communications et de l’accès aux communications, et veiller à ce qu’elles soient comprises et utilisées par toutes les entités fédérales.</w:t>
      </w:r>
    </w:p>
    <w:p w14:paraId="00000060" w14:textId="77777777" w:rsidR="006F6A97" w:rsidRDefault="003E2808">
      <w:pPr>
        <w:pBdr>
          <w:top w:val="nil"/>
          <w:left w:val="nil"/>
          <w:bottom w:val="nil"/>
          <w:right w:val="nil"/>
          <w:between w:val="nil"/>
        </w:pBdr>
        <w:spacing w:after="200"/>
        <w:rPr>
          <w:color w:val="000000"/>
        </w:rPr>
      </w:pPr>
      <w:r>
        <w:rPr>
          <w:b/>
          <w:color w:val="000000"/>
        </w:rPr>
        <w:t xml:space="preserve">Recommandation 2 : </w:t>
      </w:r>
      <w:r>
        <w:rPr>
          <w:color w:val="000000"/>
        </w:rPr>
        <w:t>Traiter l’accès aux co</w:t>
      </w:r>
      <w:r>
        <w:rPr>
          <w:color w:val="000000"/>
        </w:rPr>
        <w:t>mmunications comme un domaine qui s’applique à tous :</w:t>
      </w:r>
    </w:p>
    <w:p w14:paraId="00000061" w14:textId="7D2A4B07" w:rsidR="006F6A97" w:rsidRDefault="003E2808">
      <w:pPr>
        <w:numPr>
          <w:ilvl w:val="0"/>
          <w:numId w:val="34"/>
        </w:numPr>
        <w:pBdr>
          <w:top w:val="nil"/>
          <w:left w:val="nil"/>
          <w:bottom w:val="nil"/>
          <w:right w:val="nil"/>
          <w:between w:val="nil"/>
        </w:pBdr>
        <w:spacing w:after="0"/>
        <w:rPr>
          <w:color w:val="000000"/>
        </w:rPr>
      </w:pPr>
      <w:r>
        <w:rPr>
          <w:color w:val="000000"/>
        </w:rPr>
        <w:t>Les personnes souffrant d’un handicap qui affecte la communication</w:t>
      </w:r>
    </w:p>
    <w:p w14:paraId="00000062" w14:textId="544BDB56" w:rsidR="006F6A97" w:rsidRDefault="003E2808">
      <w:pPr>
        <w:numPr>
          <w:ilvl w:val="0"/>
          <w:numId w:val="34"/>
        </w:numPr>
        <w:pBdr>
          <w:top w:val="nil"/>
          <w:left w:val="nil"/>
          <w:bottom w:val="nil"/>
          <w:right w:val="nil"/>
          <w:between w:val="nil"/>
        </w:pBdr>
        <w:spacing w:after="0"/>
        <w:rPr>
          <w:color w:val="000000"/>
        </w:rPr>
      </w:pPr>
      <w:r>
        <w:rPr>
          <w:color w:val="000000"/>
        </w:rPr>
        <w:t>Se produit dans toutes les entités de service et les situations d’emploi</w:t>
      </w:r>
    </w:p>
    <w:p w14:paraId="00000063" w14:textId="37C67A3A" w:rsidR="006F6A97" w:rsidRDefault="003E2808">
      <w:pPr>
        <w:numPr>
          <w:ilvl w:val="0"/>
          <w:numId w:val="34"/>
        </w:numPr>
        <w:pBdr>
          <w:top w:val="nil"/>
          <w:left w:val="nil"/>
          <w:bottom w:val="nil"/>
          <w:right w:val="nil"/>
          <w:between w:val="nil"/>
        </w:pBdr>
        <w:spacing w:after="0"/>
        <w:rPr>
          <w:color w:val="000000"/>
        </w:rPr>
      </w:pPr>
      <w:r>
        <w:rPr>
          <w:color w:val="000000"/>
        </w:rPr>
        <w:t>Créer un comité technique comprenant TOUS les groupes de perso</w:t>
      </w:r>
      <w:r>
        <w:rPr>
          <w:color w:val="000000"/>
        </w:rPr>
        <w:t>nnes concernées par les troubles de la communication (par exemple, une personne ayant une expérience vécue ET un profess</w:t>
      </w:r>
      <w:r>
        <w:rPr>
          <w:color w:val="000000"/>
        </w:rPr>
        <w:t>ionnel des troubles de la communication)</w:t>
      </w:r>
    </w:p>
    <w:p w14:paraId="00000064" w14:textId="6389C7E5" w:rsidR="006F6A97" w:rsidRDefault="003E2808">
      <w:pPr>
        <w:numPr>
          <w:ilvl w:val="0"/>
          <w:numId w:val="34"/>
        </w:numPr>
        <w:pBdr>
          <w:top w:val="nil"/>
          <w:left w:val="nil"/>
          <w:bottom w:val="nil"/>
          <w:right w:val="nil"/>
          <w:between w:val="nil"/>
        </w:pBdr>
        <w:spacing w:after="0"/>
        <w:rPr>
          <w:color w:val="000000"/>
        </w:rPr>
      </w:pPr>
      <w:r>
        <w:rPr>
          <w:color w:val="000000"/>
        </w:rPr>
        <w:t>Élaborer des normes de communication génériques qui peuvent, au besoin, être personnalisées pou</w:t>
      </w:r>
      <w:r>
        <w:rPr>
          <w:color w:val="000000"/>
        </w:rPr>
        <w:t>r une personne.</w:t>
      </w:r>
    </w:p>
    <w:p w14:paraId="00000065" w14:textId="5A8D551C" w:rsidR="006F6A97" w:rsidRDefault="003E2808">
      <w:pPr>
        <w:numPr>
          <w:ilvl w:val="0"/>
          <w:numId w:val="34"/>
        </w:numPr>
        <w:pBdr>
          <w:top w:val="nil"/>
          <w:left w:val="nil"/>
          <w:bottom w:val="nil"/>
          <w:right w:val="nil"/>
          <w:between w:val="nil"/>
        </w:pBdr>
        <w:spacing w:after="200"/>
        <w:rPr>
          <w:color w:val="000000"/>
        </w:rPr>
      </w:pPr>
      <w:r>
        <w:rPr>
          <w:color w:val="000000"/>
        </w:rPr>
        <w:t>Mettre l’accent sur les obligations du fournisseur de services/ employeur (et non sur la technologie)</w:t>
      </w:r>
    </w:p>
    <w:p w14:paraId="00000066" w14:textId="77777777" w:rsidR="006F6A97" w:rsidRDefault="003E2808">
      <w:pPr>
        <w:pBdr>
          <w:top w:val="nil"/>
          <w:left w:val="nil"/>
          <w:bottom w:val="nil"/>
          <w:right w:val="nil"/>
          <w:between w:val="nil"/>
        </w:pBdr>
        <w:spacing w:after="200"/>
        <w:rPr>
          <w:color w:val="000000"/>
        </w:rPr>
      </w:pPr>
      <w:r>
        <w:rPr>
          <w:b/>
          <w:color w:val="000000"/>
        </w:rPr>
        <w:t xml:space="preserve">Recommandation 3 :  </w:t>
      </w:r>
      <w:r>
        <w:rPr>
          <w:color w:val="000000"/>
        </w:rPr>
        <w:t>Accroître les normes / règlements génériques de service pour les services de communication essentiels (p. ex., justice</w:t>
      </w:r>
      <w:r>
        <w:rPr>
          <w:color w:val="000000"/>
        </w:rPr>
        <w:t>, sécurité publique, santé publique, urgences, pandémies)</w:t>
      </w:r>
    </w:p>
    <w:p w14:paraId="00000067" w14:textId="77777777" w:rsidR="006F6A97" w:rsidRDefault="003E2808">
      <w:pPr>
        <w:pStyle w:val="Heading3"/>
        <w:rPr>
          <w:rFonts w:ascii="Times New Roman" w:eastAsia="Times New Roman" w:hAnsi="Times New Roman" w:cs="Times New Roman"/>
          <w:b w:val="0"/>
          <w:sz w:val="27"/>
          <w:szCs w:val="27"/>
        </w:rPr>
      </w:pPr>
      <w:bookmarkStart w:id="11" w:name="_Toc132721415"/>
      <w:r>
        <w:t>Échantillons de normes</w:t>
      </w:r>
      <w:bookmarkEnd w:id="11"/>
    </w:p>
    <w:p w14:paraId="00000068" w14:textId="77777777" w:rsidR="006F6A97" w:rsidRDefault="003E2808">
      <w:pPr>
        <w:numPr>
          <w:ilvl w:val="0"/>
          <w:numId w:val="25"/>
        </w:numPr>
        <w:pBdr>
          <w:top w:val="nil"/>
          <w:left w:val="nil"/>
          <w:bottom w:val="nil"/>
          <w:right w:val="nil"/>
          <w:between w:val="nil"/>
        </w:pBdr>
        <w:rPr>
          <w:color w:val="000000"/>
        </w:rPr>
      </w:pPr>
      <w:r>
        <w:rPr>
          <w:color w:val="000000"/>
        </w:rPr>
        <w:t>Fournir des informations orales d’une manière que la personne comprend. Selon les besoins et le contexte individuels, les exemples peuvent inclure l’utilisation du langage cou</w:t>
      </w:r>
      <w:r>
        <w:rPr>
          <w:color w:val="000000"/>
        </w:rPr>
        <w:t>rant, la pause entre les phrases, l’utilisation de phrases courtes, l’écriture de</w:t>
      </w:r>
      <w:r>
        <w:rPr>
          <w:color w:val="000000"/>
        </w:rPr>
        <w:t xml:space="preserve"> mots clés ou la présentation d’images et/ou la fourniture du soutien humain requis, tel qu’un interprète en langue des signes, ou une personne de confiance pour aider à la co</w:t>
      </w:r>
      <w:r>
        <w:rPr>
          <w:color w:val="000000"/>
        </w:rPr>
        <w:t>mmunication.</w:t>
      </w:r>
    </w:p>
    <w:p w14:paraId="00000069" w14:textId="77777777" w:rsidR="006F6A97" w:rsidRDefault="003E2808">
      <w:pPr>
        <w:numPr>
          <w:ilvl w:val="0"/>
          <w:numId w:val="25"/>
        </w:numPr>
        <w:pBdr>
          <w:top w:val="nil"/>
          <w:left w:val="nil"/>
          <w:bottom w:val="nil"/>
          <w:right w:val="nil"/>
          <w:between w:val="nil"/>
        </w:pBdr>
        <w:rPr>
          <w:color w:val="000000"/>
        </w:rPr>
      </w:pPr>
      <w:r>
        <w:rPr>
          <w:color w:val="000000"/>
        </w:rPr>
        <w:t>Utiliser des pratiques fondées sur des données probantes pour une co</w:t>
      </w:r>
      <w:r>
        <w:rPr>
          <w:color w:val="000000"/>
        </w:rPr>
        <w:t>mmunication expressive efficace avec les personnes en face à face; lors de réunions et de consultations publiques. Selon les besoins et le contexte individuels, il peut s’agir</w:t>
      </w:r>
      <w:r>
        <w:rPr>
          <w:color w:val="000000"/>
        </w:rPr>
        <w:t xml:space="preserve"> par exemple de laisser plus de temps et de possibilités de communication; de s’a</w:t>
      </w:r>
      <w:r>
        <w:rPr>
          <w:color w:val="000000"/>
        </w:rPr>
        <w:t>ssurer que la personne peut utiliser sa ou ses méthodes de communication préférées et/ou de fournir le soutien humain requis, comme un interprète en langue des signes ou une p</w:t>
      </w:r>
      <w:r>
        <w:rPr>
          <w:color w:val="000000"/>
        </w:rPr>
        <w:t>ersonne de confiance pour aider à la communication. </w:t>
      </w:r>
    </w:p>
    <w:p w14:paraId="0000006A" w14:textId="77777777" w:rsidR="006F6A97" w:rsidRDefault="003E2808">
      <w:pPr>
        <w:numPr>
          <w:ilvl w:val="0"/>
          <w:numId w:val="25"/>
        </w:numPr>
        <w:pBdr>
          <w:top w:val="nil"/>
          <w:left w:val="nil"/>
          <w:bottom w:val="nil"/>
          <w:right w:val="nil"/>
          <w:between w:val="nil"/>
        </w:pBdr>
        <w:rPr>
          <w:color w:val="000000"/>
        </w:rPr>
      </w:pPr>
      <w:r>
        <w:rPr>
          <w:color w:val="000000"/>
        </w:rPr>
        <w:t>Mettre en œuvre des politiqu</w:t>
      </w:r>
      <w:r>
        <w:rPr>
          <w:color w:val="000000"/>
        </w:rPr>
        <w:t>es, des pratiques et des mesures de protection spécifiques pour garantir une communication authentique dans des contextes critiques tels que les services de police, de justice</w:t>
      </w:r>
      <w:r>
        <w:rPr>
          <w:color w:val="000000"/>
        </w:rPr>
        <w:t xml:space="preserve">, de soins de santé, les décisions relatives au consentement et à la capacité et </w:t>
      </w:r>
      <w:r>
        <w:rPr>
          <w:color w:val="000000"/>
        </w:rPr>
        <w:t>l’assistance médicale à mourir, où une aide à la communication qualifiée et impartiale peut s’avérer nécessaire. Selon le contexte et les besoins individuels, cela comprend l’</w:t>
      </w:r>
      <w:r>
        <w:rPr>
          <w:color w:val="000000"/>
        </w:rPr>
        <w:t>accès à un soutien de communication authentique et autorisé et, au besoin, l’enga</w:t>
      </w:r>
      <w:r>
        <w:rPr>
          <w:color w:val="000000"/>
        </w:rPr>
        <w:t>gement de services de soutien impartiaux et qualifiés tels qu’un orthophoniste, un clinicien en communication augmentée ou un intermédiaire en communication</w:t>
      </w:r>
    </w:p>
    <w:p w14:paraId="0000006B" w14:textId="77777777" w:rsidR="006F6A97" w:rsidRDefault="003E2808">
      <w:pPr>
        <w:numPr>
          <w:ilvl w:val="0"/>
          <w:numId w:val="25"/>
        </w:numPr>
        <w:pBdr>
          <w:top w:val="nil"/>
          <w:left w:val="nil"/>
          <w:bottom w:val="nil"/>
          <w:right w:val="nil"/>
          <w:between w:val="nil"/>
        </w:pBdr>
        <w:rPr>
          <w:color w:val="000000"/>
        </w:rPr>
      </w:pPr>
      <w:r>
        <w:rPr>
          <w:color w:val="000000"/>
        </w:rPr>
        <w:t>Assurer une commun</w:t>
      </w:r>
      <w:r>
        <w:rPr>
          <w:color w:val="000000"/>
        </w:rPr>
        <w:t>ication accessible dans les services de téléphonie et de vidéo sur internet. Selo</w:t>
      </w:r>
      <w:r>
        <w:rPr>
          <w:color w:val="000000"/>
        </w:rPr>
        <w:t>n les besoins individuels, les opérateurs de services pourraient par exemple savoir comment communiquer avec une personne par téléphone, proposer d’autres options telles que l</w:t>
      </w:r>
      <w:r>
        <w:rPr>
          <w:color w:val="000000"/>
        </w:rPr>
        <w:t>e courrier électronique, les textos ou les médias sociaux, disposer de procédures</w:t>
      </w:r>
      <w:r>
        <w:rPr>
          <w:color w:val="000000"/>
        </w:rPr>
        <w:t xml:space="preserve"> permettant de faire appel à une personne d’assistance autorisée et donner accès à des services de relais de messages qui prennent en charge l’interprétation de la parole à la</w:t>
      </w:r>
      <w:r>
        <w:rPr>
          <w:color w:val="000000"/>
        </w:rPr>
        <w:t xml:space="preserve"> parole et les méthodes de communication améliorée</w:t>
      </w:r>
    </w:p>
    <w:p w14:paraId="0000006C" w14:textId="77777777" w:rsidR="006F6A97" w:rsidRDefault="003E2808">
      <w:pPr>
        <w:numPr>
          <w:ilvl w:val="0"/>
          <w:numId w:val="25"/>
        </w:numPr>
        <w:pBdr>
          <w:top w:val="nil"/>
          <w:left w:val="nil"/>
          <w:bottom w:val="nil"/>
          <w:right w:val="nil"/>
          <w:between w:val="nil"/>
        </w:pBdr>
        <w:rPr>
          <w:color w:val="000000"/>
        </w:rPr>
      </w:pPr>
      <w:r>
        <w:rPr>
          <w:color w:val="000000"/>
        </w:rPr>
        <w:t>Fournir des informations écrit</w:t>
      </w:r>
      <w:r>
        <w:rPr>
          <w:color w:val="000000"/>
        </w:rPr>
        <w:t>es d’une manière que la personne peut lire, comprendre et utiliser. Selon les besoins et le contexte individuels, les exemples pourraient inclure un langage simple, des format</w:t>
      </w:r>
      <w:r>
        <w:rPr>
          <w:color w:val="000000"/>
        </w:rPr>
        <w:t>s de rechange, des formulaires et des sondages accessibles, des arrangements de s</w:t>
      </w:r>
      <w:r>
        <w:rPr>
          <w:color w:val="000000"/>
        </w:rPr>
        <w:t>ignature de rechange et un soutien humain, au besoin, pour la lecture, la compréhension et l’écriture. </w:t>
      </w:r>
    </w:p>
    <w:p w14:paraId="0000006D" w14:textId="77777777" w:rsidR="006F6A97" w:rsidRDefault="003E2808">
      <w:pPr>
        <w:numPr>
          <w:ilvl w:val="0"/>
          <w:numId w:val="25"/>
        </w:numPr>
        <w:pBdr>
          <w:top w:val="nil"/>
          <w:left w:val="nil"/>
          <w:bottom w:val="nil"/>
          <w:right w:val="nil"/>
          <w:between w:val="nil"/>
        </w:pBdr>
        <w:spacing w:after="200"/>
        <w:rPr>
          <w:color w:val="000000"/>
        </w:rPr>
      </w:pPr>
      <w:r>
        <w:rPr>
          <w:color w:val="000000"/>
        </w:rPr>
        <w:t>Former les fournisseurs de services à l’accès à la communication en fon</w:t>
      </w:r>
      <w:r>
        <w:rPr>
          <w:color w:val="000000"/>
        </w:rPr>
        <w:t>ction de leurs responsabilités. • - Selon le poste et les responsabilités du four</w:t>
      </w:r>
      <w:r>
        <w:rPr>
          <w:color w:val="000000"/>
        </w:rPr>
        <w:t xml:space="preserve">nisseur de services, il peut s’agir d’une formation sur la manière d’interagir avec les personnes qui utilisent différents moyens de communication dans les services en face à </w:t>
      </w:r>
      <w:r>
        <w:rPr>
          <w:color w:val="000000"/>
        </w:rPr>
        <w:t>face et par téléphone; sur la manière d’organiser des réunions et des consultatio</w:t>
      </w:r>
      <w:r>
        <w:rPr>
          <w:color w:val="000000"/>
        </w:rPr>
        <w:t>ns publiques; sur la manière de fournir des sites Web accessibles, des informations en langage clair, des sondages et des formulaires accessibles.</w:t>
      </w:r>
    </w:p>
    <w:p w14:paraId="0000006E" w14:textId="77777777" w:rsidR="006F6A97" w:rsidRDefault="003E2808">
      <w:pPr>
        <w:pStyle w:val="Heading2"/>
      </w:pPr>
      <w:bookmarkStart w:id="12" w:name="_Toc132721416"/>
      <w:r>
        <w:t>Recommandations du CDAC déco</w:t>
      </w:r>
      <w:r>
        <w:t>ulant de la présentation</w:t>
      </w:r>
      <w:r>
        <w:rPr>
          <w:rFonts w:ascii="Arial" w:eastAsia="Arial" w:hAnsi="Arial" w:cs="Arial"/>
          <w:sz w:val="32"/>
          <w:szCs w:val="32"/>
        </w:rPr>
        <w:t xml:space="preserve"> au Sénat du projet de loi C-81, 11 avril 2019</w:t>
      </w:r>
      <w:bookmarkEnd w:id="12"/>
    </w:p>
    <w:p w14:paraId="0000006F" w14:textId="77777777" w:rsidR="006F6A97" w:rsidRDefault="003E2808">
      <w:pPr>
        <w:spacing w:after="200"/>
      </w:pPr>
      <w:hyperlink r:id="rId12">
        <w:r>
          <w:rPr>
            <w:color w:val="1155CC"/>
            <w:u w:val="single"/>
          </w:rPr>
          <w:t>https://www.cdacanada.com/wp-content/uploads/2019/04/Speaking-No</w:t>
        </w:r>
        <w:r>
          <w:rPr>
            <w:color w:val="1155CC"/>
            <w:u w:val="single"/>
          </w:rPr>
          <w:t>tes-Senate-Committee-April-11-2019-.pdf</w:t>
        </w:r>
      </w:hyperlink>
      <w:r>
        <w:rPr>
          <w:color w:val="000000"/>
        </w:rPr>
        <w:t> </w:t>
      </w:r>
    </w:p>
    <w:p w14:paraId="00000070" w14:textId="77777777" w:rsidR="006F6A97" w:rsidRDefault="003E2808">
      <w:pPr>
        <w:pBdr>
          <w:top w:val="nil"/>
          <w:left w:val="nil"/>
          <w:bottom w:val="nil"/>
          <w:right w:val="nil"/>
          <w:between w:val="nil"/>
        </w:pBdr>
        <w:spacing w:after="200"/>
        <w:rPr>
          <w:color w:val="000000"/>
        </w:rPr>
      </w:pPr>
      <w:r>
        <w:rPr>
          <w:color w:val="000000"/>
        </w:rPr>
        <w:t xml:space="preserve">Premièrement, nous voulons que le projet de loi </w:t>
      </w:r>
      <w:r>
        <w:rPr>
          <w:b/>
          <w:color w:val="000000"/>
        </w:rPr>
        <w:t>clarifie le terme « communication »</w:t>
      </w:r>
      <w:r>
        <w:rPr>
          <w:color w:val="000000"/>
        </w:rPr>
        <w:t>. Nous recommandons que le domaine de la communication mentionné à l’alinéa 5c.(1) soit clarifié dans la section des définitions en</w:t>
      </w:r>
      <w:r>
        <w:rPr>
          <w:color w:val="000000"/>
        </w:rPr>
        <w:t xml:space="preserve"> tant que processus interactif bidirection</w:t>
      </w:r>
      <w:r>
        <w:rPr>
          <w:color w:val="000000"/>
        </w:rPr>
        <w:t>nel dans lequel les gens donnent et reçoivent de l’information, en utilisant une gamme de méthodes de communication dans les interactions en personne, au téléphone, en ligne et par la lecture et l’écriture. Cela gu</w:t>
      </w:r>
      <w:r>
        <w:rPr>
          <w:color w:val="000000"/>
        </w:rPr>
        <w:t>idera l’interprétation et la mise en œuvre</w:t>
      </w:r>
      <w:r>
        <w:rPr>
          <w:color w:val="000000"/>
        </w:rPr>
        <w:t xml:space="preserve"> de la loi. </w:t>
      </w:r>
    </w:p>
    <w:p w14:paraId="00000071" w14:textId="77777777" w:rsidR="006F6A97" w:rsidRDefault="003E2808">
      <w:pPr>
        <w:pBdr>
          <w:top w:val="nil"/>
          <w:left w:val="nil"/>
          <w:bottom w:val="nil"/>
          <w:right w:val="nil"/>
          <w:between w:val="nil"/>
        </w:pBdr>
        <w:spacing w:after="200"/>
        <w:rPr>
          <w:color w:val="000000"/>
        </w:rPr>
      </w:pPr>
      <w:r>
        <w:rPr>
          <w:color w:val="000000"/>
        </w:rPr>
        <w:t xml:space="preserve">Deuxièmement, nous recommandons de </w:t>
      </w:r>
      <w:r>
        <w:rPr>
          <w:b/>
          <w:color w:val="000000"/>
        </w:rPr>
        <w:t>reconnaître que les gens ont le droit d’utiliser une gamme de méthodes de communication et de soutien</w:t>
      </w:r>
      <w:r>
        <w:rPr>
          <w:color w:val="000000"/>
        </w:rPr>
        <w:t>. Les gens communiquent de différentes manières et ils ont le dro</w:t>
      </w:r>
      <w:r>
        <w:rPr>
          <w:color w:val="000000"/>
        </w:rPr>
        <w:t>it d’utiliser les méthodes de communicatio</w:t>
      </w:r>
      <w:r>
        <w:rPr>
          <w:color w:val="000000"/>
        </w:rPr>
        <w:t>n et les soutiens qui répondent le mieux à leurs besoins, aux besoins de la personne avec laquelle ils communiquent et au contexte. Nous pensons qu’il est important de préciser exactement ce que cela signifie. Nous</w:t>
      </w:r>
      <w:r>
        <w:rPr>
          <w:color w:val="000000"/>
        </w:rPr>
        <w:t xml:space="preserve"> recommandons d’ajouter un principe à l’ar</w:t>
      </w:r>
      <w:r>
        <w:rPr>
          <w:color w:val="000000"/>
        </w:rPr>
        <w:t xml:space="preserve">ticle 6, tel que « toute personne a le droit de communiquer en utilisant la ou les méthodes de communication et les soutiens qu’elle préfère, ce qui inclut la parole, l’écriture, les tableaux d’images, de symboles </w:t>
      </w:r>
      <w:r>
        <w:rPr>
          <w:color w:val="000000"/>
        </w:rPr>
        <w:t>et de lettres, les dispositifs générateurs</w:t>
      </w:r>
      <w:r>
        <w:rPr>
          <w:color w:val="000000"/>
        </w:rPr>
        <w:t xml:space="preserve"> de parole et les services humains tels que l’interprétation ASL/LSQ/ISL, le sous-titrage en temps réel, l’aide à la communication informelle et formelle. » </w:t>
      </w:r>
    </w:p>
    <w:p w14:paraId="00000072" w14:textId="77777777" w:rsidR="006F6A97" w:rsidRDefault="003E2808">
      <w:pPr>
        <w:pStyle w:val="Heading2"/>
        <w:rPr>
          <w:rFonts w:ascii="Times New Roman" w:eastAsia="Times New Roman" w:hAnsi="Times New Roman" w:cs="Times New Roman"/>
          <w:b/>
        </w:rPr>
      </w:pPr>
      <w:bookmarkStart w:id="13" w:name="_Toc132721417"/>
      <w:r>
        <w:rPr>
          <w:rFonts w:ascii="Arial" w:eastAsia="Arial" w:hAnsi="Arial" w:cs="Arial"/>
          <w:sz w:val="32"/>
          <w:szCs w:val="32"/>
        </w:rPr>
        <w:t>Consultation publique du CDAC sur la législation fédéral</w:t>
      </w:r>
      <w:r>
        <w:rPr>
          <w:rFonts w:ascii="Arial" w:eastAsia="Arial" w:hAnsi="Arial" w:cs="Arial"/>
          <w:sz w:val="32"/>
          <w:szCs w:val="32"/>
        </w:rPr>
        <w:t>e en matière d’accessibilité : Commentaire</w:t>
      </w:r>
      <w:r>
        <w:rPr>
          <w:rFonts w:ascii="Arial" w:eastAsia="Arial" w:hAnsi="Arial" w:cs="Arial"/>
          <w:sz w:val="32"/>
          <w:szCs w:val="32"/>
        </w:rPr>
        <w:t>s des Canadiens ayant des troubles de la parole, du langage et de la communication, janvier 2018</w:t>
      </w:r>
      <w:bookmarkEnd w:id="13"/>
    </w:p>
    <w:p w14:paraId="00000073" w14:textId="77777777" w:rsidR="006F6A97" w:rsidRDefault="003E2808">
      <w:pPr>
        <w:spacing w:after="200"/>
      </w:pPr>
      <w:hyperlink r:id="rId13">
        <w:r>
          <w:rPr>
            <w:color w:val="1155CC"/>
            <w:u w:val="single"/>
          </w:rPr>
          <w:t>https://</w:t>
        </w:r>
        <w:r>
          <w:rPr>
            <w:color w:val="1155CC"/>
            <w:u w:val="single"/>
          </w:rPr>
          <w:t>www.cdacanada.com/wp-content/uploads/2018/01/Final_Community_Consultation_for_Federal_Accessibility_Legislation_Digital_2.pdf</w:t>
        </w:r>
      </w:hyperlink>
      <w:r>
        <w:rPr>
          <w:color w:val="000000"/>
        </w:rPr>
        <w:t> </w:t>
      </w:r>
    </w:p>
    <w:p w14:paraId="00000074" w14:textId="77777777" w:rsidR="006F6A97" w:rsidRDefault="003E2808">
      <w:pPr>
        <w:pStyle w:val="Heading3"/>
        <w:rPr>
          <w:rFonts w:ascii="Times New Roman" w:eastAsia="Times New Roman" w:hAnsi="Times New Roman" w:cs="Times New Roman"/>
          <w:b w:val="0"/>
          <w:sz w:val="27"/>
          <w:szCs w:val="27"/>
        </w:rPr>
      </w:pPr>
      <w:bookmarkStart w:id="14" w:name="_Toc132721418"/>
      <w:r>
        <w:t>Principes directeurs</w:t>
      </w:r>
      <w:bookmarkEnd w:id="14"/>
    </w:p>
    <w:p w14:paraId="00000075" w14:textId="77777777" w:rsidR="006F6A97" w:rsidRDefault="003E2808">
      <w:pPr>
        <w:pBdr>
          <w:top w:val="nil"/>
          <w:left w:val="nil"/>
          <w:bottom w:val="nil"/>
          <w:right w:val="nil"/>
          <w:between w:val="nil"/>
        </w:pBdr>
        <w:spacing w:after="200"/>
        <w:rPr>
          <w:color w:val="000000"/>
        </w:rPr>
      </w:pPr>
      <w:r>
        <w:rPr>
          <w:color w:val="000000"/>
        </w:rPr>
        <w:t>Veiller à ce que tous les fournisseurs de services fédéraux qui t</w:t>
      </w:r>
      <w:r>
        <w:rPr>
          <w:color w:val="000000"/>
        </w:rPr>
        <w:t xml:space="preserve">raitent avec le public aient une </w:t>
      </w:r>
      <w:r>
        <w:rPr>
          <w:b/>
          <w:color w:val="000000"/>
        </w:rPr>
        <w:t>formation appropriée et des lignes directrices pour rendre la communication de leurs services accessible aux personnes atteintes des troubles de développement</w:t>
      </w:r>
      <w:r>
        <w:rPr>
          <w:b/>
          <w:color w:val="000000"/>
        </w:rPr>
        <w:t xml:space="preserve"> de la parole, du langage et de la communication.</w:t>
      </w:r>
      <w:r>
        <w:rPr>
          <w:color w:val="000000"/>
        </w:rPr>
        <w:t xml:space="preserve"> Celles-ci devra</w:t>
      </w:r>
      <w:r>
        <w:rPr>
          <w:color w:val="000000"/>
        </w:rPr>
        <w:t>ient être livrées par une organisation qualifiée qui inclut des personnes avec différents types de troubles de développement de la parole, du langage et de la communication, ainsi que les pro</w:t>
      </w:r>
      <w:r>
        <w:rPr>
          <w:color w:val="000000"/>
        </w:rPr>
        <w:t>fessionnels de la communication et devrait adresser :</w:t>
      </w:r>
    </w:p>
    <w:p w14:paraId="00000076" w14:textId="77777777" w:rsidR="006F6A97" w:rsidRDefault="003E2808">
      <w:pPr>
        <w:numPr>
          <w:ilvl w:val="0"/>
          <w:numId w:val="33"/>
        </w:numPr>
        <w:pBdr>
          <w:top w:val="nil"/>
          <w:left w:val="nil"/>
          <w:bottom w:val="nil"/>
          <w:right w:val="nil"/>
          <w:between w:val="nil"/>
        </w:pBdr>
        <w:spacing w:after="0"/>
        <w:rPr>
          <w:color w:val="000000"/>
        </w:rPr>
      </w:pPr>
      <w:r>
        <w:rPr>
          <w:color w:val="000000"/>
        </w:rPr>
        <w:t>La nature d</w:t>
      </w:r>
      <w:r>
        <w:rPr>
          <w:color w:val="000000"/>
        </w:rPr>
        <w:t xml:space="preserve">’un </w:t>
      </w:r>
      <w:r>
        <w:rPr>
          <w:b/>
          <w:color w:val="000000"/>
        </w:rPr>
        <w:t>large éventail de troubles de la parole, du langage et de la communication</w:t>
      </w:r>
      <w:r>
        <w:rPr>
          <w:color w:val="000000"/>
        </w:rPr>
        <w:t>.</w:t>
      </w:r>
    </w:p>
    <w:p w14:paraId="00000077" w14:textId="77777777" w:rsidR="006F6A97" w:rsidRDefault="003E2808">
      <w:pPr>
        <w:numPr>
          <w:ilvl w:val="0"/>
          <w:numId w:val="33"/>
        </w:numPr>
        <w:pBdr>
          <w:top w:val="nil"/>
          <w:left w:val="nil"/>
          <w:bottom w:val="nil"/>
          <w:right w:val="nil"/>
          <w:between w:val="nil"/>
        </w:pBdr>
        <w:spacing w:after="0"/>
        <w:rPr>
          <w:color w:val="000000"/>
        </w:rPr>
      </w:pPr>
      <w:r>
        <w:rPr>
          <w:color w:val="000000"/>
        </w:rPr>
        <w:t xml:space="preserve">Une </w:t>
      </w:r>
      <w:r>
        <w:rPr>
          <w:b/>
          <w:color w:val="000000"/>
        </w:rPr>
        <w:t xml:space="preserve">approche inclusive, respectueuse et universelle pour interagir </w:t>
      </w:r>
      <w:r>
        <w:rPr>
          <w:color w:val="000000"/>
        </w:rPr>
        <w:t>avec des personnes qui ont un large éventail</w:t>
      </w:r>
      <w:r>
        <w:rPr>
          <w:color w:val="000000"/>
        </w:rPr>
        <w:t xml:space="preserve"> de troubles de développement de la parole, du langage et de la c</w:t>
      </w:r>
      <w:r>
        <w:rPr>
          <w:color w:val="000000"/>
        </w:rPr>
        <w:t>ommunication dans les interactions en face à face, en situations de groupe et durant les communications téléphoniques.</w:t>
      </w:r>
    </w:p>
    <w:p w14:paraId="00000078" w14:textId="77777777" w:rsidR="006F6A97" w:rsidRDefault="003E2808">
      <w:pPr>
        <w:numPr>
          <w:ilvl w:val="0"/>
          <w:numId w:val="33"/>
        </w:numPr>
        <w:pBdr>
          <w:top w:val="nil"/>
          <w:left w:val="nil"/>
          <w:bottom w:val="nil"/>
          <w:right w:val="nil"/>
          <w:between w:val="nil"/>
        </w:pBdr>
        <w:spacing w:after="0"/>
        <w:rPr>
          <w:color w:val="000000"/>
        </w:rPr>
      </w:pPr>
      <w:r>
        <w:rPr>
          <w:b/>
          <w:color w:val="000000"/>
        </w:rPr>
        <w:t>Techniques individualisées</w:t>
      </w:r>
      <w:r>
        <w:rPr>
          <w:color w:val="000000"/>
        </w:rPr>
        <w:t xml:space="preserve"> </w:t>
      </w:r>
      <w:r>
        <w:rPr>
          <w:b/>
          <w:color w:val="000000"/>
        </w:rPr>
        <w:t xml:space="preserve">pour négocier des mesures d’adaptation pour l’accès à la communication </w:t>
      </w:r>
      <w:r>
        <w:rPr>
          <w:color w:val="000000"/>
        </w:rPr>
        <w:t>avec des personnes qui ont des difficul</w:t>
      </w:r>
      <w:r>
        <w:rPr>
          <w:color w:val="000000"/>
        </w:rPr>
        <w:t>tés de communication et des profils différents.</w:t>
      </w:r>
    </w:p>
    <w:p w14:paraId="00000079" w14:textId="77777777" w:rsidR="006F6A97" w:rsidRDefault="003E2808">
      <w:pPr>
        <w:numPr>
          <w:ilvl w:val="0"/>
          <w:numId w:val="33"/>
        </w:numPr>
        <w:pBdr>
          <w:top w:val="nil"/>
          <w:left w:val="nil"/>
          <w:bottom w:val="nil"/>
          <w:right w:val="nil"/>
          <w:between w:val="nil"/>
        </w:pBdr>
        <w:spacing w:after="0"/>
        <w:rPr>
          <w:color w:val="000000"/>
        </w:rPr>
      </w:pPr>
      <w:r>
        <w:rPr>
          <w:b/>
          <w:color w:val="000000"/>
        </w:rPr>
        <w:t>Procédures pour communiquer avec les personnes atteintes de troubles de développement de la parole</w:t>
      </w:r>
      <w:r>
        <w:rPr>
          <w:color w:val="000000"/>
        </w:rPr>
        <w:t>, du langage et de la communication par téléphone, y compris une ligne téléphonique et un service spécialisés,</w:t>
      </w:r>
      <w:r>
        <w:rPr>
          <w:color w:val="000000"/>
        </w:rPr>
        <w:t xml:space="preserve"> des options pour utiliser des solutions de rechange au téléphone et l’utilisation d’un assistant en communication autorisé.</w:t>
      </w:r>
    </w:p>
    <w:p w14:paraId="0000007A" w14:textId="77777777" w:rsidR="006F6A97" w:rsidRDefault="003E2808">
      <w:pPr>
        <w:numPr>
          <w:ilvl w:val="0"/>
          <w:numId w:val="33"/>
        </w:numPr>
        <w:pBdr>
          <w:top w:val="nil"/>
          <w:left w:val="nil"/>
          <w:bottom w:val="nil"/>
          <w:right w:val="nil"/>
          <w:between w:val="nil"/>
        </w:pBdr>
        <w:spacing w:after="0"/>
        <w:rPr>
          <w:color w:val="000000"/>
        </w:rPr>
      </w:pPr>
      <w:r>
        <w:rPr>
          <w:b/>
          <w:color w:val="000000"/>
        </w:rPr>
        <w:t>Procédures visant à r</w:t>
      </w:r>
      <w:r>
        <w:rPr>
          <w:b/>
          <w:color w:val="000000"/>
        </w:rPr>
        <w:t>endre les consultations publiques accessibles</w:t>
      </w:r>
      <w:r>
        <w:rPr>
          <w:color w:val="000000"/>
        </w:rPr>
        <w:t xml:space="preserve"> aux personnes atteintes de troubles de développement de la parol</w:t>
      </w:r>
      <w:r>
        <w:rPr>
          <w:color w:val="000000"/>
        </w:rPr>
        <w:t>e, du langage et de la communication.</w:t>
      </w:r>
    </w:p>
    <w:p w14:paraId="0000007B" w14:textId="77777777" w:rsidR="006F6A97" w:rsidRDefault="003E2808">
      <w:pPr>
        <w:numPr>
          <w:ilvl w:val="0"/>
          <w:numId w:val="33"/>
        </w:numPr>
        <w:pBdr>
          <w:top w:val="nil"/>
          <w:left w:val="nil"/>
          <w:bottom w:val="nil"/>
          <w:right w:val="nil"/>
          <w:between w:val="nil"/>
        </w:pBdr>
        <w:spacing w:after="0"/>
        <w:rPr>
          <w:color w:val="000000"/>
        </w:rPr>
      </w:pPr>
      <w:r>
        <w:rPr>
          <w:b/>
          <w:color w:val="000000"/>
        </w:rPr>
        <w:t>Lignes directrices pour rendre les communications imprimées, Internet et électroniques accessibles aux perso</w:t>
      </w:r>
      <w:r>
        <w:rPr>
          <w:b/>
          <w:color w:val="000000"/>
        </w:rPr>
        <w:t>nnes atteintes de troubles de développement de la parole,</w:t>
      </w:r>
      <w:r>
        <w:rPr>
          <w:color w:val="000000"/>
        </w:rPr>
        <w:t xml:space="preserve"> du langage et de la communication, y compris le lang</w:t>
      </w:r>
      <w:r>
        <w:rPr>
          <w:color w:val="000000"/>
        </w:rPr>
        <w:t>age simple, l’application de la conception et de mise en page universelles, les formats de rechange, les sites Web accessibles ainsi que les formu</w:t>
      </w:r>
      <w:r>
        <w:rPr>
          <w:color w:val="000000"/>
        </w:rPr>
        <w:t>laires accessibles, et les procédures pour prendre des notes et utiliser d’autres formats de signature.</w:t>
      </w:r>
    </w:p>
    <w:p w14:paraId="0000007C" w14:textId="77777777" w:rsidR="006F6A97" w:rsidRDefault="003E2808">
      <w:pPr>
        <w:numPr>
          <w:ilvl w:val="0"/>
          <w:numId w:val="33"/>
        </w:numPr>
        <w:pBdr>
          <w:top w:val="nil"/>
          <w:left w:val="nil"/>
          <w:bottom w:val="nil"/>
          <w:right w:val="nil"/>
          <w:between w:val="nil"/>
        </w:pBdr>
        <w:spacing w:after="0"/>
        <w:rPr>
          <w:color w:val="000000"/>
        </w:rPr>
      </w:pPr>
      <w:r>
        <w:rPr>
          <w:b/>
          <w:color w:val="000000"/>
        </w:rPr>
        <w:t>Politi</w:t>
      </w:r>
      <w:r>
        <w:rPr>
          <w:b/>
          <w:color w:val="000000"/>
        </w:rPr>
        <w:t>ques et procédures pour obtenir un consentement éclairé</w:t>
      </w:r>
      <w:r>
        <w:rPr>
          <w:color w:val="000000"/>
        </w:rPr>
        <w:t xml:space="preserve"> et des signatures sur les documents juridiques, de santé et financiers.</w:t>
      </w:r>
    </w:p>
    <w:p w14:paraId="0000007D" w14:textId="77777777" w:rsidR="006F6A97" w:rsidRDefault="003E2808">
      <w:pPr>
        <w:numPr>
          <w:ilvl w:val="0"/>
          <w:numId w:val="33"/>
        </w:numPr>
        <w:pBdr>
          <w:top w:val="nil"/>
          <w:left w:val="nil"/>
          <w:bottom w:val="nil"/>
          <w:right w:val="nil"/>
          <w:between w:val="nil"/>
        </w:pBdr>
        <w:spacing w:after="0"/>
        <w:rPr>
          <w:color w:val="000000"/>
        </w:rPr>
      </w:pPr>
      <w:r>
        <w:rPr>
          <w:color w:val="000000"/>
        </w:rPr>
        <w:t>Fournir de l’infor</w:t>
      </w:r>
      <w:r>
        <w:rPr>
          <w:color w:val="000000"/>
        </w:rPr>
        <w:t>mation, des lignes directrices et des ressources aux personnes atteintes de troubles de développement de la pa</w:t>
      </w:r>
      <w:r>
        <w:rPr>
          <w:color w:val="000000"/>
        </w:rPr>
        <w:t xml:space="preserve">role, du langage et de </w:t>
      </w:r>
      <w:r>
        <w:rPr>
          <w:b/>
          <w:color w:val="000000"/>
        </w:rPr>
        <w:t>la communication pour les aider à connaître et à négocier leurs droits et responsabilités en matière d’accessibilité</w:t>
      </w:r>
      <w:r>
        <w:rPr>
          <w:color w:val="000000"/>
        </w:rPr>
        <w:t xml:space="preserve"> aux co</w:t>
      </w:r>
      <w:r>
        <w:rPr>
          <w:color w:val="000000"/>
        </w:rPr>
        <w:t>mmunications, lorsqu’elles accèdent aux services gouvernementaux.</w:t>
      </w:r>
    </w:p>
    <w:p w14:paraId="0000007E" w14:textId="77777777" w:rsidR="006F6A97" w:rsidRDefault="003E2808">
      <w:pPr>
        <w:numPr>
          <w:ilvl w:val="0"/>
          <w:numId w:val="33"/>
        </w:numPr>
        <w:pBdr>
          <w:top w:val="nil"/>
          <w:left w:val="nil"/>
          <w:bottom w:val="nil"/>
          <w:right w:val="nil"/>
          <w:between w:val="nil"/>
        </w:pBdr>
        <w:spacing w:after="0"/>
        <w:rPr>
          <w:color w:val="000000"/>
        </w:rPr>
      </w:pPr>
      <w:r>
        <w:rPr>
          <w:color w:val="000000"/>
        </w:rPr>
        <w:t>Élaborer des protocoles, des procédures et d</w:t>
      </w:r>
      <w:r>
        <w:rPr>
          <w:color w:val="000000"/>
        </w:rPr>
        <w:t>es lignes directrices de communication spécifiques pour les services essentiels où la communication est critique, comme les soins de santé, les se</w:t>
      </w:r>
      <w:r>
        <w:rPr>
          <w:color w:val="000000"/>
        </w:rPr>
        <w:t>rvices de justice, de citoyenneté et l’immigration, de sécurité publique et Revenu Canada pour les personnes a</w:t>
      </w:r>
      <w:r>
        <w:rPr>
          <w:color w:val="000000"/>
        </w:rPr>
        <w:t>tteintes de troubles de développement de la parole, du langage et de la communication.</w:t>
      </w:r>
    </w:p>
    <w:p w14:paraId="0000007F" w14:textId="77777777" w:rsidR="006F6A97" w:rsidRDefault="003E2808">
      <w:pPr>
        <w:numPr>
          <w:ilvl w:val="0"/>
          <w:numId w:val="33"/>
        </w:numPr>
        <w:pBdr>
          <w:top w:val="nil"/>
          <w:left w:val="nil"/>
          <w:bottom w:val="nil"/>
          <w:right w:val="nil"/>
          <w:between w:val="nil"/>
        </w:pBdr>
        <w:spacing w:after="0"/>
        <w:rPr>
          <w:color w:val="000000"/>
        </w:rPr>
      </w:pPr>
      <w:r>
        <w:rPr>
          <w:color w:val="000000"/>
        </w:rPr>
        <w:t>Veiller à ce que tous les groupes qui reçoivent des fonds d</w:t>
      </w:r>
      <w:r>
        <w:rPr>
          <w:color w:val="000000"/>
        </w:rPr>
        <w:t>u gouvernement fédéral soient accessibles aux personnes atteintes de troubles de développement de la parole, d</w:t>
      </w:r>
      <w:r>
        <w:rPr>
          <w:color w:val="000000"/>
        </w:rPr>
        <w:t>u langage et de la communication. </w:t>
      </w:r>
    </w:p>
    <w:p w14:paraId="00000080" w14:textId="77777777" w:rsidR="006F6A97" w:rsidRDefault="003E2808">
      <w:pPr>
        <w:numPr>
          <w:ilvl w:val="0"/>
          <w:numId w:val="33"/>
        </w:numPr>
        <w:pBdr>
          <w:top w:val="nil"/>
          <w:left w:val="nil"/>
          <w:bottom w:val="nil"/>
          <w:right w:val="nil"/>
          <w:between w:val="nil"/>
        </w:pBdr>
        <w:spacing w:after="0"/>
        <w:rPr>
          <w:color w:val="000000"/>
        </w:rPr>
      </w:pPr>
      <w:r>
        <w:rPr>
          <w:color w:val="000000"/>
        </w:rPr>
        <w:t>Collaborer avec les ministères provinciaux afin d’accroître l’accès aux services cliniques d’orthophonie, d’aud</w:t>
      </w:r>
      <w:r>
        <w:rPr>
          <w:color w:val="000000"/>
        </w:rPr>
        <w:t>iologie et de communication alternative et de suppléance à la communication, ainsi qu’un financement adéquat e</w:t>
      </w:r>
      <w:r>
        <w:rPr>
          <w:color w:val="000000"/>
        </w:rPr>
        <w:t>t sûr pour les appareils de communication. </w:t>
      </w:r>
    </w:p>
    <w:p w14:paraId="00000081" w14:textId="77777777" w:rsidR="006F6A97" w:rsidRDefault="003E2808">
      <w:pPr>
        <w:numPr>
          <w:ilvl w:val="0"/>
          <w:numId w:val="33"/>
        </w:numPr>
        <w:pBdr>
          <w:top w:val="nil"/>
          <w:left w:val="nil"/>
          <w:bottom w:val="nil"/>
          <w:right w:val="nil"/>
          <w:between w:val="nil"/>
        </w:pBdr>
        <w:spacing w:after="200"/>
        <w:rPr>
          <w:color w:val="000000"/>
        </w:rPr>
      </w:pPr>
      <w:r>
        <w:rPr>
          <w:color w:val="000000"/>
        </w:rPr>
        <w:t>Veiller à ce que les personnes atteintes de troubles de développement de la parole, du langage et de la communication soient représentées et à ce que leurs besoins en matière d’accès aux communications soient sat</w:t>
      </w:r>
      <w:r>
        <w:rPr>
          <w:color w:val="000000"/>
        </w:rPr>
        <w:t>isfaits lors des consultations publiques, de</w:t>
      </w:r>
      <w:r>
        <w:rPr>
          <w:color w:val="000000"/>
        </w:rPr>
        <w:t>s examens de l’accessibilité, des comités consultatifs, des commissions et des procédures de surveillance.</w:t>
      </w:r>
    </w:p>
    <w:p w14:paraId="00000082" w14:textId="77777777" w:rsidR="006F6A97" w:rsidRDefault="003E2808">
      <w:pPr>
        <w:pStyle w:val="Heading3"/>
        <w:rPr>
          <w:rFonts w:ascii="Times New Roman" w:eastAsia="Times New Roman" w:hAnsi="Times New Roman" w:cs="Times New Roman"/>
          <w:b w:val="0"/>
          <w:sz w:val="27"/>
          <w:szCs w:val="27"/>
        </w:rPr>
      </w:pPr>
      <w:bookmarkStart w:id="15" w:name="_Toc132721419"/>
      <w:r>
        <w:t>Recommandations génériques</w:t>
      </w:r>
      <w:bookmarkEnd w:id="15"/>
      <w:r>
        <w:t> </w:t>
      </w:r>
    </w:p>
    <w:p w14:paraId="00000083" w14:textId="77777777" w:rsidR="006F6A97" w:rsidRDefault="003E2808">
      <w:pPr>
        <w:pBdr>
          <w:top w:val="nil"/>
          <w:left w:val="nil"/>
          <w:bottom w:val="nil"/>
          <w:right w:val="nil"/>
          <w:between w:val="nil"/>
        </w:pBdr>
        <w:spacing w:after="200"/>
        <w:rPr>
          <w:color w:val="000000"/>
        </w:rPr>
      </w:pPr>
      <w:r>
        <w:rPr>
          <w:color w:val="000000"/>
        </w:rPr>
        <w:t xml:space="preserve">Les recommandations suivantes ont été formulées par les participants afin de </w:t>
      </w:r>
      <w:r>
        <w:rPr>
          <w:color w:val="000000"/>
        </w:rPr>
        <w:t>rendre les services de compétence fédérale e</w:t>
      </w:r>
      <w:r>
        <w:rPr>
          <w:color w:val="000000"/>
        </w:rPr>
        <w:t>t les services provinciaux et territoriaux financés par le gouvernement fédéral accessibles aux personnes atteintes de troubles de développement de la parole, du langage et de la communication. </w:t>
      </w:r>
    </w:p>
    <w:p w14:paraId="00000084" w14:textId="77777777" w:rsidR="006F6A97" w:rsidRDefault="003E2808">
      <w:pPr>
        <w:pStyle w:val="Heading4"/>
        <w:rPr>
          <w:rFonts w:ascii="Times New Roman" w:eastAsia="Times New Roman" w:hAnsi="Times New Roman" w:cs="Times New Roman"/>
          <w:b w:val="0"/>
        </w:rPr>
      </w:pPr>
      <w:bookmarkStart w:id="16" w:name="_Toc132721420"/>
      <w:r>
        <w:t xml:space="preserve">Les fournisseurs </w:t>
      </w:r>
      <w:r>
        <w:t>de services qui interagissent avec le public</w:t>
      </w:r>
      <w:r>
        <w:t xml:space="preserve"> devraient :</w:t>
      </w:r>
      <w:bookmarkEnd w:id="16"/>
      <w:r>
        <w:t> </w:t>
      </w:r>
    </w:p>
    <w:p w14:paraId="00000085" w14:textId="77777777" w:rsidR="006F6A97" w:rsidRDefault="003E2808">
      <w:pPr>
        <w:numPr>
          <w:ilvl w:val="0"/>
          <w:numId w:val="32"/>
        </w:numPr>
        <w:pBdr>
          <w:top w:val="nil"/>
          <w:left w:val="nil"/>
          <w:bottom w:val="nil"/>
          <w:right w:val="nil"/>
          <w:between w:val="nil"/>
        </w:pBdr>
        <w:spacing w:after="0"/>
        <w:rPr>
          <w:color w:val="000000"/>
        </w:rPr>
      </w:pPr>
      <w:r>
        <w:rPr>
          <w:color w:val="000000"/>
        </w:rPr>
        <w:t>Recevoir une formation sur la façon d’interagir avec les personnes atteintes de troubles de développement de la parole, du langage et de la communication ainsi que sur la façon de négocier et de rép</w:t>
      </w:r>
      <w:r>
        <w:rPr>
          <w:color w:val="000000"/>
        </w:rPr>
        <w:t>ondre aux exigences en matière d’accessibili</w:t>
      </w:r>
      <w:r>
        <w:rPr>
          <w:color w:val="000000"/>
        </w:rPr>
        <w:t>té des communications. </w:t>
      </w:r>
    </w:p>
    <w:p w14:paraId="00000086" w14:textId="77777777" w:rsidR="006F6A97" w:rsidRDefault="003E2808">
      <w:pPr>
        <w:numPr>
          <w:ilvl w:val="0"/>
          <w:numId w:val="32"/>
        </w:numPr>
        <w:pBdr>
          <w:top w:val="nil"/>
          <w:left w:val="nil"/>
          <w:bottom w:val="nil"/>
          <w:right w:val="nil"/>
          <w:between w:val="nil"/>
        </w:pBdr>
        <w:spacing w:after="0"/>
        <w:rPr>
          <w:color w:val="000000"/>
        </w:rPr>
      </w:pPr>
      <w:r>
        <w:rPr>
          <w:color w:val="000000"/>
        </w:rPr>
        <w:t>Fournir des services d’une manière qui respecte la dignité et l’autonomie de la personne atteinte d’un trouble de développement de la parole, du langage et de la communication. </w:t>
      </w:r>
    </w:p>
    <w:p w14:paraId="00000087" w14:textId="77777777" w:rsidR="006F6A97" w:rsidRDefault="003E2808">
      <w:pPr>
        <w:numPr>
          <w:ilvl w:val="0"/>
          <w:numId w:val="32"/>
        </w:numPr>
        <w:pBdr>
          <w:top w:val="nil"/>
          <w:left w:val="nil"/>
          <w:bottom w:val="nil"/>
          <w:right w:val="nil"/>
          <w:between w:val="nil"/>
        </w:pBdr>
        <w:spacing w:after="0"/>
        <w:rPr>
          <w:color w:val="000000"/>
        </w:rPr>
      </w:pPr>
      <w:r>
        <w:rPr>
          <w:color w:val="000000"/>
        </w:rPr>
        <w:t>Accepter l</w:t>
      </w:r>
      <w:r>
        <w:rPr>
          <w:color w:val="000000"/>
        </w:rPr>
        <w:t>e mode de communication choisi par la person</w:t>
      </w:r>
      <w:r>
        <w:rPr>
          <w:color w:val="000000"/>
        </w:rPr>
        <w:t>ne, y compris une parole peu claire, une image, un symbole ou un tableau de lettres, un appareil de production de parole ou de texte ou l’assistance d’une personne de soutien à la communication. </w:t>
      </w:r>
    </w:p>
    <w:p w14:paraId="00000088" w14:textId="77777777" w:rsidR="006F6A97" w:rsidRDefault="003E2808">
      <w:pPr>
        <w:numPr>
          <w:ilvl w:val="0"/>
          <w:numId w:val="32"/>
        </w:numPr>
        <w:pBdr>
          <w:top w:val="nil"/>
          <w:left w:val="nil"/>
          <w:bottom w:val="nil"/>
          <w:right w:val="nil"/>
          <w:between w:val="nil"/>
        </w:pBdr>
        <w:spacing w:after="0"/>
        <w:rPr>
          <w:color w:val="000000"/>
        </w:rPr>
      </w:pPr>
      <w:r>
        <w:rPr>
          <w:color w:val="000000"/>
        </w:rPr>
        <w:t>Suivre les instr</w:t>
      </w:r>
      <w:r>
        <w:rPr>
          <w:color w:val="000000"/>
        </w:rPr>
        <w:t>uctions fournies par la personne avec un tro</w:t>
      </w:r>
      <w:r>
        <w:rPr>
          <w:color w:val="000000"/>
        </w:rPr>
        <w:t>uble de développement de la parole, du langage et de la communication sur ce qu’on doit faire lorsqu’on communique avec elle. </w:t>
      </w:r>
    </w:p>
    <w:p w14:paraId="00000089" w14:textId="77777777" w:rsidR="006F6A97" w:rsidRDefault="003E2808">
      <w:pPr>
        <w:numPr>
          <w:ilvl w:val="0"/>
          <w:numId w:val="32"/>
        </w:numPr>
        <w:pBdr>
          <w:top w:val="nil"/>
          <w:left w:val="nil"/>
          <w:bottom w:val="nil"/>
          <w:right w:val="nil"/>
          <w:between w:val="nil"/>
        </w:pBdr>
        <w:spacing w:after="0"/>
        <w:rPr>
          <w:color w:val="000000"/>
        </w:rPr>
      </w:pPr>
      <w:r>
        <w:rPr>
          <w:color w:val="000000"/>
        </w:rPr>
        <w:t>Demander à la personne si elle a besoin de mesures d’adaptation et de soutien en mati</w:t>
      </w:r>
      <w:r>
        <w:rPr>
          <w:color w:val="000000"/>
        </w:rPr>
        <w:t>ère de communication pour utiliser le servic</w:t>
      </w:r>
      <w:r>
        <w:rPr>
          <w:color w:val="000000"/>
        </w:rPr>
        <w:t>e. </w:t>
      </w:r>
    </w:p>
    <w:p w14:paraId="0000008A" w14:textId="77777777" w:rsidR="006F6A97" w:rsidRDefault="003E2808">
      <w:pPr>
        <w:numPr>
          <w:ilvl w:val="0"/>
          <w:numId w:val="32"/>
        </w:numPr>
        <w:pBdr>
          <w:top w:val="nil"/>
          <w:left w:val="nil"/>
          <w:bottom w:val="nil"/>
          <w:right w:val="nil"/>
          <w:between w:val="nil"/>
        </w:pBdr>
        <w:spacing w:after="0"/>
        <w:rPr>
          <w:color w:val="000000"/>
        </w:rPr>
      </w:pPr>
      <w:r>
        <w:rPr>
          <w:color w:val="000000"/>
        </w:rPr>
        <w:t>Faire de son mieux pour répondre aux besoins de communication de l’individu. </w:t>
      </w:r>
    </w:p>
    <w:p w14:paraId="0000008B" w14:textId="77777777" w:rsidR="006F6A97" w:rsidRDefault="003E2808">
      <w:pPr>
        <w:numPr>
          <w:ilvl w:val="0"/>
          <w:numId w:val="32"/>
        </w:numPr>
        <w:pBdr>
          <w:top w:val="nil"/>
          <w:left w:val="nil"/>
          <w:bottom w:val="nil"/>
          <w:right w:val="nil"/>
          <w:between w:val="nil"/>
        </w:pBdr>
        <w:spacing w:after="0"/>
        <w:rPr>
          <w:color w:val="000000"/>
        </w:rPr>
      </w:pPr>
      <w:r>
        <w:rPr>
          <w:color w:val="000000"/>
        </w:rPr>
        <w:t>Avoir accès à une personne de confiance avec une formation supplémentaire en cas de problèmes de communication. </w:t>
      </w:r>
    </w:p>
    <w:p w14:paraId="0000008C" w14:textId="77777777" w:rsidR="006F6A97" w:rsidRDefault="003E2808">
      <w:pPr>
        <w:numPr>
          <w:ilvl w:val="0"/>
          <w:numId w:val="32"/>
        </w:numPr>
        <w:pBdr>
          <w:top w:val="nil"/>
          <w:left w:val="nil"/>
          <w:bottom w:val="nil"/>
          <w:right w:val="nil"/>
          <w:between w:val="nil"/>
        </w:pBdr>
        <w:spacing w:after="0"/>
        <w:rPr>
          <w:color w:val="000000"/>
        </w:rPr>
      </w:pPr>
      <w:r>
        <w:rPr>
          <w:color w:val="000000"/>
        </w:rPr>
        <w:t>Donner plus de te</w:t>
      </w:r>
      <w:r>
        <w:rPr>
          <w:color w:val="000000"/>
        </w:rPr>
        <w:t>mps à la personne pour communiquer. </w:t>
      </w:r>
    </w:p>
    <w:p w14:paraId="0000008D" w14:textId="77777777" w:rsidR="006F6A97" w:rsidRDefault="003E2808">
      <w:pPr>
        <w:numPr>
          <w:ilvl w:val="0"/>
          <w:numId w:val="32"/>
        </w:numPr>
        <w:pBdr>
          <w:top w:val="nil"/>
          <w:left w:val="nil"/>
          <w:bottom w:val="nil"/>
          <w:right w:val="nil"/>
          <w:between w:val="nil"/>
        </w:pBdr>
        <w:spacing w:after="0"/>
        <w:rPr>
          <w:color w:val="000000"/>
        </w:rPr>
      </w:pPr>
      <w:r>
        <w:rPr>
          <w:color w:val="000000"/>
        </w:rPr>
        <w:t>Fournir, si nécessaire, une surface de comptoir, à un niveau auquel une personne peut utiliser un tableau ou un appareil de communication et le fournisseur de services peut voir ce que la personne pointe, dactylographie</w:t>
      </w:r>
      <w:r>
        <w:rPr>
          <w:color w:val="000000"/>
        </w:rPr>
        <w:t xml:space="preserve"> ou écrit. </w:t>
      </w:r>
    </w:p>
    <w:p w14:paraId="0000008E" w14:textId="77777777" w:rsidR="006F6A97" w:rsidRDefault="003E2808">
      <w:pPr>
        <w:numPr>
          <w:ilvl w:val="0"/>
          <w:numId w:val="32"/>
        </w:numPr>
        <w:pBdr>
          <w:top w:val="nil"/>
          <w:left w:val="nil"/>
          <w:bottom w:val="nil"/>
          <w:right w:val="nil"/>
          <w:between w:val="nil"/>
        </w:pBdr>
        <w:spacing w:after="0"/>
        <w:rPr>
          <w:color w:val="000000"/>
        </w:rPr>
      </w:pPr>
      <w:r>
        <w:rPr>
          <w:color w:val="000000"/>
        </w:rPr>
        <w:t>Utiliser une variété de f</w:t>
      </w:r>
      <w:r>
        <w:rPr>
          <w:color w:val="000000"/>
        </w:rPr>
        <w:t>ormats de questions et éviter de limiter la communication d’une personne à des réponses par oui ou par non, à moins que la personne ne l’approuve et que la situation exige ce style de questionnement. </w:t>
      </w:r>
    </w:p>
    <w:p w14:paraId="0000008F" w14:textId="77777777" w:rsidR="006F6A97" w:rsidRDefault="003E2808">
      <w:pPr>
        <w:numPr>
          <w:ilvl w:val="0"/>
          <w:numId w:val="32"/>
        </w:numPr>
        <w:pBdr>
          <w:top w:val="nil"/>
          <w:left w:val="nil"/>
          <w:bottom w:val="nil"/>
          <w:right w:val="nil"/>
          <w:between w:val="nil"/>
        </w:pBdr>
        <w:spacing w:after="0"/>
        <w:rPr>
          <w:color w:val="000000"/>
        </w:rPr>
      </w:pPr>
      <w:r>
        <w:rPr>
          <w:color w:val="000000"/>
        </w:rPr>
        <w:t>Accepter ce qu’une</w:t>
      </w:r>
      <w:r>
        <w:rPr>
          <w:color w:val="000000"/>
        </w:rPr>
        <w:t xml:space="preserve"> personne de soutien autorisée commun</w:t>
      </w:r>
      <w:r>
        <w:rPr>
          <w:color w:val="000000"/>
        </w:rPr>
        <w:t>ique au nom d’une personne atteinte d’un trouble de développement de la parole, du langage et de la communication, si elle choisit que quelqu’un l’aide à communiquer. </w:t>
      </w:r>
    </w:p>
    <w:p w14:paraId="00000090" w14:textId="77777777" w:rsidR="006F6A97" w:rsidRDefault="003E2808">
      <w:pPr>
        <w:numPr>
          <w:ilvl w:val="0"/>
          <w:numId w:val="32"/>
        </w:numPr>
        <w:pBdr>
          <w:top w:val="nil"/>
          <w:left w:val="nil"/>
          <w:bottom w:val="nil"/>
          <w:right w:val="nil"/>
          <w:between w:val="nil"/>
        </w:pBdr>
        <w:spacing w:after="0"/>
        <w:rPr>
          <w:color w:val="000000"/>
        </w:rPr>
      </w:pPr>
      <w:r>
        <w:rPr>
          <w:color w:val="000000"/>
        </w:rPr>
        <w:t>Veiller à ce que la personne handicapée et la perso</w:t>
      </w:r>
      <w:r>
        <w:rPr>
          <w:color w:val="000000"/>
        </w:rPr>
        <w:t>nne de soutien à la communication soi</w:t>
      </w:r>
      <w:r>
        <w:rPr>
          <w:color w:val="000000"/>
        </w:rPr>
        <w:t>ent autorisées à entrer ensemble dans les locaux et à ce que la personne handicapée ne soit pas empêchée d’avoir accès à la personne de soutien à la communication pendant qu’elle se trouve dans les locaux si elle demand</w:t>
      </w:r>
      <w:r>
        <w:rPr>
          <w:color w:val="000000"/>
        </w:rPr>
        <w:t>e leur aide. </w:t>
      </w:r>
    </w:p>
    <w:p w14:paraId="00000091" w14:textId="77777777" w:rsidR="006F6A97" w:rsidRDefault="003E2808">
      <w:pPr>
        <w:numPr>
          <w:ilvl w:val="0"/>
          <w:numId w:val="32"/>
        </w:numPr>
        <w:pBdr>
          <w:top w:val="nil"/>
          <w:left w:val="nil"/>
          <w:bottom w:val="nil"/>
          <w:right w:val="nil"/>
          <w:between w:val="nil"/>
        </w:pBdr>
        <w:spacing w:after="200"/>
        <w:rPr>
          <w:color w:val="000000"/>
        </w:rPr>
      </w:pPr>
      <w:r>
        <w:rPr>
          <w:color w:val="000000"/>
        </w:rPr>
        <w:t>Valider ce que la perso</w:t>
      </w:r>
      <w:r>
        <w:rPr>
          <w:color w:val="000000"/>
        </w:rPr>
        <w:t>nne de soutien à la communication a communiqué (le cas échéant) en demandant à la personne avec le trouble de développement de la parole, du langage et de la communication si elle est d’accord avec ce que la personne de</w:t>
      </w:r>
      <w:r>
        <w:rPr>
          <w:color w:val="000000"/>
        </w:rPr>
        <w:t xml:space="preserve"> soutien a dit. </w:t>
      </w:r>
    </w:p>
    <w:p w14:paraId="00000092" w14:textId="77777777" w:rsidR="006F6A97" w:rsidRDefault="003E2808">
      <w:pPr>
        <w:pStyle w:val="Heading4"/>
        <w:rPr>
          <w:rFonts w:ascii="Times New Roman" w:eastAsia="Times New Roman" w:hAnsi="Times New Roman" w:cs="Times New Roman"/>
          <w:b w:val="0"/>
        </w:rPr>
      </w:pPr>
      <w:bookmarkStart w:id="17" w:name="_Toc132721421"/>
      <w:r>
        <w:t>Les fournisseurs de services téléphoniques devraient :</w:t>
      </w:r>
      <w:bookmarkEnd w:id="17"/>
      <w:r>
        <w:t> </w:t>
      </w:r>
    </w:p>
    <w:p w14:paraId="00000093" w14:textId="77777777" w:rsidR="006F6A97" w:rsidRDefault="003E2808">
      <w:pPr>
        <w:numPr>
          <w:ilvl w:val="0"/>
          <w:numId w:val="23"/>
        </w:numPr>
        <w:pBdr>
          <w:top w:val="nil"/>
          <w:left w:val="nil"/>
          <w:bottom w:val="nil"/>
          <w:right w:val="nil"/>
          <w:between w:val="nil"/>
        </w:pBdr>
        <w:spacing w:after="0"/>
        <w:rPr>
          <w:color w:val="000000"/>
        </w:rPr>
      </w:pPr>
      <w:r>
        <w:rPr>
          <w:color w:val="000000"/>
        </w:rPr>
        <w:t>Proposer une ligne téléphonique dédiée aux personnes atteintes de trouble de développement de la parole, du langage et de la communication. </w:t>
      </w:r>
    </w:p>
    <w:p w14:paraId="00000094" w14:textId="77777777" w:rsidR="006F6A97" w:rsidRDefault="003E2808">
      <w:pPr>
        <w:numPr>
          <w:ilvl w:val="0"/>
          <w:numId w:val="23"/>
        </w:numPr>
        <w:pBdr>
          <w:top w:val="nil"/>
          <w:left w:val="nil"/>
          <w:bottom w:val="nil"/>
          <w:right w:val="nil"/>
          <w:between w:val="nil"/>
        </w:pBdr>
        <w:spacing w:after="0"/>
        <w:rPr>
          <w:color w:val="000000"/>
        </w:rPr>
      </w:pPr>
      <w:r>
        <w:rPr>
          <w:color w:val="000000"/>
        </w:rPr>
        <w:t>Avoir des politiques et des procédures pou</w:t>
      </w:r>
      <w:r>
        <w:rPr>
          <w:color w:val="000000"/>
        </w:rPr>
        <w:t>r accepter une pe</w:t>
      </w:r>
      <w:r>
        <w:rPr>
          <w:color w:val="000000"/>
        </w:rPr>
        <w:t>rsonne de soutien à la communication autorisée par téléphone.</w:t>
      </w:r>
    </w:p>
    <w:p w14:paraId="00000095" w14:textId="77777777" w:rsidR="006F6A97" w:rsidRDefault="003E2808">
      <w:pPr>
        <w:numPr>
          <w:ilvl w:val="0"/>
          <w:numId w:val="23"/>
        </w:numPr>
        <w:pBdr>
          <w:top w:val="nil"/>
          <w:left w:val="nil"/>
          <w:bottom w:val="nil"/>
          <w:right w:val="nil"/>
          <w:between w:val="nil"/>
        </w:pBdr>
        <w:spacing w:after="0"/>
        <w:rPr>
          <w:color w:val="000000"/>
        </w:rPr>
      </w:pPr>
      <w:r>
        <w:rPr>
          <w:color w:val="000000"/>
        </w:rPr>
        <w:t>Recevoir une formation sur des stratégies spécifiques pour communiquer par téléphone avec des personnes ayant des troubles de la communication. </w:t>
      </w:r>
    </w:p>
    <w:p w14:paraId="00000096" w14:textId="77777777" w:rsidR="006F6A97" w:rsidRDefault="003E2808">
      <w:pPr>
        <w:numPr>
          <w:ilvl w:val="0"/>
          <w:numId w:val="23"/>
        </w:numPr>
        <w:pBdr>
          <w:top w:val="nil"/>
          <w:left w:val="nil"/>
          <w:bottom w:val="nil"/>
          <w:right w:val="nil"/>
          <w:between w:val="nil"/>
        </w:pBdr>
        <w:spacing w:after="200"/>
        <w:rPr>
          <w:color w:val="000000"/>
        </w:rPr>
      </w:pPr>
      <w:r>
        <w:rPr>
          <w:color w:val="000000"/>
        </w:rPr>
        <w:t>Fournir des options alternatives</w:t>
      </w:r>
      <w:r>
        <w:rPr>
          <w:color w:val="000000"/>
        </w:rPr>
        <w:t xml:space="preserve"> au téléphone, telles que la messagerie texte, le courrier électronique et les médias sociaux, la vidéoconférence et les services de relais de messages. </w:t>
      </w:r>
    </w:p>
    <w:p w14:paraId="00000097" w14:textId="77777777" w:rsidR="006F6A97" w:rsidRDefault="003E2808">
      <w:pPr>
        <w:pStyle w:val="Heading4"/>
      </w:pPr>
      <w:bookmarkStart w:id="18" w:name="_Toc132721422"/>
      <w:r>
        <w:t>Les organisateurs de forums publics, de réunions et de comités devraie</w:t>
      </w:r>
      <w:r>
        <w:t>nt :</w:t>
      </w:r>
      <w:bookmarkEnd w:id="18"/>
      <w:r>
        <w:t> </w:t>
      </w:r>
    </w:p>
    <w:p w14:paraId="00000098" w14:textId="77777777" w:rsidR="006F6A97" w:rsidRDefault="003E2808">
      <w:pPr>
        <w:numPr>
          <w:ilvl w:val="0"/>
          <w:numId w:val="21"/>
        </w:numPr>
        <w:pBdr>
          <w:top w:val="nil"/>
          <w:left w:val="nil"/>
          <w:bottom w:val="nil"/>
          <w:right w:val="nil"/>
          <w:between w:val="nil"/>
        </w:pBdr>
        <w:spacing w:after="0"/>
        <w:rPr>
          <w:color w:val="000000"/>
        </w:rPr>
      </w:pPr>
      <w:r>
        <w:rPr>
          <w:color w:val="000000"/>
        </w:rPr>
        <w:t>Faire connaître la disponi</w:t>
      </w:r>
      <w:r>
        <w:rPr>
          <w:color w:val="000000"/>
        </w:rPr>
        <w:t>bilité de mesures d’adaptation et de soutien en matière d’accessibilité aux communications aux personnes atteintes de trouble de développement de la parole, du langage et de la communication avant un événement. </w:t>
      </w:r>
    </w:p>
    <w:p w14:paraId="00000099" w14:textId="77777777" w:rsidR="006F6A97" w:rsidRDefault="003E2808">
      <w:pPr>
        <w:numPr>
          <w:ilvl w:val="0"/>
          <w:numId w:val="21"/>
        </w:numPr>
        <w:pBdr>
          <w:top w:val="nil"/>
          <w:left w:val="nil"/>
          <w:bottom w:val="nil"/>
          <w:right w:val="nil"/>
          <w:between w:val="nil"/>
        </w:pBdr>
        <w:spacing w:after="0"/>
        <w:rPr>
          <w:color w:val="000000"/>
        </w:rPr>
      </w:pPr>
      <w:r>
        <w:rPr>
          <w:color w:val="000000"/>
        </w:rPr>
        <w:t>Prévoir un o</w:t>
      </w:r>
      <w:r>
        <w:rPr>
          <w:color w:val="000000"/>
        </w:rPr>
        <w:t>rdre du jour à l’avance. </w:t>
      </w:r>
    </w:p>
    <w:p w14:paraId="0000009A" w14:textId="77777777" w:rsidR="006F6A97" w:rsidRDefault="003E2808">
      <w:pPr>
        <w:numPr>
          <w:ilvl w:val="0"/>
          <w:numId w:val="21"/>
        </w:numPr>
        <w:pBdr>
          <w:top w:val="nil"/>
          <w:left w:val="nil"/>
          <w:bottom w:val="nil"/>
          <w:right w:val="nil"/>
          <w:between w:val="nil"/>
        </w:pBdr>
        <w:spacing w:after="0"/>
        <w:rPr>
          <w:color w:val="000000"/>
        </w:rPr>
      </w:pPr>
      <w:r>
        <w:rPr>
          <w:color w:val="000000"/>
        </w:rPr>
        <w:t>Fourni</w:t>
      </w:r>
      <w:r>
        <w:rPr>
          <w:color w:val="000000"/>
        </w:rPr>
        <w:t>r des assistants en communication pour aider les gens à communiquer, lorsqu’ils en font la demande </w:t>
      </w:r>
    </w:p>
    <w:p w14:paraId="0000009B" w14:textId="77777777" w:rsidR="006F6A97" w:rsidRDefault="003E2808">
      <w:pPr>
        <w:numPr>
          <w:ilvl w:val="0"/>
          <w:numId w:val="21"/>
        </w:numPr>
        <w:pBdr>
          <w:top w:val="nil"/>
          <w:left w:val="nil"/>
          <w:bottom w:val="nil"/>
          <w:right w:val="nil"/>
          <w:between w:val="nil"/>
        </w:pBdr>
        <w:spacing w:after="200"/>
        <w:rPr>
          <w:color w:val="000000"/>
        </w:rPr>
      </w:pPr>
      <w:r>
        <w:rPr>
          <w:color w:val="000000"/>
        </w:rPr>
        <w:t>Utiliser des stratégies appropriées pour faciliter la communication et la participation des participants qui ont des trouble</w:t>
      </w:r>
      <w:r>
        <w:rPr>
          <w:color w:val="000000"/>
        </w:rPr>
        <w:t>s de développement de la parole,</w:t>
      </w:r>
      <w:r>
        <w:rPr>
          <w:color w:val="000000"/>
        </w:rPr>
        <w:t xml:space="preserve"> du langage et de la communication. </w:t>
      </w:r>
    </w:p>
    <w:p w14:paraId="0000009C" w14:textId="77777777" w:rsidR="006F6A97" w:rsidRDefault="003E2808">
      <w:pPr>
        <w:pBdr>
          <w:top w:val="nil"/>
          <w:left w:val="nil"/>
          <w:bottom w:val="nil"/>
          <w:right w:val="nil"/>
          <w:between w:val="nil"/>
        </w:pBdr>
        <w:spacing w:before="280" w:after="80"/>
        <w:rPr>
          <w:b/>
          <w:color w:val="85200C"/>
        </w:rPr>
      </w:pPr>
      <w:r>
        <w:rPr>
          <w:b/>
          <w:color w:val="85200C"/>
        </w:rPr>
        <w:t>Les services d’information et de communication devraient : </w:t>
      </w:r>
    </w:p>
    <w:p w14:paraId="0000009D" w14:textId="77777777" w:rsidR="006F6A97" w:rsidRDefault="003E2808">
      <w:pPr>
        <w:numPr>
          <w:ilvl w:val="0"/>
          <w:numId w:val="24"/>
        </w:numPr>
        <w:pBdr>
          <w:top w:val="nil"/>
          <w:left w:val="nil"/>
          <w:bottom w:val="nil"/>
          <w:right w:val="nil"/>
          <w:between w:val="nil"/>
        </w:pBdr>
        <w:spacing w:after="0"/>
        <w:rPr>
          <w:color w:val="000000"/>
        </w:rPr>
      </w:pPr>
      <w:r>
        <w:rPr>
          <w:color w:val="000000"/>
        </w:rPr>
        <w:t xml:space="preserve">Fournir des informations écrites sous plusieurs formats (par exemple, format électronique et copie papier), y compris une lecture facile ou un langage simple, </w:t>
      </w:r>
      <w:r>
        <w:rPr>
          <w:color w:val="000000"/>
        </w:rPr>
        <w:t xml:space="preserve">un texte amélioré (par exemple, des images, une grande police), un audio et, le cas échéant, une </w:t>
      </w:r>
      <w:r>
        <w:rPr>
          <w:color w:val="000000"/>
        </w:rPr>
        <w:t>assistance humaine.</w:t>
      </w:r>
    </w:p>
    <w:p w14:paraId="0000009E" w14:textId="77777777" w:rsidR="006F6A97" w:rsidRDefault="003E2808">
      <w:pPr>
        <w:numPr>
          <w:ilvl w:val="0"/>
          <w:numId w:val="24"/>
        </w:numPr>
        <w:pBdr>
          <w:top w:val="nil"/>
          <w:left w:val="nil"/>
          <w:bottom w:val="nil"/>
          <w:right w:val="nil"/>
          <w:between w:val="nil"/>
        </w:pBdr>
        <w:spacing w:after="0"/>
        <w:rPr>
          <w:color w:val="000000"/>
        </w:rPr>
      </w:pPr>
      <w:r>
        <w:rPr>
          <w:color w:val="000000"/>
        </w:rPr>
        <w:t>Veiller à ce que les sites Web respectent les directives d’accessibilité du contenu Web. </w:t>
      </w:r>
    </w:p>
    <w:p w14:paraId="0000009F" w14:textId="77777777" w:rsidR="006F6A97" w:rsidRDefault="003E2808">
      <w:pPr>
        <w:numPr>
          <w:ilvl w:val="0"/>
          <w:numId w:val="24"/>
        </w:numPr>
        <w:pBdr>
          <w:top w:val="nil"/>
          <w:left w:val="nil"/>
          <w:bottom w:val="nil"/>
          <w:right w:val="nil"/>
          <w:between w:val="nil"/>
        </w:pBdr>
        <w:spacing w:after="0"/>
        <w:rPr>
          <w:color w:val="000000"/>
        </w:rPr>
      </w:pPr>
      <w:r>
        <w:rPr>
          <w:color w:val="000000"/>
        </w:rPr>
        <w:t>Rendre les formulaires accessibles compatibles av</w:t>
      </w:r>
      <w:r>
        <w:rPr>
          <w:color w:val="000000"/>
        </w:rPr>
        <w:t>ec les technologies d’assistance à l’écriture ou à la communication. </w:t>
      </w:r>
    </w:p>
    <w:p w14:paraId="000000A0" w14:textId="77777777" w:rsidR="006F6A97" w:rsidRDefault="003E2808">
      <w:pPr>
        <w:numPr>
          <w:ilvl w:val="0"/>
          <w:numId w:val="24"/>
        </w:numPr>
        <w:pBdr>
          <w:top w:val="nil"/>
          <w:left w:val="nil"/>
          <w:bottom w:val="nil"/>
          <w:right w:val="nil"/>
          <w:between w:val="nil"/>
        </w:pBdr>
        <w:spacing w:after="0"/>
        <w:rPr>
          <w:color w:val="000000"/>
        </w:rPr>
      </w:pPr>
      <w:r>
        <w:rPr>
          <w:color w:val="000000"/>
        </w:rPr>
        <w:t>S’assurer que la signalisat</w:t>
      </w:r>
      <w:r>
        <w:rPr>
          <w:color w:val="000000"/>
        </w:rPr>
        <w:t>ion est claire, avec des graphiques reconnaissables, et à une hauteur et un emplacement qui peuvent être facilement vus. </w:t>
      </w:r>
    </w:p>
    <w:p w14:paraId="000000A1" w14:textId="77777777" w:rsidR="006F6A97" w:rsidRDefault="003E2808">
      <w:pPr>
        <w:numPr>
          <w:ilvl w:val="0"/>
          <w:numId w:val="24"/>
        </w:numPr>
        <w:pBdr>
          <w:top w:val="nil"/>
          <w:left w:val="nil"/>
          <w:bottom w:val="nil"/>
          <w:right w:val="nil"/>
          <w:between w:val="nil"/>
        </w:pBdr>
        <w:spacing w:after="0"/>
        <w:rPr>
          <w:color w:val="000000"/>
        </w:rPr>
      </w:pPr>
      <w:r>
        <w:rPr>
          <w:color w:val="000000"/>
        </w:rPr>
        <w:t>Mettre en place des procédures pour l</w:t>
      </w:r>
      <w:r>
        <w:rPr>
          <w:color w:val="000000"/>
        </w:rPr>
        <w:t>es signatures alternatives, la prise de notes, les services d’enregistrement et les services de s</w:t>
      </w:r>
      <w:r>
        <w:rPr>
          <w:color w:val="000000"/>
        </w:rPr>
        <w:t>cribe. Processus de rétroaction et de plainte « Ne nous donnez pas seulement un numéro de téléphone – donnez-nous beaucoup d’options pour nous plaindre et quan</w:t>
      </w:r>
      <w:r>
        <w:rPr>
          <w:color w:val="000000"/>
        </w:rPr>
        <w:t>d nous nous plaignons - faites quelque chose à ce sujet. » </w:t>
      </w:r>
    </w:p>
    <w:p w14:paraId="000000A2" w14:textId="77777777" w:rsidR="006F6A97" w:rsidRDefault="003E2808">
      <w:pPr>
        <w:numPr>
          <w:ilvl w:val="0"/>
          <w:numId w:val="24"/>
        </w:numPr>
        <w:pBdr>
          <w:top w:val="nil"/>
          <w:left w:val="nil"/>
          <w:bottom w:val="nil"/>
          <w:right w:val="nil"/>
          <w:between w:val="nil"/>
        </w:pBdr>
        <w:spacing w:after="0"/>
        <w:rPr>
          <w:color w:val="000000"/>
        </w:rPr>
      </w:pPr>
      <w:r>
        <w:rPr>
          <w:color w:val="000000"/>
        </w:rPr>
        <w:t>Le processus de rétroaction doit perm</w:t>
      </w:r>
      <w:r>
        <w:rPr>
          <w:color w:val="000000"/>
        </w:rPr>
        <w:t>ettre aux personnes atteintes de troubles de développement de la parole, du langage et de la communication de fournir leurs commentaires en personne, par télép</w:t>
      </w:r>
      <w:r>
        <w:rPr>
          <w:color w:val="000000"/>
        </w:rPr>
        <w:t>hone, par écrit ou en fournissant un texte électronique, par courriel ou avec l’aide d’une person</w:t>
      </w:r>
      <w:r>
        <w:rPr>
          <w:color w:val="000000"/>
        </w:rPr>
        <w:t>ne de soutien en communication au fournisseur de services et à l’organe directeur chargé de la conformité. </w:t>
      </w:r>
    </w:p>
    <w:p w14:paraId="000000A3" w14:textId="77777777" w:rsidR="006F6A97" w:rsidRDefault="003E2808">
      <w:pPr>
        <w:numPr>
          <w:ilvl w:val="0"/>
          <w:numId w:val="24"/>
        </w:numPr>
        <w:pBdr>
          <w:top w:val="nil"/>
          <w:left w:val="nil"/>
          <w:bottom w:val="nil"/>
          <w:right w:val="nil"/>
          <w:between w:val="nil"/>
        </w:pBdr>
        <w:spacing w:after="200"/>
        <w:rPr>
          <w:color w:val="000000"/>
        </w:rPr>
      </w:pPr>
      <w:r>
        <w:rPr>
          <w:color w:val="000000"/>
        </w:rPr>
        <w:t>Le fournisseur de services devrait être tenu de rép</w:t>
      </w:r>
      <w:r>
        <w:rPr>
          <w:color w:val="000000"/>
        </w:rPr>
        <w:t>ondre au plaignant et de copier sa correspondance à un organisme de surveillance.</w:t>
      </w:r>
    </w:p>
    <w:p w14:paraId="000000A4" w14:textId="77777777" w:rsidR="006F6A97" w:rsidRDefault="003E2808">
      <w:pPr>
        <w:pStyle w:val="Heading3"/>
        <w:rPr>
          <w:rFonts w:ascii="Times New Roman" w:eastAsia="Times New Roman" w:hAnsi="Times New Roman" w:cs="Times New Roman"/>
          <w:b w:val="0"/>
          <w:sz w:val="27"/>
          <w:szCs w:val="27"/>
        </w:rPr>
      </w:pPr>
      <w:bookmarkStart w:id="19" w:name="_Toc132721423"/>
      <w:r>
        <w:t>Recommandations</w:t>
      </w:r>
      <w:r>
        <w:t xml:space="preserve"> sur les services essentiels</w:t>
      </w:r>
      <w:bookmarkEnd w:id="19"/>
      <w:r>
        <w:t> </w:t>
      </w:r>
    </w:p>
    <w:p w14:paraId="000000A5" w14:textId="77777777" w:rsidR="006F6A97" w:rsidRDefault="003E2808">
      <w:pPr>
        <w:pBdr>
          <w:top w:val="nil"/>
          <w:left w:val="nil"/>
          <w:bottom w:val="nil"/>
          <w:right w:val="nil"/>
          <w:between w:val="nil"/>
        </w:pBdr>
        <w:spacing w:after="200"/>
        <w:rPr>
          <w:color w:val="000000"/>
        </w:rPr>
      </w:pPr>
      <w:r>
        <w:rPr>
          <w:color w:val="000000"/>
        </w:rPr>
        <w:t>En plus des normes génériques d’accès aux communications pour tous les services publics, il est nécessaire d’établir des normes s</w:t>
      </w:r>
      <w:r>
        <w:rPr>
          <w:color w:val="000000"/>
        </w:rPr>
        <w:t>pécifiques dans les services dans lesquels la communication est critique.</w:t>
      </w:r>
    </w:p>
    <w:p w14:paraId="000000A6" w14:textId="77777777" w:rsidR="006F6A97" w:rsidRDefault="003E2808">
      <w:pPr>
        <w:pStyle w:val="Heading4"/>
        <w:rPr>
          <w:rFonts w:ascii="Times New Roman" w:eastAsia="Times New Roman" w:hAnsi="Times New Roman" w:cs="Times New Roman"/>
          <w:b w:val="0"/>
        </w:rPr>
      </w:pPr>
      <w:bookmarkStart w:id="20" w:name="_Toc132721424"/>
      <w:r>
        <w:t>Services de soins de santé</w:t>
      </w:r>
      <w:bookmarkEnd w:id="20"/>
    </w:p>
    <w:p w14:paraId="000000A7" w14:textId="77777777" w:rsidR="006F6A97" w:rsidRDefault="003E2808">
      <w:pPr>
        <w:pBdr>
          <w:top w:val="nil"/>
          <w:left w:val="nil"/>
          <w:bottom w:val="nil"/>
          <w:right w:val="nil"/>
          <w:between w:val="nil"/>
        </w:pBdr>
        <w:spacing w:after="200"/>
        <w:rPr>
          <w:color w:val="000000"/>
        </w:rPr>
      </w:pPr>
      <w:r>
        <w:rPr>
          <w:color w:val="000000"/>
        </w:rPr>
        <w:t>Les fournisseurs de servic</w:t>
      </w:r>
      <w:r>
        <w:rPr>
          <w:color w:val="000000"/>
        </w:rPr>
        <w:t>es devraient avoir des politiques, des procédures, de la formation et des pratiques pour : </w:t>
      </w:r>
    </w:p>
    <w:p w14:paraId="000000A8" w14:textId="77777777" w:rsidR="006F6A97" w:rsidRDefault="003E2808">
      <w:pPr>
        <w:numPr>
          <w:ilvl w:val="0"/>
          <w:numId w:val="20"/>
        </w:numPr>
        <w:pBdr>
          <w:top w:val="nil"/>
          <w:left w:val="nil"/>
          <w:bottom w:val="nil"/>
          <w:right w:val="nil"/>
          <w:between w:val="nil"/>
        </w:pBdr>
        <w:spacing w:after="0"/>
        <w:rPr>
          <w:color w:val="000000"/>
        </w:rPr>
      </w:pPr>
      <w:r>
        <w:rPr>
          <w:color w:val="000000"/>
        </w:rPr>
        <w:t>Identifier les patients atteints de t</w:t>
      </w:r>
      <w:r>
        <w:rPr>
          <w:color w:val="000000"/>
        </w:rPr>
        <w:t>roubles de développement de la parole, du langage et de la communication et déterminer leur besoin de mesures d’adaptation et d</w:t>
      </w:r>
      <w:r>
        <w:rPr>
          <w:color w:val="000000"/>
        </w:rPr>
        <w:t>e soutien spécifiques en matière de communication. </w:t>
      </w:r>
    </w:p>
    <w:p w14:paraId="000000A9" w14:textId="77777777" w:rsidR="006F6A97" w:rsidRDefault="003E2808">
      <w:pPr>
        <w:numPr>
          <w:ilvl w:val="0"/>
          <w:numId w:val="20"/>
        </w:numPr>
        <w:pBdr>
          <w:top w:val="nil"/>
          <w:left w:val="nil"/>
          <w:bottom w:val="nil"/>
          <w:right w:val="nil"/>
          <w:between w:val="nil"/>
        </w:pBdr>
        <w:spacing w:after="0"/>
        <w:rPr>
          <w:color w:val="000000"/>
        </w:rPr>
      </w:pPr>
      <w:r>
        <w:rPr>
          <w:color w:val="000000"/>
        </w:rPr>
        <w:t xml:space="preserve">Fournir en temps opportun les mesures d’adaptation et les soutiens requis en </w:t>
      </w:r>
      <w:r>
        <w:rPr>
          <w:color w:val="000000"/>
        </w:rPr>
        <w:t>matière de communication à toutes les étapes des services de santé. </w:t>
      </w:r>
    </w:p>
    <w:p w14:paraId="000000AA" w14:textId="77777777" w:rsidR="006F6A97" w:rsidRDefault="003E2808">
      <w:pPr>
        <w:numPr>
          <w:ilvl w:val="0"/>
          <w:numId w:val="20"/>
        </w:numPr>
        <w:pBdr>
          <w:top w:val="nil"/>
          <w:left w:val="nil"/>
          <w:bottom w:val="nil"/>
          <w:right w:val="nil"/>
          <w:between w:val="nil"/>
        </w:pBdr>
        <w:spacing w:after="0"/>
        <w:rPr>
          <w:color w:val="000000"/>
        </w:rPr>
      </w:pPr>
      <w:r>
        <w:rPr>
          <w:color w:val="000000"/>
        </w:rPr>
        <w:t>Avoir un processus en place qui reconnaît la personne de s</w:t>
      </w:r>
      <w:r>
        <w:rPr>
          <w:color w:val="000000"/>
        </w:rPr>
        <w:t xml:space="preserve">outien à la communication autorisée d’un patient. </w:t>
      </w:r>
    </w:p>
    <w:p w14:paraId="000000AB" w14:textId="77777777" w:rsidR="006F6A97" w:rsidRDefault="003E2808">
      <w:pPr>
        <w:numPr>
          <w:ilvl w:val="0"/>
          <w:numId w:val="20"/>
        </w:numPr>
        <w:pBdr>
          <w:top w:val="nil"/>
          <w:left w:val="nil"/>
          <w:bottom w:val="nil"/>
          <w:right w:val="nil"/>
          <w:between w:val="nil"/>
        </w:pBdr>
        <w:spacing w:after="0"/>
        <w:rPr>
          <w:color w:val="000000"/>
        </w:rPr>
      </w:pPr>
      <w:r>
        <w:rPr>
          <w:color w:val="000000"/>
        </w:rPr>
        <w:t>Documenter les besoins en communication d’un patient dans des dossiers médicau</w:t>
      </w:r>
      <w:r>
        <w:rPr>
          <w:color w:val="000000"/>
        </w:rPr>
        <w:t>x et les partager avec le personnel des services de santé concerné. </w:t>
      </w:r>
    </w:p>
    <w:p w14:paraId="000000AC" w14:textId="77777777" w:rsidR="006F6A97" w:rsidRDefault="003E2808">
      <w:pPr>
        <w:numPr>
          <w:ilvl w:val="0"/>
          <w:numId w:val="20"/>
        </w:numPr>
        <w:pBdr>
          <w:top w:val="nil"/>
          <w:left w:val="nil"/>
          <w:bottom w:val="nil"/>
          <w:right w:val="nil"/>
          <w:between w:val="nil"/>
        </w:pBdr>
        <w:spacing w:after="0"/>
        <w:rPr>
          <w:color w:val="000000"/>
        </w:rPr>
      </w:pPr>
      <w:r>
        <w:rPr>
          <w:color w:val="000000"/>
        </w:rPr>
        <w:t>Fournir aux patients des moyens de communiquer pendant l’hospitalisation. </w:t>
      </w:r>
    </w:p>
    <w:p w14:paraId="000000AD" w14:textId="77777777" w:rsidR="006F6A97" w:rsidRDefault="003E2808">
      <w:pPr>
        <w:numPr>
          <w:ilvl w:val="0"/>
          <w:numId w:val="20"/>
        </w:numPr>
        <w:pBdr>
          <w:top w:val="nil"/>
          <w:left w:val="nil"/>
          <w:bottom w:val="nil"/>
          <w:right w:val="nil"/>
          <w:between w:val="nil"/>
        </w:pBdr>
        <w:spacing w:after="0"/>
        <w:rPr>
          <w:color w:val="000000"/>
        </w:rPr>
      </w:pPr>
      <w:r>
        <w:rPr>
          <w:color w:val="000000"/>
        </w:rPr>
        <w:t>Engager un orthophoniste pour aider à la communication si la personne n’a aucun moyen de communiquer ou si la fi</w:t>
      </w:r>
      <w:r>
        <w:rPr>
          <w:color w:val="000000"/>
        </w:rPr>
        <w:t>abilité du processus de communication est mise en doute, selon le méd</w:t>
      </w:r>
      <w:r>
        <w:rPr>
          <w:color w:val="000000"/>
        </w:rPr>
        <w:t>ecin ou le patient. </w:t>
      </w:r>
    </w:p>
    <w:p w14:paraId="000000AE" w14:textId="77777777" w:rsidR="006F6A97" w:rsidRDefault="003E2808">
      <w:pPr>
        <w:numPr>
          <w:ilvl w:val="0"/>
          <w:numId w:val="20"/>
        </w:numPr>
        <w:pBdr>
          <w:top w:val="nil"/>
          <w:left w:val="nil"/>
          <w:bottom w:val="nil"/>
          <w:right w:val="nil"/>
          <w:between w:val="nil"/>
        </w:pBdr>
        <w:spacing w:after="0"/>
        <w:rPr>
          <w:color w:val="000000"/>
        </w:rPr>
      </w:pPr>
      <w:r>
        <w:rPr>
          <w:color w:val="000000"/>
        </w:rPr>
        <w:t>Former les fournisseurs de soins de santé aux meilleures stratégies de communication pour s’assurer que les patients comprennent ce qui est dit et peuvent exprimer ef</w:t>
      </w:r>
      <w:r>
        <w:rPr>
          <w:color w:val="000000"/>
        </w:rPr>
        <w:t>ficacement leurs décisions dans les situations de consentement au tra</w:t>
      </w:r>
      <w:r>
        <w:rPr>
          <w:color w:val="000000"/>
        </w:rPr>
        <w:t>itement et les directives de fin de vie. </w:t>
      </w:r>
    </w:p>
    <w:p w14:paraId="000000AF" w14:textId="77777777" w:rsidR="006F6A97" w:rsidRDefault="003E2808">
      <w:pPr>
        <w:numPr>
          <w:ilvl w:val="0"/>
          <w:numId w:val="20"/>
        </w:numPr>
        <w:pBdr>
          <w:top w:val="nil"/>
          <w:left w:val="nil"/>
          <w:bottom w:val="nil"/>
          <w:right w:val="nil"/>
          <w:between w:val="nil"/>
        </w:pBdr>
        <w:spacing w:after="0"/>
        <w:rPr>
          <w:color w:val="000000"/>
        </w:rPr>
      </w:pPr>
      <w:r>
        <w:rPr>
          <w:color w:val="000000"/>
        </w:rPr>
        <w:t xml:space="preserve">Fournir des aménagements et des soutiens à la communication en cas de doute sur la capacité d’une personne à prendre des décisions en matière de </w:t>
      </w:r>
      <w:r>
        <w:rPr>
          <w:color w:val="000000"/>
        </w:rPr>
        <w:t>soins de santé.</w:t>
      </w:r>
    </w:p>
    <w:p w14:paraId="000000B0" w14:textId="77777777" w:rsidR="006F6A97" w:rsidRDefault="003E2808">
      <w:pPr>
        <w:numPr>
          <w:ilvl w:val="0"/>
          <w:numId w:val="20"/>
        </w:numPr>
        <w:pBdr>
          <w:top w:val="nil"/>
          <w:left w:val="nil"/>
          <w:bottom w:val="nil"/>
          <w:right w:val="nil"/>
          <w:between w:val="nil"/>
        </w:pBdr>
        <w:spacing w:after="200"/>
        <w:rPr>
          <w:color w:val="000000"/>
        </w:rPr>
      </w:pPr>
      <w:r>
        <w:rPr>
          <w:color w:val="000000"/>
        </w:rPr>
        <w:t xml:space="preserve">Veiller à ce que les décideurs de substitution et de </w:t>
      </w:r>
      <w:r>
        <w:rPr>
          <w:color w:val="000000"/>
        </w:rPr>
        <w:t>soutien consultent les patients et s’engagent avec eux dans les situations de prise de décision. </w:t>
      </w:r>
    </w:p>
    <w:p w14:paraId="000000B1" w14:textId="77777777" w:rsidR="006F6A97" w:rsidRDefault="003E2808">
      <w:pPr>
        <w:pStyle w:val="Heading4"/>
        <w:rPr>
          <w:rFonts w:ascii="Times New Roman" w:eastAsia="Times New Roman" w:hAnsi="Times New Roman" w:cs="Times New Roman"/>
          <w:b w:val="0"/>
        </w:rPr>
      </w:pPr>
      <w:bookmarkStart w:id="21" w:name="_Toc132721425"/>
      <w:r>
        <w:t>Services de la justice</w:t>
      </w:r>
      <w:bookmarkEnd w:id="21"/>
    </w:p>
    <w:p w14:paraId="000000B2" w14:textId="77777777" w:rsidR="006F6A97" w:rsidRDefault="003E2808">
      <w:pPr>
        <w:pBdr>
          <w:top w:val="nil"/>
          <w:left w:val="nil"/>
          <w:bottom w:val="nil"/>
          <w:right w:val="nil"/>
          <w:between w:val="nil"/>
        </w:pBdr>
        <w:spacing w:after="200"/>
        <w:rPr>
          <w:color w:val="000000"/>
        </w:rPr>
      </w:pPr>
      <w:r>
        <w:rPr>
          <w:color w:val="000000"/>
        </w:rPr>
        <w:t>Les membres de la magistrature, les policiers, les avocats de serv</w:t>
      </w:r>
      <w:r>
        <w:rPr>
          <w:color w:val="000000"/>
        </w:rPr>
        <w:t>ice, les avocats de la défense, les procureurs de la Couronne, les coordonnateurs de l’accessibilité des tribunaux, les membres du tribunal, les avocats et les parajuristes devraient avoir d</w:t>
      </w:r>
      <w:r>
        <w:rPr>
          <w:color w:val="000000"/>
        </w:rPr>
        <w:t>es politiques, des procédures, une formation et des pratiques pour</w:t>
      </w:r>
      <w:r>
        <w:rPr>
          <w:color w:val="000000"/>
        </w:rPr>
        <w:t> : </w:t>
      </w:r>
    </w:p>
    <w:p w14:paraId="000000B3" w14:textId="77777777" w:rsidR="006F6A97" w:rsidRDefault="003E2808">
      <w:pPr>
        <w:numPr>
          <w:ilvl w:val="0"/>
          <w:numId w:val="18"/>
        </w:numPr>
        <w:pBdr>
          <w:top w:val="nil"/>
          <w:left w:val="nil"/>
          <w:bottom w:val="nil"/>
          <w:right w:val="nil"/>
          <w:between w:val="nil"/>
        </w:pBdr>
        <w:spacing w:after="0"/>
        <w:rPr>
          <w:color w:val="000000"/>
        </w:rPr>
      </w:pPr>
      <w:r>
        <w:rPr>
          <w:color w:val="000000"/>
        </w:rPr>
        <w:t>Identifier les victimes, les témoins et les personnes accusées avec des troubles de développement de la parole, du langage et de la communication. </w:t>
      </w:r>
    </w:p>
    <w:p w14:paraId="000000B4" w14:textId="77777777" w:rsidR="006F6A97" w:rsidRDefault="003E2808">
      <w:pPr>
        <w:numPr>
          <w:ilvl w:val="0"/>
          <w:numId w:val="18"/>
        </w:numPr>
        <w:pBdr>
          <w:top w:val="nil"/>
          <w:left w:val="nil"/>
          <w:bottom w:val="nil"/>
          <w:right w:val="nil"/>
          <w:between w:val="nil"/>
        </w:pBdr>
        <w:spacing w:after="0"/>
        <w:rPr>
          <w:color w:val="000000"/>
        </w:rPr>
      </w:pPr>
      <w:r>
        <w:rPr>
          <w:color w:val="000000"/>
        </w:rPr>
        <w:t>Négocier des mesures d’adaptation et d</w:t>
      </w:r>
      <w:r>
        <w:rPr>
          <w:color w:val="000000"/>
        </w:rPr>
        <w:t>e soutien en matière de communication individuelle. </w:t>
      </w:r>
    </w:p>
    <w:p w14:paraId="000000B5" w14:textId="77777777" w:rsidR="006F6A97" w:rsidRDefault="003E2808">
      <w:pPr>
        <w:numPr>
          <w:ilvl w:val="0"/>
          <w:numId w:val="18"/>
        </w:numPr>
        <w:pBdr>
          <w:top w:val="nil"/>
          <w:left w:val="nil"/>
          <w:bottom w:val="nil"/>
          <w:right w:val="nil"/>
          <w:between w:val="nil"/>
        </w:pBdr>
        <w:spacing w:after="200"/>
        <w:rPr>
          <w:color w:val="000000"/>
        </w:rPr>
      </w:pPr>
      <w:r>
        <w:rPr>
          <w:color w:val="000000"/>
        </w:rPr>
        <w:t xml:space="preserve">Recourir aux </w:t>
      </w:r>
      <w:r>
        <w:rPr>
          <w:color w:val="000000"/>
        </w:rPr>
        <w:t>services d’un intermédiaire en communication qualifié, sans frais pour la personne souffrant d’un trouble de la communication, afin de l’aider à communiquer bilatéralement avec la victime, l</w:t>
      </w:r>
      <w:r>
        <w:rPr>
          <w:color w:val="000000"/>
        </w:rPr>
        <w:t>e témoin ou l’accusé et les professionnels de la justice. </w:t>
      </w:r>
    </w:p>
    <w:p w14:paraId="000000B6" w14:textId="77777777" w:rsidR="006F6A97" w:rsidRDefault="003E2808">
      <w:pPr>
        <w:pStyle w:val="Heading4"/>
        <w:rPr>
          <w:rFonts w:ascii="Times New Roman" w:eastAsia="Times New Roman" w:hAnsi="Times New Roman" w:cs="Times New Roman"/>
          <w:b w:val="0"/>
        </w:rPr>
      </w:pPr>
      <w:bookmarkStart w:id="22" w:name="_Toc132721426"/>
      <w:r>
        <w:t>Urgence</w:t>
      </w:r>
      <w:r>
        <w:t xml:space="preserve"> et sécurité publique</w:t>
      </w:r>
      <w:bookmarkEnd w:id="22"/>
      <w:r>
        <w:t> </w:t>
      </w:r>
    </w:p>
    <w:p w14:paraId="000000B7" w14:textId="77777777" w:rsidR="006F6A97" w:rsidRDefault="003E2808">
      <w:pPr>
        <w:pBdr>
          <w:top w:val="nil"/>
          <w:left w:val="nil"/>
          <w:bottom w:val="nil"/>
          <w:right w:val="nil"/>
          <w:between w:val="nil"/>
        </w:pBdr>
        <w:spacing w:after="200"/>
        <w:rPr>
          <w:color w:val="000000"/>
        </w:rPr>
      </w:pPr>
      <w:r>
        <w:rPr>
          <w:color w:val="000000"/>
        </w:rPr>
        <w:t>Les fournisseurs de services devront :</w:t>
      </w:r>
    </w:p>
    <w:p w14:paraId="000000B8" w14:textId="77777777" w:rsidR="006F6A97" w:rsidRDefault="003E2808">
      <w:pPr>
        <w:numPr>
          <w:ilvl w:val="0"/>
          <w:numId w:val="26"/>
        </w:numPr>
        <w:pBdr>
          <w:top w:val="nil"/>
          <w:left w:val="nil"/>
          <w:bottom w:val="nil"/>
          <w:right w:val="nil"/>
          <w:between w:val="nil"/>
        </w:pBdr>
        <w:spacing w:after="0"/>
        <w:rPr>
          <w:color w:val="000000"/>
        </w:rPr>
      </w:pPr>
      <w:r>
        <w:rPr>
          <w:color w:val="000000"/>
        </w:rPr>
        <w:t>Fournir de l’information aux personnes atteintes de troubles de développement de la parole, du langage et de la communication sur la façon de se préparer et de communiquer en cas d’urgence, ains</w:t>
      </w:r>
      <w:r>
        <w:rPr>
          <w:color w:val="000000"/>
        </w:rPr>
        <w:t>i que sur les plans d’évacuation. </w:t>
      </w:r>
    </w:p>
    <w:p w14:paraId="000000B9" w14:textId="77777777" w:rsidR="006F6A97" w:rsidRDefault="003E2808">
      <w:pPr>
        <w:numPr>
          <w:ilvl w:val="0"/>
          <w:numId w:val="26"/>
        </w:numPr>
        <w:pBdr>
          <w:top w:val="nil"/>
          <w:left w:val="nil"/>
          <w:bottom w:val="nil"/>
          <w:right w:val="nil"/>
          <w:between w:val="nil"/>
        </w:pBdr>
        <w:spacing w:after="200"/>
        <w:rPr>
          <w:color w:val="000000"/>
        </w:rPr>
      </w:pPr>
      <w:r>
        <w:rPr>
          <w:color w:val="000000"/>
        </w:rPr>
        <w:t xml:space="preserve">Recevoir une formation sur </w:t>
      </w:r>
      <w:r>
        <w:rPr>
          <w:color w:val="000000"/>
        </w:rPr>
        <w:t>la façon de communiquer avec une personne atteinte d’un trouble de développement de la parole, du langage et de la communication en cas d’urgence. </w:t>
      </w:r>
    </w:p>
    <w:p w14:paraId="000000BA" w14:textId="77777777" w:rsidR="006F6A97" w:rsidRDefault="003E2808">
      <w:pPr>
        <w:pStyle w:val="Heading4"/>
        <w:rPr>
          <w:rFonts w:ascii="Times New Roman" w:eastAsia="Times New Roman" w:hAnsi="Times New Roman" w:cs="Times New Roman"/>
          <w:b w:val="0"/>
        </w:rPr>
      </w:pPr>
      <w:bookmarkStart w:id="23" w:name="_Toc132721427"/>
      <w:r>
        <w:t>Conseil de la radiodiffusion et des télécommun</w:t>
      </w:r>
      <w:r>
        <w:t>ications canadiennes</w:t>
      </w:r>
      <w:bookmarkEnd w:id="23"/>
      <w:r>
        <w:rPr>
          <w:rFonts w:ascii="Arial" w:eastAsia="Arial" w:hAnsi="Arial" w:cs="Arial"/>
          <w:b w:val="0"/>
          <w:color w:val="85200C"/>
        </w:rPr>
        <w:t> </w:t>
      </w:r>
    </w:p>
    <w:p w14:paraId="000000BB" w14:textId="77777777" w:rsidR="006F6A97" w:rsidRDefault="003E2808">
      <w:pPr>
        <w:pBdr>
          <w:top w:val="nil"/>
          <w:left w:val="nil"/>
          <w:bottom w:val="nil"/>
          <w:right w:val="nil"/>
          <w:between w:val="nil"/>
        </w:pBdr>
        <w:spacing w:after="200"/>
        <w:rPr>
          <w:color w:val="000000"/>
        </w:rPr>
      </w:pPr>
      <w:r>
        <w:rPr>
          <w:color w:val="000000"/>
        </w:rPr>
        <w:t>Les fournisseurs de services devront :</w:t>
      </w:r>
    </w:p>
    <w:p w14:paraId="000000BC" w14:textId="77777777" w:rsidR="006F6A97" w:rsidRDefault="003E2808">
      <w:pPr>
        <w:numPr>
          <w:ilvl w:val="0"/>
          <w:numId w:val="22"/>
        </w:numPr>
        <w:pBdr>
          <w:top w:val="nil"/>
          <w:left w:val="nil"/>
          <w:bottom w:val="nil"/>
          <w:right w:val="nil"/>
          <w:between w:val="nil"/>
        </w:pBdr>
        <w:spacing w:after="0"/>
        <w:rPr>
          <w:color w:val="000000"/>
        </w:rPr>
      </w:pPr>
      <w:r>
        <w:rPr>
          <w:color w:val="000000"/>
        </w:rPr>
        <w:t>V</w:t>
      </w:r>
      <w:r>
        <w:rPr>
          <w:color w:val="000000"/>
        </w:rPr>
        <w:t>eiller à ce que les produits et services de télécommunications et de radiodiffusion soient accessibles aux personnes atteintes de troubles de développement de la parole, du langage et de la comm</w:t>
      </w:r>
      <w:r>
        <w:rPr>
          <w:color w:val="000000"/>
        </w:rPr>
        <w:t>unication en cas d’urgence </w:t>
      </w:r>
    </w:p>
    <w:p w14:paraId="000000BD" w14:textId="77777777" w:rsidR="006F6A97" w:rsidRDefault="003E2808">
      <w:pPr>
        <w:numPr>
          <w:ilvl w:val="0"/>
          <w:numId w:val="22"/>
        </w:numPr>
        <w:pBdr>
          <w:top w:val="nil"/>
          <w:left w:val="nil"/>
          <w:bottom w:val="nil"/>
          <w:right w:val="nil"/>
          <w:between w:val="nil"/>
        </w:pBdr>
        <w:spacing w:after="0"/>
        <w:rPr>
          <w:color w:val="000000"/>
        </w:rPr>
      </w:pPr>
      <w:r>
        <w:rPr>
          <w:color w:val="000000"/>
        </w:rPr>
        <w:t>Offrir une formation aux opérateur</w:t>
      </w:r>
      <w:r>
        <w:rPr>
          <w:color w:val="000000"/>
        </w:rPr>
        <w:t>s de relais de messages pour relayer un discours peu clair ou un discours synthétisé entre une personne ayant un trouble de développement de la parole, du langage et de la communication et une a</w:t>
      </w:r>
      <w:r>
        <w:rPr>
          <w:color w:val="000000"/>
        </w:rPr>
        <w:t>utre personne au téléphone. </w:t>
      </w:r>
    </w:p>
    <w:p w14:paraId="000000BE" w14:textId="77777777" w:rsidR="006F6A97" w:rsidRDefault="003E2808">
      <w:pPr>
        <w:numPr>
          <w:ilvl w:val="0"/>
          <w:numId w:val="22"/>
        </w:numPr>
        <w:pBdr>
          <w:top w:val="nil"/>
          <w:left w:val="nil"/>
          <w:bottom w:val="nil"/>
          <w:right w:val="nil"/>
          <w:between w:val="nil"/>
        </w:pBdr>
        <w:spacing w:after="200"/>
        <w:rPr>
          <w:color w:val="000000"/>
        </w:rPr>
      </w:pPr>
      <w:r>
        <w:rPr>
          <w:color w:val="000000"/>
        </w:rPr>
        <w:t>Fournir des services de messagerie vidéo pour les personnes qui utilisent des méthodes de communication alternatives. </w:t>
      </w:r>
    </w:p>
    <w:p w14:paraId="000000BF" w14:textId="77777777" w:rsidR="006F6A97" w:rsidRDefault="003E2808">
      <w:pPr>
        <w:pStyle w:val="Heading4"/>
        <w:rPr>
          <w:rFonts w:ascii="Times New Roman" w:eastAsia="Times New Roman" w:hAnsi="Times New Roman" w:cs="Times New Roman"/>
          <w:b w:val="0"/>
        </w:rPr>
      </w:pPr>
      <w:bookmarkStart w:id="24" w:name="_Toc132721428"/>
      <w:r>
        <w:t>Emploi</w:t>
      </w:r>
      <w:bookmarkEnd w:id="24"/>
    </w:p>
    <w:p w14:paraId="000000C0" w14:textId="77777777" w:rsidR="006F6A97" w:rsidRDefault="003E2808">
      <w:pPr>
        <w:pBdr>
          <w:top w:val="nil"/>
          <w:left w:val="nil"/>
          <w:bottom w:val="nil"/>
          <w:right w:val="nil"/>
          <w:between w:val="nil"/>
        </w:pBdr>
        <w:spacing w:after="200"/>
        <w:rPr>
          <w:color w:val="000000"/>
        </w:rPr>
      </w:pPr>
      <w:r>
        <w:rPr>
          <w:color w:val="000000"/>
        </w:rPr>
        <w:t>Les fournisseurs de services qui travaillent à accroître les possibilités d’emploi pour les personnes</w:t>
      </w:r>
      <w:r>
        <w:rPr>
          <w:color w:val="000000"/>
        </w:rPr>
        <w:t xml:space="preserve"> handicapées devraient : </w:t>
      </w:r>
    </w:p>
    <w:p w14:paraId="000000C1" w14:textId="77777777" w:rsidR="006F6A97" w:rsidRDefault="003E2808">
      <w:pPr>
        <w:numPr>
          <w:ilvl w:val="0"/>
          <w:numId w:val="19"/>
        </w:numPr>
        <w:pBdr>
          <w:top w:val="nil"/>
          <w:left w:val="nil"/>
          <w:bottom w:val="nil"/>
          <w:right w:val="nil"/>
          <w:between w:val="nil"/>
        </w:pBdr>
        <w:spacing w:after="0"/>
        <w:rPr>
          <w:color w:val="000000"/>
        </w:rPr>
      </w:pPr>
      <w:r>
        <w:rPr>
          <w:color w:val="000000"/>
        </w:rPr>
        <w:t>Avo</w:t>
      </w:r>
      <w:r>
        <w:rPr>
          <w:color w:val="000000"/>
        </w:rPr>
        <w:t>ir des informations sur les modèles d’emploi réussis pour les personnes atteintes de troubles de développement de la parole, du langage et de la communication en cas d’urgence. </w:t>
      </w:r>
    </w:p>
    <w:p w14:paraId="000000C2" w14:textId="77777777" w:rsidR="006F6A97" w:rsidRDefault="003E2808">
      <w:pPr>
        <w:numPr>
          <w:ilvl w:val="0"/>
          <w:numId w:val="19"/>
        </w:numPr>
        <w:pBdr>
          <w:top w:val="nil"/>
          <w:left w:val="nil"/>
          <w:bottom w:val="nil"/>
          <w:right w:val="nil"/>
          <w:between w:val="nil"/>
        </w:pBdr>
        <w:spacing w:after="0"/>
        <w:rPr>
          <w:color w:val="000000"/>
        </w:rPr>
      </w:pPr>
      <w:r>
        <w:rPr>
          <w:color w:val="000000"/>
        </w:rPr>
        <w:t>Recevoir une formation sur la gamme de mesures d’</w:t>
      </w:r>
      <w:r>
        <w:rPr>
          <w:color w:val="000000"/>
        </w:rPr>
        <w:t>adaptation et de soutien en m</w:t>
      </w:r>
      <w:r>
        <w:rPr>
          <w:color w:val="000000"/>
        </w:rPr>
        <w:t>atière de communication dont les personnes atteintes de troubles de développement de la parole, du langage et de la communication peuvent avoir besoin. </w:t>
      </w:r>
    </w:p>
    <w:p w14:paraId="000000C3" w14:textId="77777777" w:rsidR="006F6A97" w:rsidRDefault="003E2808">
      <w:pPr>
        <w:numPr>
          <w:ilvl w:val="0"/>
          <w:numId w:val="19"/>
        </w:numPr>
        <w:pBdr>
          <w:top w:val="nil"/>
          <w:left w:val="nil"/>
          <w:bottom w:val="nil"/>
          <w:right w:val="nil"/>
          <w:between w:val="nil"/>
        </w:pBdr>
        <w:spacing w:after="0"/>
        <w:rPr>
          <w:color w:val="000000"/>
        </w:rPr>
      </w:pPr>
      <w:r>
        <w:rPr>
          <w:color w:val="000000"/>
        </w:rPr>
        <w:t>Fournir des informations sur l’emploi, des conseils, des modèles et un sou</w:t>
      </w:r>
      <w:r>
        <w:rPr>
          <w:color w:val="000000"/>
        </w:rPr>
        <w:t xml:space="preserve">tien aux personnes atteintes </w:t>
      </w:r>
      <w:r>
        <w:rPr>
          <w:color w:val="000000"/>
        </w:rPr>
        <w:t>de troubles de développement de la parole, du langage et de la communication lorsqu’elles recherchent un emploi. Les fournisseurs de services financiers devraient : </w:t>
      </w:r>
    </w:p>
    <w:p w14:paraId="000000C4" w14:textId="77777777" w:rsidR="006F6A97" w:rsidRDefault="003E2808">
      <w:pPr>
        <w:numPr>
          <w:ilvl w:val="0"/>
          <w:numId w:val="19"/>
        </w:numPr>
        <w:pBdr>
          <w:top w:val="nil"/>
          <w:left w:val="nil"/>
          <w:bottom w:val="nil"/>
          <w:right w:val="nil"/>
          <w:between w:val="nil"/>
        </w:pBdr>
        <w:spacing w:after="200"/>
        <w:rPr>
          <w:color w:val="000000"/>
        </w:rPr>
      </w:pPr>
      <w:r>
        <w:rPr>
          <w:color w:val="000000"/>
        </w:rPr>
        <w:t xml:space="preserve">Avoir des politiques, des procédures et de la formation pour </w:t>
      </w:r>
      <w:r>
        <w:rPr>
          <w:color w:val="000000"/>
        </w:rPr>
        <w:t>négocier des questions financières confidentielles, des signatures et des autorisations avec des personnes atteintes de troubles de développement de la parole, du langage et de la communication. </w:t>
      </w:r>
    </w:p>
    <w:p w14:paraId="000000C5" w14:textId="77777777" w:rsidR="006F6A97" w:rsidRDefault="003E2808">
      <w:pPr>
        <w:pStyle w:val="Heading4"/>
      </w:pPr>
      <w:bookmarkStart w:id="25" w:name="_Toc132721429"/>
      <w:r>
        <w:t>Élections Canada</w:t>
      </w:r>
      <w:bookmarkEnd w:id="25"/>
    </w:p>
    <w:p w14:paraId="000000C6" w14:textId="77777777" w:rsidR="006F6A97" w:rsidRDefault="003E2808">
      <w:pPr>
        <w:pBdr>
          <w:top w:val="nil"/>
          <w:left w:val="nil"/>
          <w:bottom w:val="nil"/>
          <w:right w:val="nil"/>
          <w:between w:val="nil"/>
        </w:pBdr>
        <w:spacing w:after="200"/>
        <w:rPr>
          <w:color w:val="000000"/>
        </w:rPr>
      </w:pPr>
      <w:r>
        <w:rPr>
          <w:color w:val="000000"/>
        </w:rPr>
        <w:t>Les fonctionnaires électoraux devraient : </w:t>
      </w:r>
    </w:p>
    <w:p w14:paraId="000000C7" w14:textId="77777777" w:rsidR="006F6A97" w:rsidRDefault="003E2808">
      <w:pPr>
        <w:numPr>
          <w:ilvl w:val="0"/>
          <w:numId w:val="31"/>
        </w:numPr>
        <w:pBdr>
          <w:top w:val="nil"/>
          <w:left w:val="nil"/>
          <w:bottom w:val="nil"/>
          <w:right w:val="nil"/>
          <w:between w:val="nil"/>
        </w:pBdr>
        <w:spacing w:after="200"/>
        <w:rPr>
          <w:color w:val="000000"/>
        </w:rPr>
      </w:pPr>
      <w:r>
        <w:rPr>
          <w:color w:val="000000"/>
        </w:rPr>
        <w:t>Fournir une assistance humaine, des bulletins de vote basés sur des images ainsi que l’option d’assistance humaine ou de vote par accès Internet pour les personnes atteintes de troubles de dévelo</w:t>
      </w:r>
      <w:r>
        <w:rPr>
          <w:color w:val="000000"/>
        </w:rPr>
        <w:t>ppement de la parole, du langage et de la communication. </w:t>
      </w:r>
    </w:p>
    <w:p w14:paraId="000000C8" w14:textId="77777777" w:rsidR="006F6A97" w:rsidRDefault="003E2808">
      <w:pPr>
        <w:pStyle w:val="Heading4"/>
        <w:rPr>
          <w:rFonts w:ascii="Times New Roman" w:eastAsia="Times New Roman" w:hAnsi="Times New Roman" w:cs="Times New Roman"/>
          <w:b w:val="0"/>
        </w:rPr>
      </w:pPr>
      <w:bookmarkStart w:id="26" w:name="_Toc132721430"/>
      <w:r>
        <w:t>Cit</w:t>
      </w:r>
      <w:r>
        <w:t>oyenneté</w:t>
      </w:r>
      <w:bookmarkEnd w:id="26"/>
    </w:p>
    <w:p w14:paraId="000000C9" w14:textId="77777777" w:rsidR="006F6A97" w:rsidRDefault="003E2808">
      <w:pPr>
        <w:pBdr>
          <w:top w:val="nil"/>
          <w:left w:val="nil"/>
          <w:bottom w:val="nil"/>
          <w:right w:val="nil"/>
          <w:between w:val="nil"/>
        </w:pBdr>
        <w:spacing w:after="200"/>
        <w:rPr>
          <w:color w:val="000000"/>
        </w:rPr>
      </w:pPr>
      <w:r>
        <w:rPr>
          <w:color w:val="000000"/>
        </w:rPr>
        <w:t>Les fournisseurs de services devront :</w:t>
      </w:r>
    </w:p>
    <w:p w14:paraId="000000CB" w14:textId="2BEBAF5E" w:rsidR="006F6A97" w:rsidRDefault="003E2808" w:rsidP="00E6472F">
      <w:pPr>
        <w:numPr>
          <w:ilvl w:val="0"/>
          <w:numId w:val="30"/>
        </w:numPr>
        <w:pBdr>
          <w:top w:val="nil"/>
          <w:left w:val="nil"/>
          <w:bottom w:val="nil"/>
          <w:right w:val="nil"/>
          <w:between w:val="nil"/>
        </w:pBdr>
        <w:spacing w:after="200"/>
      </w:pPr>
      <w:r w:rsidRPr="00E6472F">
        <w:rPr>
          <w:color w:val="000000"/>
        </w:rPr>
        <w:t>Offrir la possibilité d’utiliser des assistants en communication qualifiés si les personnes atteintes de troubles de développement de la parole, du langage et de la communication le demandent lors des entrevu</w:t>
      </w:r>
      <w:r w:rsidRPr="00E6472F">
        <w:rPr>
          <w:color w:val="000000"/>
        </w:rPr>
        <w:t>es et des cérémonies d’assermentation.</w:t>
      </w:r>
    </w:p>
    <w:sectPr w:rsidR="006F6A97">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45BF" w14:textId="77777777" w:rsidR="00671EBC" w:rsidRDefault="00671EBC">
      <w:pPr>
        <w:spacing w:after="0" w:line="240" w:lineRule="auto"/>
      </w:pPr>
      <w:r>
        <w:separator/>
      </w:r>
    </w:p>
  </w:endnote>
  <w:endnote w:type="continuationSeparator" w:id="0">
    <w:p w14:paraId="34E7319F" w14:textId="77777777" w:rsidR="00671EBC" w:rsidRDefault="00671EBC">
      <w:pPr>
        <w:spacing w:after="0" w:line="240" w:lineRule="auto"/>
      </w:pPr>
      <w:r>
        <w:continuationSeparator/>
      </w:r>
    </w:p>
  </w:endnote>
  <w:endnote w:type="continuationNotice" w:id="1">
    <w:p w14:paraId="2C9B8860" w14:textId="77777777" w:rsidR="00671EBC" w:rsidRDefault="00671E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C" w14:textId="6A356CFA" w:rsidR="006F6A97" w:rsidRDefault="003E280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3410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A5F2" w14:textId="77777777" w:rsidR="00671EBC" w:rsidRDefault="00671EBC">
      <w:pPr>
        <w:spacing w:after="0" w:line="240" w:lineRule="auto"/>
      </w:pPr>
      <w:r>
        <w:separator/>
      </w:r>
    </w:p>
  </w:footnote>
  <w:footnote w:type="continuationSeparator" w:id="0">
    <w:p w14:paraId="53D8089B" w14:textId="77777777" w:rsidR="00671EBC" w:rsidRDefault="00671EBC">
      <w:pPr>
        <w:spacing w:after="0" w:line="240" w:lineRule="auto"/>
      </w:pPr>
      <w:r>
        <w:continuationSeparator/>
      </w:r>
    </w:p>
  </w:footnote>
  <w:footnote w:type="continuationNotice" w:id="1">
    <w:p w14:paraId="1E4CDCBA" w14:textId="77777777" w:rsidR="00671EBC" w:rsidRDefault="00671E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6E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535B1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274FF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AF465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335632"/>
    <w:multiLevelType w:val="multilevel"/>
    <w:tmpl w:val="0CD84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A84669"/>
    <w:multiLevelType w:val="multilevel"/>
    <w:tmpl w:val="DE5E6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37198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B31F24"/>
    <w:multiLevelType w:val="multilevel"/>
    <w:tmpl w:val="9E34B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2D4C94"/>
    <w:multiLevelType w:val="multilevel"/>
    <w:tmpl w:val="017C3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363C5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841876"/>
    <w:multiLevelType w:val="multilevel"/>
    <w:tmpl w:val="3CC6F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C20AF4"/>
    <w:multiLevelType w:val="multilevel"/>
    <w:tmpl w:val="E244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87D5D9E"/>
    <w:multiLevelType w:val="multilevel"/>
    <w:tmpl w:val="60F2A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5E4B73"/>
    <w:multiLevelType w:val="multilevel"/>
    <w:tmpl w:val="90349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C547046"/>
    <w:multiLevelType w:val="multilevel"/>
    <w:tmpl w:val="EF261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CA9363F"/>
    <w:multiLevelType w:val="multilevel"/>
    <w:tmpl w:val="AE2A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437D45"/>
    <w:multiLevelType w:val="multilevel"/>
    <w:tmpl w:val="39FA76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6F945D6"/>
    <w:multiLevelType w:val="multilevel"/>
    <w:tmpl w:val="CAF6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371A4C"/>
    <w:multiLevelType w:val="multilevel"/>
    <w:tmpl w:val="29EE1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E3102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2895B3F"/>
    <w:multiLevelType w:val="multilevel"/>
    <w:tmpl w:val="77DCAA4C"/>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256A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6EA65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739503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8F67EBF"/>
    <w:multiLevelType w:val="multilevel"/>
    <w:tmpl w:val="82D6D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D2C7F52"/>
    <w:multiLevelType w:val="multilevel"/>
    <w:tmpl w:val="A1BAD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098506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FD6F2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2F91D88"/>
    <w:multiLevelType w:val="multilevel"/>
    <w:tmpl w:val="FFFFFFFF"/>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156C7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7C91D9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EB5BA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C714A74"/>
    <w:multiLevelType w:val="multilevel"/>
    <w:tmpl w:val="1A626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7F358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5174289">
    <w:abstractNumId w:val="5"/>
  </w:num>
  <w:num w:numId="2" w16cid:durableId="504327901">
    <w:abstractNumId w:val="4"/>
  </w:num>
  <w:num w:numId="3" w16cid:durableId="221258856">
    <w:abstractNumId w:val="10"/>
  </w:num>
  <w:num w:numId="4" w16cid:durableId="1568686347">
    <w:abstractNumId w:val="17"/>
  </w:num>
  <w:num w:numId="5" w16cid:durableId="1600021161">
    <w:abstractNumId w:val="32"/>
  </w:num>
  <w:num w:numId="6" w16cid:durableId="1952735405">
    <w:abstractNumId w:val="25"/>
  </w:num>
  <w:num w:numId="7" w16cid:durableId="429544871">
    <w:abstractNumId w:val="18"/>
  </w:num>
  <w:num w:numId="8" w16cid:durableId="1031539236">
    <w:abstractNumId w:val="16"/>
  </w:num>
  <w:num w:numId="9" w16cid:durableId="1871607819">
    <w:abstractNumId w:val="12"/>
  </w:num>
  <w:num w:numId="10" w16cid:durableId="477722797">
    <w:abstractNumId w:val="15"/>
  </w:num>
  <w:num w:numId="11" w16cid:durableId="2030570181">
    <w:abstractNumId w:val="24"/>
  </w:num>
  <w:num w:numId="12" w16cid:durableId="1167212699">
    <w:abstractNumId w:val="20"/>
  </w:num>
  <w:num w:numId="13" w16cid:durableId="71507648">
    <w:abstractNumId w:val="13"/>
  </w:num>
  <w:num w:numId="14" w16cid:durableId="149906294">
    <w:abstractNumId w:val="7"/>
  </w:num>
  <w:num w:numId="15" w16cid:durableId="995182422">
    <w:abstractNumId w:val="8"/>
  </w:num>
  <w:num w:numId="16" w16cid:durableId="1708986839">
    <w:abstractNumId w:val="14"/>
  </w:num>
  <w:num w:numId="17" w16cid:durableId="1158225446">
    <w:abstractNumId w:val="11"/>
  </w:num>
  <w:num w:numId="18" w16cid:durableId="1036540966">
    <w:abstractNumId w:val="2"/>
  </w:num>
  <w:num w:numId="19" w16cid:durableId="1689716185">
    <w:abstractNumId w:val="1"/>
  </w:num>
  <w:num w:numId="20" w16cid:durableId="298918053">
    <w:abstractNumId w:val="31"/>
  </w:num>
  <w:num w:numId="21" w16cid:durableId="343897945">
    <w:abstractNumId w:val="26"/>
  </w:num>
  <w:num w:numId="22" w16cid:durableId="1940598963">
    <w:abstractNumId w:val="3"/>
  </w:num>
  <w:num w:numId="23" w16cid:durableId="2032678763">
    <w:abstractNumId w:val="29"/>
  </w:num>
  <w:num w:numId="24" w16cid:durableId="953828671">
    <w:abstractNumId w:val="6"/>
  </w:num>
  <w:num w:numId="25" w16cid:durableId="936788550">
    <w:abstractNumId w:val="19"/>
  </w:num>
  <w:num w:numId="26" w16cid:durableId="932782631">
    <w:abstractNumId w:val="21"/>
  </w:num>
  <w:num w:numId="27" w16cid:durableId="1509323356">
    <w:abstractNumId w:val="23"/>
  </w:num>
  <w:num w:numId="28" w16cid:durableId="1962682783">
    <w:abstractNumId w:val="33"/>
  </w:num>
  <w:num w:numId="29" w16cid:durableId="75708779">
    <w:abstractNumId w:val="28"/>
  </w:num>
  <w:num w:numId="30" w16cid:durableId="138695244">
    <w:abstractNumId w:val="9"/>
  </w:num>
  <w:num w:numId="31" w16cid:durableId="1814525324">
    <w:abstractNumId w:val="27"/>
  </w:num>
  <w:num w:numId="32" w16cid:durableId="1385179323">
    <w:abstractNumId w:val="0"/>
  </w:num>
  <w:num w:numId="33" w16cid:durableId="1207258860">
    <w:abstractNumId w:val="22"/>
  </w:num>
  <w:num w:numId="34" w16cid:durableId="2015103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CD"/>
    <w:rsid w:val="000931D8"/>
    <w:rsid w:val="00141FC9"/>
    <w:rsid w:val="002619CD"/>
    <w:rsid w:val="002B12ED"/>
    <w:rsid w:val="00323682"/>
    <w:rsid w:val="003A37D4"/>
    <w:rsid w:val="0043410D"/>
    <w:rsid w:val="0048317E"/>
    <w:rsid w:val="004A3A82"/>
    <w:rsid w:val="005F2E57"/>
    <w:rsid w:val="00671EBC"/>
    <w:rsid w:val="006F6A97"/>
    <w:rsid w:val="00702523"/>
    <w:rsid w:val="00712A25"/>
    <w:rsid w:val="007551AE"/>
    <w:rsid w:val="007E1B42"/>
    <w:rsid w:val="008245A9"/>
    <w:rsid w:val="0091415D"/>
    <w:rsid w:val="00A12767"/>
    <w:rsid w:val="00A25FAC"/>
    <w:rsid w:val="00A518FC"/>
    <w:rsid w:val="00B96AA4"/>
    <w:rsid w:val="00D70168"/>
    <w:rsid w:val="00DC2AC6"/>
    <w:rsid w:val="00DD7CD4"/>
    <w:rsid w:val="00E6472F"/>
    <w:rsid w:val="00F56F82"/>
    <w:rsid w:val="00FF2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F34E"/>
  <w15:docId w15:val="{1BD2DA36-EF52-4E9A-A472-DEFFA36E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F5496"/>
      <w:sz w:val="32"/>
      <w:szCs w:val="32"/>
    </w:rPr>
  </w:style>
  <w:style w:type="paragraph" w:styleId="Heading2">
    <w:name w:val="heading 2"/>
    <w:basedOn w:val="Normal"/>
    <w:next w:val="Normal"/>
    <w:uiPriority w:val="9"/>
    <w:unhideWhenUsed/>
    <w:qFormat/>
    <w:pPr>
      <w:spacing w:before="360" w:after="120"/>
      <w:outlineLvl w:val="1"/>
    </w:pPr>
    <w:rPr>
      <w:color w:val="000000"/>
      <w:sz w:val="36"/>
      <w:szCs w:val="36"/>
    </w:rPr>
  </w:style>
  <w:style w:type="paragraph" w:styleId="Heading3">
    <w:name w:val="heading 3"/>
    <w:basedOn w:val="Normal"/>
    <w:next w:val="Normal"/>
    <w:uiPriority w:val="9"/>
    <w:unhideWhenUsed/>
    <w:qFormat/>
    <w:pPr>
      <w:keepNext/>
      <w:spacing w:before="280" w:after="80"/>
      <w:outlineLvl w:val="2"/>
    </w:pPr>
    <w:rPr>
      <w:rFonts w:ascii="Arial" w:eastAsia="Arial" w:hAnsi="Arial" w:cs="Arial"/>
      <w:b/>
      <w:color w:val="85200C"/>
    </w:rPr>
  </w:style>
  <w:style w:type="paragraph" w:styleId="Heading4">
    <w:name w:val="heading 4"/>
    <w:basedOn w:val="Normal"/>
    <w:next w:val="Normal"/>
    <w:uiPriority w:val="9"/>
    <w:unhideWhenUsed/>
    <w:qFormat/>
    <w:pPr>
      <w:spacing w:before="280" w:after="8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45A9"/>
    <w:pPr>
      <w:pBdr>
        <w:top w:val="nil"/>
        <w:left w:val="nil"/>
        <w:bottom w:val="nil"/>
        <w:right w:val="nil"/>
        <w:between w:val="nil"/>
      </w:pBdr>
      <w:spacing w:before="240" w:line="276" w:lineRule="auto"/>
    </w:pPr>
    <w:rPr>
      <w:rFonts w:ascii="Calibri Light" w:hAnsi="Calibri Light" w:cs="Calibri Light"/>
      <w:color w:val="000000"/>
      <w:sz w:val="56"/>
      <w:szCs w:val="56"/>
    </w:rPr>
  </w:style>
  <w:style w:type="paragraph" w:styleId="Subtitle">
    <w:name w:val="Subtitle"/>
    <w:basedOn w:val="Normal"/>
    <w:next w:val="Normal"/>
    <w:uiPriority w:val="11"/>
    <w:qFormat/>
    <w:rsid w:val="008245A9"/>
    <w:pPr>
      <w:spacing w:line="276" w:lineRule="auto"/>
    </w:pPr>
    <w:rPr>
      <w:color w:val="5A5A5A"/>
    </w:rPr>
  </w:style>
  <w:style w:type="paragraph" w:styleId="Header">
    <w:name w:val="header"/>
    <w:basedOn w:val="Normal"/>
    <w:link w:val="HeaderChar"/>
    <w:uiPriority w:val="99"/>
    <w:unhideWhenUsed/>
    <w:rsid w:val="00A51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8FC"/>
  </w:style>
  <w:style w:type="paragraph" w:styleId="Footer">
    <w:name w:val="footer"/>
    <w:basedOn w:val="Normal"/>
    <w:link w:val="FooterChar"/>
    <w:uiPriority w:val="99"/>
    <w:unhideWhenUsed/>
    <w:rsid w:val="00A51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8FC"/>
  </w:style>
  <w:style w:type="paragraph" w:styleId="TOC1">
    <w:name w:val="toc 1"/>
    <w:basedOn w:val="Normal"/>
    <w:next w:val="Normal"/>
    <w:autoRedefine/>
    <w:uiPriority w:val="39"/>
    <w:unhideWhenUsed/>
    <w:rsid w:val="004A3A82"/>
    <w:pPr>
      <w:spacing w:before="120" w:after="0"/>
    </w:pPr>
    <w:rPr>
      <w:rFonts w:asciiTheme="minorHAnsi" w:hAnsiTheme="minorHAnsi"/>
      <w:b/>
      <w:bCs/>
      <w:i/>
      <w:iCs/>
    </w:rPr>
  </w:style>
  <w:style w:type="paragraph" w:styleId="TOC2">
    <w:name w:val="toc 2"/>
    <w:basedOn w:val="Normal"/>
    <w:next w:val="Normal"/>
    <w:autoRedefine/>
    <w:uiPriority w:val="39"/>
    <w:unhideWhenUsed/>
    <w:rsid w:val="004A3A82"/>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4A3A82"/>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4A3A82"/>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4A3A82"/>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A3A82"/>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A3A82"/>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A3A82"/>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A3A82"/>
    <w:pPr>
      <w:spacing w:after="0"/>
      <w:ind w:left="1920"/>
    </w:pPr>
    <w:rPr>
      <w:rFonts w:asciiTheme="minorHAnsi" w:hAnsiTheme="minorHAnsi"/>
      <w:sz w:val="20"/>
      <w:szCs w:val="20"/>
    </w:rPr>
  </w:style>
  <w:style w:type="character" w:styleId="Hyperlink">
    <w:name w:val="Hyperlink"/>
    <w:basedOn w:val="DefaultParagraphFont"/>
    <w:uiPriority w:val="99"/>
    <w:unhideWhenUsed/>
    <w:rsid w:val="004A3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dacanada.com/wp-content/uploads/2018/01/Final_Community_Consultation_for_Federal_Accessibility_Legislation_Digital_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dacanada.com/wp-content/uploads/2019/04/Speaking-Notes-Senate-Committee-April-11-201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dacanada.com/wp-content/uploads/2023/03/Presentation-to-Accessibility-Standards-Committee-Dec.-202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62EA9B60BC4459BA3D07138B67032" ma:contentTypeVersion="15" ma:contentTypeDescription="Create a new document." ma:contentTypeScope="" ma:versionID="5aef7c05887e1db2d36bf54105e00987">
  <xsd:schema xmlns:xsd="http://www.w3.org/2001/XMLSchema" xmlns:xs="http://www.w3.org/2001/XMLSchema" xmlns:p="http://schemas.microsoft.com/office/2006/metadata/properties" xmlns:ns2="d89ee986-e2d3-4350-9163-fefea2cc6407" xmlns:ns3="2d5bbc36-7bdd-4452-99f2-60621c80f3f5" targetNamespace="http://schemas.microsoft.com/office/2006/metadata/properties" ma:root="true" ma:fieldsID="dc0d8207732e6d75ac835cb4c704edd1" ns2:_="" ns3:_="">
    <xsd:import namespace="d89ee986-e2d3-4350-9163-fefea2cc6407"/>
    <xsd:import namespace="2d5bbc36-7bdd-4452-99f2-60621c80f3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ee986-e2d3-4350-9163-fefea2cc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5bbc36-7bdd-4452-99f2-60621c80f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ee1dfbe-e731-4207-93e2-fce796c64406}" ma:internalName="TaxCatchAll" ma:showField="CatchAllData" ma:web="2d5bbc36-7bdd-4452-99f2-60621c80f3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485F7A-B42F-2B4A-A904-69EB962427A4}">
  <ds:schemaRefs>
    <ds:schemaRef ds:uri="http://schemas.openxmlformats.org/officeDocument/2006/bibliography"/>
  </ds:schemaRefs>
</ds:datastoreItem>
</file>

<file path=customXml/itemProps2.xml><?xml version="1.0" encoding="utf-8"?>
<ds:datastoreItem xmlns:ds="http://schemas.openxmlformats.org/officeDocument/2006/customXml" ds:itemID="{276E9030-4FEF-4058-8B42-6429971ABB49}">
  <ds:schemaRefs>
    <ds:schemaRef ds:uri="http://schemas.microsoft.com/sharepoint/v3/contenttype/forms"/>
  </ds:schemaRefs>
</ds:datastoreItem>
</file>

<file path=customXml/itemProps3.xml><?xml version="1.0" encoding="utf-8"?>
<ds:datastoreItem xmlns:ds="http://schemas.openxmlformats.org/officeDocument/2006/customXml" ds:itemID="{D05E46D0-CCE8-48B9-B97A-17B6BBD65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ee986-e2d3-4350-9163-fefea2cc6407"/>
    <ds:schemaRef ds:uri="2d5bbc36-7bdd-4452-99f2-60621c80f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5202</Words>
  <Characters>29653</Characters>
  <Application>Microsoft Office Word</Application>
  <DocSecurity>4</DocSecurity>
  <Lines>247</Lines>
  <Paragraphs>69</Paragraphs>
  <ScaleCrop>false</ScaleCrop>
  <Company/>
  <LinksUpToDate>false</LinksUpToDate>
  <CharactersWithSpaces>34786</CharactersWithSpaces>
  <SharedDoc>false</SharedDoc>
  <HLinks>
    <vt:vector size="180" baseType="variant">
      <vt:variant>
        <vt:i4>1572934</vt:i4>
      </vt:variant>
      <vt:variant>
        <vt:i4>171</vt:i4>
      </vt:variant>
      <vt:variant>
        <vt:i4>0</vt:i4>
      </vt:variant>
      <vt:variant>
        <vt:i4>5</vt:i4>
      </vt:variant>
      <vt:variant>
        <vt:lpwstr>https://www.cdacanada.com/wp-content/uploads/2018/01/Final_Community_Consultation_for_Federal_Accessibility_Legislation_Digital_2.pdf</vt:lpwstr>
      </vt:variant>
      <vt:variant>
        <vt:lpwstr/>
      </vt:variant>
      <vt:variant>
        <vt:i4>7995448</vt:i4>
      </vt:variant>
      <vt:variant>
        <vt:i4>168</vt:i4>
      </vt:variant>
      <vt:variant>
        <vt:i4>0</vt:i4>
      </vt:variant>
      <vt:variant>
        <vt:i4>5</vt:i4>
      </vt:variant>
      <vt:variant>
        <vt:lpwstr>https://www.cdacanada.com/wp-content/uploads/2019/04/Speaking-Notes-Senate-Committee-April-11-2019-.pdf</vt:lpwstr>
      </vt:variant>
      <vt:variant>
        <vt:lpwstr/>
      </vt:variant>
      <vt:variant>
        <vt:i4>5242906</vt:i4>
      </vt:variant>
      <vt:variant>
        <vt:i4>165</vt:i4>
      </vt:variant>
      <vt:variant>
        <vt:i4>0</vt:i4>
      </vt:variant>
      <vt:variant>
        <vt:i4>5</vt:i4>
      </vt:variant>
      <vt:variant>
        <vt:lpwstr>https://www.cdacanada.com/wp-content/uploads/2023/03/Presentation-to-Accessibility-Standards-Committee-Dec.-2021.pdf</vt:lpwstr>
      </vt:variant>
      <vt:variant>
        <vt:lpwstr/>
      </vt:variant>
      <vt:variant>
        <vt:i4>1114165</vt:i4>
      </vt:variant>
      <vt:variant>
        <vt:i4>158</vt:i4>
      </vt:variant>
      <vt:variant>
        <vt:i4>0</vt:i4>
      </vt:variant>
      <vt:variant>
        <vt:i4>5</vt:i4>
      </vt:variant>
      <vt:variant>
        <vt:lpwstr/>
      </vt:variant>
      <vt:variant>
        <vt:lpwstr>_Toc132721430</vt:lpwstr>
      </vt:variant>
      <vt:variant>
        <vt:i4>1048629</vt:i4>
      </vt:variant>
      <vt:variant>
        <vt:i4>152</vt:i4>
      </vt:variant>
      <vt:variant>
        <vt:i4>0</vt:i4>
      </vt:variant>
      <vt:variant>
        <vt:i4>5</vt:i4>
      </vt:variant>
      <vt:variant>
        <vt:lpwstr/>
      </vt:variant>
      <vt:variant>
        <vt:lpwstr>_Toc132721429</vt:lpwstr>
      </vt:variant>
      <vt:variant>
        <vt:i4>1048629</vt:i4>
      </vt:variant>
      <vt:variant>
        <vt:i4>146</vt:i4>
      </vt:variant>
      <vt:variant>
        <vt:i4>0</vt:i4>
      </vt:variant>
      <vt:variant>
        <vt:i4>5</vt:i4>
      </vt:variant>
      <vt:variant>
        <vt:lpwstr/>
      </vt:variant>
      <vt:variant>
        <vt:lpwstr>_Toc132721428</vt:lpwstr>
      </vt:variant>
      <vt:variant>
        <vt:i4>1048629</vt:i4>
      </vt:variant>
      <vt:variant>
        <vt:i4>140</vt:i4>
      </vt:variant>
      <vt:variant>
        <vt:i4>0</vt:i4>
      </vt:variant>
      <vt:variant>
        <vt:i4>5</vt:i4>
      </vt:variant>
      <vt:variant>
        <vt:lpwstr/>
      </vt:variant>
      <vt:variant>
        <vt:lpwstr>_Toc132721427</vt:lpwstr>
      </vt:variant>
      <vt:variant>
        <vt:i4>1048629</vt:i4>
      </vt:variant>
      <vt:variant>
        <vt:i4>134</vt:i4>
      </vt:variant>
      <vt:variant>
        <vt:i4>0</vt:i4>
      </vt:variant>
      <vt:variant>
        <vt:i4>5</vt:i4>
      </vt:variant>
      <vt:variant>
        <vt:lpwstr/>
      </vt:variant>
      <vt:variant>
        <vt:lpwstr>_Toc132721426</vt:lpwstr>
      </vt:variant>
      <vt:variant>
        <vt:i4>1048629</vt:i4>
      </vt:variant>
      <vt:variant>
        <vt:i4>128</vt:i4>
      </vt:variant>
      <vt:variant>
        <vt:i4>0</vt:i4>
      </vt:variant>
      <vt:variant>
        <vt:i4>5</vt:i4>
      </vt:variant>
      <vt:variant>
        <vt:lpwstr/>
      </vt:variant>
      <vt:variant>
        <vt:lpwstr>_Toc132721425</vt:lpwstr>
      </vt:variant>
      <vt:variant>
        <vt:i4>1048629</vt:i4>
      </vt:variant>
      <vt:variant>
        <vt:i4>122</vt:i4>
      </vt:variant>
      <vt:variant>
        <vt:i4>0</vt:i4>
      </vt:variant>
      <vt:variant>
        <vt:i4>5</vt:i4>
      </vt:variant>
      <vt:variant>
        <vt:lpwstr/>
      </vt:variant>
      <vt:variant>
        <vt:lpwstr>_Toc132721424</vt:lpwstr>
      </vt:variant>
      <vt:variant>
        <vt:i4>1048629</vt:i4>
      </vt:variant>
      <vt:variant>
        <vt:i4>116</vt:i4>
      </vt:variant>
      <vt:variant>
        <vt:i4>0</vt:i4>
      </vt:variant>
      <vt:variant>
        <vt:i4>5</vt:i4>
      </vt:variant>
      <vt:variant>
        <vt:lpwstr/>
      </vt:variant>
      <vt:variant>
        <vt:lpwstr>_Toc132721423</vt:lpwstr>
      </vt:variant>
      <vt:variant>
        <vt:i4>1048629</vt:i4>
      </vt:variant>
      <vt:variant>
        <vt:i4>110</vt:i4>
      </vt:variant>
      <vt:variant>
        <vt:i4>0</vt:i4>
      </vt:variant>
      <vt:variant>
        <vt:i4>5</vt:i4>
      </vt:variant>
      <vt:variant>
        <vt:lpwstr/>
      </vt:variant>
      <vt:variant>
        <vt:lpwstr>_Toc132721422</vt:lpwstr>
      </vt:variant>
      <vt:variant>
        <vt:i4>1048629</vt:i4>
      </vt:variant>
      <vt:variant>
        <vt:i4>104</vt:i4>
      </vt:variant>
      <vt:variant>
        <vt:i4>0</vt:i4>
      </vt:variant>
      <vt:variant>
        <vt:i4>5</vt:i4>
      </vt:variant>
      <vt:variant>
        <vt:lpwstr/>
      </vt:variant>
      <vt:variant>
        <vt:lpwstr>_Toc132721421</vt:lpwstr>
      </vt:variant>
      <vt:variant>
        <vt:i4>1048629</vt:i4>
      </vt:variant>
      <vt:variant>
        <vt:i4>98</vt:i4>
      </vt:variant>
      <vt:variant>
        <vt:i4>0</vt:i4>
      </vt:variant>
      <vt:variant>
        <vt:i4>5</vt:i4>
      </vt:variant>
      <vt:variant>
        <vt:lpwstr/>
      </vt:variant>
      <vt:variant>
        <vt:lpwstr>_Toc132721420</vt:lpwstr>
      </vt:variant>
      <vt:variant>
        <vt:i4>1245237</vt:i4>
      </vt:variant>
      <vt:variant>
        <vt:i4>92</vt:i4>
      </vt:variant>
      <vt:variant>
        <vt:i4>0</vt:i4>
      </vt:variant>
      <vt:variant>
        <vt:i4>5</vt:i4>
      </vt:variant>
      <vt:variant>
        <vt:lpwstr/>
      </vt:variant>
      <vt:variant>
        <vt:lpwstr>_Toc132721419</vt:lpwstr>
      </vt:variant>
      <vt:variant>
        <vt:i4>1245237</vt:i4>
      </vt:variant>
      <vt:variant>
        <vt:i4>86</vt:i4>
      </vt:variant>
      <vt:variant>
        <vt:i4>0</vt:i4>
      </vt:variant>
      <vt:variant>
        <vt:i4>5</vt:i4>
      </vt:variant>
      <vt:variant>
        <vt:lpwstr/>
      </vt:variant>
      <vt:variant>
        <vt:lpwstr>_Toc132721418</vt:lpwstr>
      </vt:variant>
      <vt:variant>
        <vt:i4>1245237</vt:i4>
      </vt:variant>
      <vt:variant>
        <vt:i4>80</vt:i4>
      </vt:variant>
      <vt:variant>
        <vt:i4>0</vt:i4>
      </vt:variant>
      <vt:variant>
        <vt:i4>5</vt:i4>
      </vt:variant>
      <vt:variant>
        <vt:lpwstr/>
      </vt:variant>
      <vt:variant>
        <vt:lpwstr>_Toc132721417</vt:lpwstr>
      </vt:variant>
      <vt:variant>
        <vt:i4>1245237</vt:i4>
      </vt:variant>
      <vt:variant>
        <vt:i4>74</vt:i4>
      </vt:variant>
      <vt:variant>
        <vt:i4>0</vt:i4>
      </vt:variant>
      <vt:variant>
        <vt:i4>5</vt:i4>
      </vt:variant>
      <vt:variant>
        <vt:lpwstr/>
      </vt:variant>
      <vt:variant>
        <vt:lpwstr>_Toc132721416</vt:lpwstr>
      </vt:variant>
      <vt:variant>
        <vt:i4>1245237</vt:i4>
      </vt:variant>
      <vt:variant>
        <vt:i4>68</vt:i4>
      </vt:variant>
      <vt:variant>
        <vt:i4>0</vt:i4>
      </vt:variant>
      <vt:variant>
        <vt:i4>5</vt:i4>
      </vt:variant>
      <vt:variant>
        <vt:lpwstr/>
      </vt:variant>
      <vt:variant>
        <vt:lpwstr>_Toc132721415</vt:lpwstr>
      </vt:variant>
      <vt:variant>
        <vt:i4>1245237</vt:i4>
      </vt:variant>
      <vt:variant>
        <vt:i4>62</vt:i4>
      </vt:variant>
      <vt:variant>
        <vt:i4>0</vt:i4>
      </vt:variant>
      <vt:variant>
        <vt:i4>5</vt:i4>
      </vt:variant>
      <vt:variant>
        <vt:lpwstr/>
      </vt:variant>
      <vt:variant>
        <vt:lpwstr>_Toc132721414</vt:lpwstr>
      </vt:variant>
      <vt:variant>
        <vt:i4>1245237</vt:i4>
      </vt:variant>
      <vt:variant>
        <vt:i4>56</vt:i4>
      </vt:variant>
      <vt:variant>
        <vt:i4>0</vt:i4>
      </vt:variant>
      <vt:variant>
        <vt:i4>5</vt:i4>
      </vt:variant>
      <vt:variant>
        <vt:lpwstr/>
      </vt:variant>
      <vt:variant>
        <vt:lpwstr>_Toc132721413</vt:lpwstr>
      </vt:variant>
      <vt:variant>
        <vt:i4>1245237</vt:i4>
      </vt:variant>
      <vt:variant>
        <vt:i4>50</vt:i4>
      </vt:variant>
      <vt:variant>
        <vt:i4>0</vt:i4>
      </vt:variant>
      <vt:variant>
        <vt:i4>5</vt:i4>
      </vt:variant>
      <vt:variant>
        <vt:lpwstr/>
      </vt:variant>
      <vt:variant>
        <vt:lpwstr>_Toc132721412</vt:lpwstr>
      </vt:variant>
      <vt:variant>
        <vt:i4>1245237</vt:i4>
      </vt:variant>
      <vt:variant>
        <vt:i4>44</vt:i4>
      </vt:variant>
      <vt:variant>
        <vt:i4>0</vt:i4>
      </vt:variant>
      <vt:variant>
        <vt:i4>5</vt:i4>
      </vt:variant>
      <vt:variant>
        <vt:lpwstr/>
      </vt:variant>
      <vt:variant>
        <vt:lpwstr>_Toc132721411</vt:lpwstr>
      </vt:variant>
      <vt:variant>
        <vt:i4>1245237</vt:i4>
      </vt:variant>
      <vt:variant>
        <vt:i4>38</vt:i4>
      </vt:variant>
      <vt:variant>
        <vt:i4>0</vt:i4>
      </vt:variant>
      <vt:variant>
        <vt:i4>5</vt:i4>
      </vt:variant>
      <vt:variant>
        <vt:lpwstr/>
      </vt:variant>
      <vt:variant>
        <vt:lpwstr>_Toc132721410</vt:lpwstr>
      </vt:variant>
      <vt:variant>
        <vt:i4>1179701</vt:i4>
      </vt:variant>
      <vt:variant>
        <vt:i4>32</vt:i4>
      </vt:variant>
      <vt:variant>
        <vt:i4>0</vt:i4>
      </vt:variant>
      <vt:variant>
        <vt:i4>5</vt:i4>
      </vt:variant>
      <vt:variant>
        <vt:lpwstr/>
      </vt:variant>
      <vt:variant>
        <vt:lpwstr>_Toc132721409</vt:lpwstr>
      </vt:variant>
      <vt:variant>
        <vt:i4>1179701</vt:i4>
      </vt:variant>
      <vt:variant>
        <vt:i4>26</vt:i4>
      </vt:variant>
      <vt:variant>
        <vt:i4>0</vt:i4>
      </vt:variant>
      <vt:variant>
        <vt:i4>5</vt:i4>
      </vt:variant>
      <vt:variant>
        <vt:lpwstr/>
      </vt:variant>
      <vt:variant>
        <vt:lpwstr>_Toc132721408</vt:lpwstr>
      </vt:variant>
      <vt:variant>
        <vt:i4>1179701</vt:i4>
      </vt:variant>
      <vt:variant>
        <vt:i4>20</vt:i4>
      </vt:variant>
      <vt:variant>
        <vt:i4>0</vt:i4>
      </vt:variant>
      <vt:variant>
        <vt:i4>5</vt:i4>
      </vt:variant>
      <vt:variant>
        <vt:lpwstr/>
      </vt:variant>
      <vt:variant>
        <vt:lpwstr>_Toc132721407</vt:lpwstr>
      </vt:variant>
      <vt:variant>
        <vt:i4>1179701</vt:i4>
      </vt:variant>
      <vt:variant>
        <vt:i4>14</vt:i4>
      </vt:variant>
      <vt:variant>
        <vt:i4>0</vt:i4>
      </vt:variant>
      <vt:variant>
        <vt:i4>5</vt:i4>
      </vt:variant>
      <vt:variant>
        <vt:lpwstr/>
      </vt:variant>
      <vt:variant>
        <vt:lpwstr>_Toc132721406</vt:lpwstr>
      </vt:variant>
      <vt:variant>
        <vt:i4>1179701</vt:i4>
      </vt:variant>
      <vt:variant>
        <vt:i4>8</vt:i4>
      </vt:variant>
      <vt:variant>
        <vt:i4>0</vt:i4>
      </vt:variant>
      <vt:variant>
        <vt:i4>5</vt:i4>
      </vt:variant>
      <vt:variant>
        <vt:lpwstr/>
      </vt:variant>
      <vt:variant>
        <vt:lpwstr>_Toc132721405</vt:lpwstr>
      </vt:variant>
      <vt:variant>
        <vt:i4>1179701</vt:i4>
      </vt:variant>
      <vt:variant>
        <vt:i4>2</vt:i4>
      </vt:variant>
      <vt:variant>
        <vt:i4>0</vt:i4>
      </vt:variant>
      <vt:variant>
        <vt:i4>5</vt:i4>
      </vt:variant>
      <vt:variant>
        <vt:lpwstr/>
      </vt:variant>
      <vt:variant>
        <vt:lpwstr>_Toc132721404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Watkins</dc:creator>
  <cp:keywords/>
  <cp:lastModifiedBy/>
  <cp:revision>21</cp:revision>
  <dcterms:created xsi:type="dcterms:W3CDTF">2023-04-18T21:06:00Z</dcterms:created>
  <dcterms:modified xsi:type="dcterms:W3CDTF">2023-04-18T21:59:00Z</dcterms:modified>
</cp:coreProperties>
</file>