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54B45" w14:textId="5DC5B6F4" w:rsidR="00AE70E8" w:rsidRPr="00E342F1" w:rsidRDefault="003164AD" w:rsidP="007A6907">
      <w:pPr>
        <w:pStyle w:val="Title"/>
        <w:spacing w:after="0"/>
        <w:rPr>
          <w:lang w:val="fr-CA"/>
        </w:rPr>
      </w:pPr>
      <w:r w:rsidRPr="00E342F1">
        <w:rPr>
          <w:lang w:val="fr-CA"/>
        </w:rPr>
        <w:t>Rég</w:t>
      </w:r>
      <w:r w:rsidR="001074BF" w:rsidRPr="00E342F1">
        <w:rPr>
          <w:lang w:val="fr-CA"/>
        </w:rPr>
        <w:t>uler</w:t>
      </w:r>
      <w:r w:rsidRPr="00E342F1">
        <w:rPr>
          <w:lang w:val="fr-CA"/>
        </w:rPr>
        <w:t xml:space="preserve"> </w:t>
      </w:r>
      <w:r w:rsidR="001074BF" w:rsidRPr="00E342F1">
        <w:rPr>
          <w:lang w:val="fr-CA"/>
        </w:rPr>
        <w:t>le</w:t>
      </w:r>
      <w:r w:rsidRPr="00E342F1">
        <w:rPr>
          <w:lang w:val="fr-CA"/>
        </w:rPr>
        <w:t xml:space="preserve"> </w:t>
      </w:r>
      <w:r w:rsidR="001074BF" w:rsidRPr="00E342F1">
        <w:rPr>
          <w:lang w:val="fr-CA"/>
        </w:rPr>
        <w:t>d</w:t>
      </w:r>
      <w:r w:rsidRPr="00E342F1">
        <w:rPr>
          <w:lang w:val="fr-CA"/>
        </w:rPr>
        <w:t xml:space="preserve">omaine </w:t>
      </w:r>
      <w:r w:rsidR="001074BF" w:rsidRPr="00E342F1">
        <w:rPr>
          <w:lang w:val="fr-CA"/>
        </w:rPr>
        <w:t>n</w:t>
      </w:r>
      <w:r w:rsidRPr="00E342F1">
        <w:rPr>
          <w:lang w:val="fr-CA"/>
        </w:rPr>
        <w:t>umérique</w:t>
      </w:r>
      <w:r w:rsidR="00AB77D6" w:rsidRPr="00E342F1">
        <w:rPr>
          <w:lang w:val="fr-CA"/>
        </w:rPr>
        <w:t xml:space="preserve"> :</w:t>
      </w:r>
      <w:r w:rsidR="00AE70E8" w:rsidRPr="00E342F1">
        <w:rPr>
          <w:lang w:val="fr-CA"/>
        </w:rPr>
        <w:t xml:space="preserve"> </w:t>
      </w:r>
      <w:r w:rsidR="006173D5" w:rsidRPr="00E342F1">
        <w:rPr>
          <w:lang w:val="fr-CA"/>
        </w:rPr>
        <w:br/>
      </w:r>
      <w:r w:rsidR="00AE70E8" w:rsidRPr="00E342F1">
        <w:rPr>
          <w:lang w:val="fr-CA"/>
        </w:rPr>
        <w:t>Co-</w:t>
      </w:r>
      <w:r w:rsidRPr="00E342F1">
        <w:rPr>
          <w:lang w:val="fr-CA"/>
        </w:rPr>
        <w:t>conception</w:t>
      </w:r>
      <w:r w:rsidR="00AE70E8" w:rsidRPr="00E342F1">
        <w:rPr>
          <w:lang w:val="fr-CA"/>
        </w:rPr>
        <w:t xml:space="preserve"> </w:t>
      </w:r>
      <w:r w:rsidR="00386BC5" w:rsidRPr="00E342F1">
        <w:rPr>
          <w:lang w:val="fr-CA"/>
        </w:rPr>
        <w:t>deux</w:t>
      </w:r>
      <w:r w:rsidR="00AE70E8" w:rsidRPr="00E342F1">
        <w:rPr>
          <w:lang w:val="fr-CA"/>
        </w:rPr>
        <w:t xml:space="preserve"> </w:t>
      </w:r>
      <w:r w:rsidR="00147A22" w:rsidRPr="00E342F1">
        <w:rPr>
          <w:lang w:val="fr-CA"/>
        </w:rPr>
        <w:t>r</w:t>
      </w:r>
      <w:r w:rsidRPr="00E342F1">
        <w:rPr>
          <w:lang w:val="fr-CA"/>
        </w:rPr>
        <w:t>ésultats</w:t>
      </w:r>
      <w:r w:rsidR="00AE70E8" w:rsidRPr="00E342F1">
        <w:rPr>
          <w:lang w:val="fr-CA"/>
        </w:rPr>
        <w:t xml:space="preserve">  </w:t>
      </w:r>
    </w:p>
    <w:p w14:paraId="775DD93E" w14:textId="7F3FFD86" w:rsidR="006C46ED" w:rsidRPr="00E342F1" w:rsidRDefault="006C46ED" w:rsidP="006C46ED">
      <w:pPr>
        <w:pStyle w:val="Subtitle"/>
        <w:spacing w:after="720" w:line="240" w:lineRule="auto"/>
        <w:rPr>
          <w:lang w:val="fr-CA"/>
        </w:rPr>
      </w:pPr>
      <w:r w:rsidRPr="00E342F1">
        <w:rPr>
          <w:lang w:val="fr-CA"/>
        </w:rPr>
        <w:t>Obstacles à l</w:t>
      </w:r>
      <w:r w:rsidR="00EA3E31" w:rsidRPr="00E342F1">
        <w:rPr>
          <w:lang w:val="fr-CA"/>
        </w:rPr>
        <w:t>’</w:t>
      </w:r>
      <w:r w:rsidRPr="00E342F1">
        <w:rPr>
          <w:lang w:val="fr-CA"/>
        </w:rPr>
        <w:t>accessibilité et approches réglementaires pour les technologies numériques.</w:t>
      </w:r>
    </w:p>
    <w:p w14:paraId="168055AA" w14:textId="77777777" w:rsidR="006C46ED" w:rsidRPr="00E342F1" w:rsidRDefault="006C46ED" w:rsidP="006C46ED">
      <w:pPr>
        <w:rPr>
          <w:lang w:val="fr-CA"/>
        </w:rPr>
      </w:pPr>
    </w:p>
    <w:p w14:paraId="2E658F74" w14:textId="7BB9FAA1" w:rsidR="003278E4" w:rsidRPr="00E342F1" w:rsidRDefault="003278E4" w:rsidP="007A6907">
      <w:pPr>
        <w:spacing w:after="0" w:line="276" w:lineRule="auto"/>
        <w:rPr>
          <w:lang w:val="fr-CA"/>
        </w:rPr>
      </w:pPr>
      <w:r w:rsidRPr="00E342F1">
        <w:rPr>
          <w:lang w:val="fr-CA"/>
        </w:rPr>
        <w:t>Inclusive Design Research Centre</w:t>
      </w:r>
    </w:p>
    <w:p w14:paraId="290EE885" w14:textId="46BC1518" w:rsidR="00C70015" w:rsidRPr="00E342F1" w:rsidRDefault="006C46ED" w:rsidP="007A6907">
      <w:pPr>
        <w:spacing w:after="0" w:line="276" w:lineRule="auto"/>
        <w:rPr>
          <w:lang w:val="fr-CA"/>
        </w:rPr>
      </w:pPr>
      <w:r w:rsidRPr="00E342F1">
        <w:rPr>
          <w:lang w:val="fr-CA"/>
        </w:rPr>
        <w:t>Normes d</w:t>
      </w:r>
      <w:r w:rsidR="00EA3E31" w:rsidRPr="00E342F1">
        <w:rPr>
          <w:lang w:val="fr-CA"/>
        </w:rPr>
        <w:t>’</w:t>
      </w:r>
      <w:r w:rsidRPr="00E342F1">
        <w:rPr>
          <w:lang w:val="fr-CA"/>
        </w:rPr>
        <w:t>accessibilité Canada</w:t>
      </w:r>
    </w:p>
    <w:p w14:paraId="49223B41" w14:textId="771FB2FE" w:rsidR="009327A7" w:rsidRPr="00E342F1" w:rsidRDefault="006C46ED" w:rsidP="007A6907">
      <w:pPr>
        <w:spacing w:after="0" w:line="276" w:lineRule="auto"/>
        <w:rPr>
          <w:b/>
          <w:bCs/>
          <w:lang w:val="fr-CA"/>
        </w:rPr>
      </w:pPr>
      <w:r w:rsidRPr="00E342F1">
        <w:rPr>
          <w:b/>
          <w:bCs/>
          <w:lang w:val="fr-CA"/>
        </w:rPr>
        <w:t xml:space="preserve">Septembre </w:t>
      </w:r>
      <w:r w:rsidR="003278E4" w:rsidRPr="00E342F1">
        <w:rPr>
          <w:b/>
          <w:bCs/>
          <w:lang w:val="fr-CA"/>
        </w:rPr>
        <w:t>2024</w:t>
      </w:r>
    </w:p>
    <w:p w14:paraId="0DF937E6" w14:textId="2CE23B63" w:rsidR="00094E99" w:rsidRPr="00E342F1" w:rsidRDefault="00094E99" w:rsidP="00113022">
      <w:pPr>
        <w:pStyle w:val="ListParagraph"/>
        <w:ind w:left="0" w:hanging="360"/>
        <w:rPr>
          <w:lang w:val="fr-CA"/>
        </w:rPr>
      </w:pPr>
      <w:r w:rsidRPr="00E342F1">
        <w:rPr>
          <w:lang w:val="fr-CA"/>
        </w:rPr>
        <w:drawing>
          <wp:inline distT="0" distB="0" distL="0" distR="0" wp14:anchorId="7E0D0DB7" wp14:editId="12D0E5AA">
            <wp:extent cx="2438197" cy="2539092"/>
            <wp:effectExtent l="0" t="0" r="635" b="1270"/>
            <wp:docPr id="1916096601" name="Graphic 5" descr="Réguler le domaine numériq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6601" name="Graphic 5" descr="Réguler le domaine numérique logo"/>
                    <pic:cNvPicPr/>
                  </pic:nvPicPr>
                  <pic:blipFill rotWithShape="1">
                    <a:blip r:embed="rId11">
                      <a:extLst>
                        <a:ext uri="{28A0092B-C50C-407E-A947-70E740481C1C}">
                          <a14:useLocalDpi xmlns:a14="http://schemas.microsoft.com/office/drawing/2010/main" val="0"/>
                        </a:ext>
                      </a:extLst>
                    </a:blip>
                    <a:srcRect l="-12741" t="-8054" r="-622" b="-1062"/>
                    <a:stretch/>
                  </pic:blipFill>
                  <pic:spPr bwMode="auto">
                    <a:xfrm>
                      <a:off x="0" y="0"/>
                      <a:ext cx="2477994" cy="2580536"/>
                    </a:xfrm>
                    <a:prstGeom prst="rect">
                      <a:avLst/>
                    </a:prstGeom>
                    <a:ln>
                      <a:noFill/>
                    </a:ln>
                    <a:extLst>
                      <a:ext uri="{53640926-AAD7-44D8-BBD7-CCE9431645EC}">
                        <a14:shadowObscured xmlns:a14="http://schemas.microsoft.com/office/drawing/2010/main"/>
                      </a:ext>
                    </a:extLst>
                  </pic:spPr>
                </pic:pic>
              </a:graphicData>
            </a:graphic>
          </wp:inline>
        </w:drawing>
      </w:r>
    </w:p>
    <w:p w14:paraId="1E63F413" w14:textId="77777777" w:rsidR="00320149" w:rsidRPr="00E342F1" w:rsidRDefault="00320149" w:rsidP="00320149">
      <w:pPr>
        <w:pStyle w:val="ListParagraph"/>
        <w:spacing w:before="960"/>
        <w:ind w:left="0" w:hanging="357"/>
        <w:contextualSpacing w:val="0"/>
        <w:rPr>
          <w:lang w:val="fr-CA"/>
        </w:rPr>
      </w:pPr>
    </w:p>
    <w:p w14:paraId="79524D9E" w14:textId="5C42E933" w:rsidR="00957FB7" w:rsidRPr="00E342F1" w:rsidRDefault="001B4F39" w:rsidP="0057407D">
      <w:pPr>
        <w:pStyle w:val="ListParagraph"/>
        <w:ind w:left="0" w:hanging="360"/>
        <w:jc w:val="center"/>
        <w:rPr>
          <w:lang w:val="fr-CA"/>
        </w:rPr>
        <w:sectPr w:rsidR="00957FB7" w:rsidRPr="00E342F1" w:rsidSect="00AE70E8">
          <w:footerReference w:type="even" r:id="rId12"/>
          <w:footerReference w:type="default" r:id="rId13"/>
          <w:pgSz w:w="12240" w:h="15840"/>
          <w:pgMar w:top="1440" w:right="1440" w:bottom="1440" w:left="1440" w:header="708" w:footer="708" w:gutter="0"/>
          <w:cols w:space="708"/>
          <w:docGrid w:linePitch="360"/>
        </w:sectPr>
      </w:pPr>
      <w:r w:rsidRPr="00E342F1">
        <w:rPr>
          <w:lang w:val="fr-CA"/>
        </w:rPr>
        <w:drawing>
          <wp:inline distT="0" distB="0" distL="0" distR="0" wp14:anchorId="68C6D37D" wp14:editId="4C8865A1">
            <wp:extent cx="1781799" cy="434862"/>
            <wp:effectExtent l="0" t="0" r="0" b="0"/>
            <wp:docPr id="676212688" name="Graphic 2" descr="Inclusive Design Resear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2688" name="Graphic 2" descr="Inclusive Design Research Centre logo"/>
                    <pic:cNvPicPr/>
                  </pic:nvPicPr>
                  <pic:blipFill rotWithShape="1">
                    <a:blip r:embed="rId14">
                      <a:extLst>
                        <a:ext uri="{96DAC541-7B7A-43D3-8B79-37D633B846F1}">
                          <asvg:svgBlip xmlns:asvg="http://schemas.microsoft.com/office/drawing/2016/SVG/main" r:embed="rId15"/>
                        </a:ext>
                      </a:extLst>
                    </a:blip>
                    <a:srcRect l="2638" r="-28038" b="-6"/>
                    <a:stretch/>
                  </pic:blipFill>
                  <pic:spPr bwMode="auto">
                    <a:xfrm>
                      <a:off x="0" y="0"/>
                      <a:ext cx="1864218" cy="454977"/>
                    </a:xfrm>
                    <a:prstGeom prst="rect">
                      <a:avLst/>
                    </a:prstGeom>
                    <a:ln>
                      <a:noFill/>
                    </a:ln>
                    <a:extLst>
                      <a:ext uri="{53640926-AAD7-44D8-BBD7-CCE9431645EC}">
                        <a14:shadowObscured xmlns:a14="http://schemas.microsoft.com/office/drawing/2010/main"/>
                      </a:ext>
                    </a:extLst>
                  </pic:spPr>
                </pic:pic>
              </a:graphicData>
            </a:graphic>
          </wp:inline>
        </w:drawing>
      </w:r>
      <w:r w:rsidR="00957FB7" w:rsidRPr="00E342F1">
        <w:rPr>
          <w:lang w:val="fr-CA"/>
        </w:rPr>
        <w:fldChar w:fldCharType="begin"/>
      </w:r>
      <w:r w:rsidR="00957FB7" w:rsidRPr="00E342F1">
        <w:rPr>
          <w:lang w:val="fr-CA"/>
        </w:rPr>
        <w:instrText xml:space="preserve"> INCLUDEPICTURE "https://wecount.inclusivedesign.ca/uploads/accessibility_standards_canada_accessibility_standards_canada_20.jpg" \* MERGEFORMATINET </w:instrText>
      </w:r>
      <w:r w:rsidR="00957FB7" w:rsidRPr="00E342F1">
        <w:rPr>
          <w:lang w:val="fr-CA"/>
        </w:rPr>
        <w:fldChar w:fldCharType="separate"/>
      </w:r>
      <w:r w:rsidR="00957FB7" w:rsidRPr="00E342F1">
        <w:rPr>
          <w:lang w:val="fr-CA"/>
        </w:rPr>
        <w:drawing>
          <wp:inline distT="0" distB="0" distL="0" distR="0" wp14:anchorId="074AACCB" wp14:editId="6A64FD60">
            <wp:extent cx="3919082" cy="368042"/>
            <wp:effectExtent l="0" t="0" r="0" b="635"/>
            <wp:docPr id="1720054438" name="Picture 3" descr="Accessibility Standards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Standards Canada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3695" cy="403222"/>
                    </a:xfrm>
                    <a:prstGeom prst="rect">
                      <a:avLst/>
                    </a:prstGeom>
                    <a:noFill/>
                    <a:ln>
                      <a:noFill/>
                    </a:ln>
                  </pic:spPr>
                </pic:pic>
              </a:graphicData>
            </a:graphic>
          </wp:inline>
        </w:drawing>
      </w:r>
      <w:r w:rsidR="00957FB7" w:rsidRPr="00E342F1">
        <w:rPr>
          <w:lang w:val="fr-CA"/>
        </w:rPr>
        <w:fldChar w:fldCharType="end"/>
      </w:r>
    </w:p>
    <w:p w14:paraId="69752423" w14:textId="4A193DB7" w:rsidR="00D6560F" w:rsidRPr="00E342F1" w:rsidRDefault="00D6560F" w:rsidP="0091312F">
      <w:pPr>
        <w:rPr>
          <w:lang w:val="fr-CA"/>
        </w:rPr>
      </w:pPr>
      <w:r w:rsidRPr="00E342F1">
        <w:rPr>
          <w:rStyle w:val="normaltextrun"/>
          <w:rFonts w:cs="Calibri"/>
          <w:sz w:val="22"/>
          <w:szCs w:val="22"/>
          <w:lang w:val="fr-CA"/>
        </w:rPr>
        <w:t xml:space="preserve">OCAD </w:t>
      </w:r>
      <w:r w:rsidR="00386BC5" w:rsidRPr="00E342F1">
        <w:rPr>
          <w:rStyle w:val="normaltextrun"/>
          <w:rFonts w:cs="Calibri"/>
          <w:sz w:val="22"/>
          <w:szCs w:val="22"/>
          <w:lang w:val="fr-CA"/>
        </w:rPr>
        <w:t>University reconnaît les territoires ancestraux et traditionnels des Mississaugas de Credit, des Haudenosaunee, des Anishinaabe et des Huron-Wendat, qui sont les premiers propriétaires et gardiens de la terre sur laquelle nous nous trouvons et créons.</w:t>
      </w:r>
      <w:r w:rsidRPr="00E342F1">
        <w:rPr>
          <w:rStyle w:val="eop"/>
          <w:rFonts w:cs="Calibri"/>
          <w:sz w:val="22"/>
          <w:szCs w:val="22"/>
          <w:lang w:val="fr-CA"/>
        </w:rPr>
        <w:t> </w:t>
      </w:r>
    </w:p>
    <w:p w14:paraId="1C0FBA7B" w14:textId="77777777" w:rsidR="00386BC5" w:rsidRPr="00E342F1" w:rsidRDefault="00386BC5" w:rsidP="0091312F">
      <w:pPr>
        <w:rPr>
          <w:rStyle w:val="normaltextrun"/>
          <w:rFonts w:ascii="Montserrat SemiBold" w:eastAsiaTheme="majorEastAsia" w:hAnsi="Montserrat SemiBold" w:cstheme="majorBidi"/>
          <w:b/>
          <w:bCs/>
          <w:color w:val="0F4761" w:themeColor="accent1" w:themeShade="BF"/>
          <w:sz w:val="36"/>
          <w:szCs w:val="36"/>
          <w:lang w:val="fr-CA"/>
        </w:rPr>
      </w:pPr>
      <w:r w:rsidRPr="00E342F1">
        <w:rPr>
          <w:rStyle w:val="normaltextrun"/>
          <w:rFonts w:ascii="Montserrat SemiBold" w:eastAsiaTheme="majorEastAsia" w:hAnsi="Montserrat SemiBold" w:cstheme="majorBidi"/>
          <w:b/>
          <w:bCs/>
          <w:color w:val="0F4761" w:themeColor="accent1" w:themeShade="BF"/>
          <w:sz w:val="36"/>
          <w:szCs w:val="36"/>
          <w:lang w:val="fr-CA"/>
        </w:rPr>
        <w:t>Contributeurs</w:t>
      </w:r>
    </w:p>
    <w:p w14:paraId="46C91EA0" w14:textId="3159D765" w:rsidR="00D6560F" w:rsidRPr="00E342F1" w:rsidRDefault="00386BC5" w:rsidP="0091312F">
      <w:pPr>
        <w:rPr>
          <w:rStyle w:val="normaltextrun"/>
          <w:rFonts w:cs="Calibri"/>
          <w:i/>
          <w:lang w:val="fr-CA"/>
        </w:rPr>
      </w:pPr>
      <w:r w:rsidRPr="00E342F1">
        <w:rPr>
          <w:rStyle w:val="normaltextrun"/>
          <w:rFonts w:cs="Calibri"/>
          <w:lang w:val="fr-CA"/>
        </w:rPr>
        <w:t>Ce rapport s</w:t>
      </w:r>
      <w:r w:rsidR="00EA3E31" w:rsidRPr="00E342F1">
        <w:rPr>
          <w:rStyle w:val="normaltextrun"/>
          <w:rFonts w:cs="Calibri"/>
          <w:lang w:val="fr-CA"/>
        </w:rPr>
        <w:t>’</w:t>
      </w:r>
      <w:r w:rsidRPr="00E342F1">
        <w:rPr>
          <w:rStyle w:val="normaltextrun"/>
          <w:rFonts w:cs="Calibri"/>
          <w:lang w:val="fr-CA"/>
        </w:rPr>
        <w:t>appuie sur les contributions de nos collaborateurs experts qui ont formé le groupe d</w:t>
      </w:r>
      <w:r w:rsidR="00EA3E31" w:rsidRPr="00E342F1">
        <w:rPr>
          <w:rStyle w:val="normaltextrun"/>
          <w:rFonts w:cs="Calibri"/>
          <w:lang w:val="fr-CA"/>
        </w:rPr>
        <w:t>’</w:t>
      </w:r>
      <w:r w:rsidRPr="00E342F1">
        <w:rPr>
          <w:rStyle w:val="normaltextrun"/>
          <w:rFonts w:cs="Calibri"/>
          <w:lang w:val="fr-CA"/>
        </w:rPr>
        <w:t>étude et l</w:t>
      </w:r>
      <w:r w:rsidR="00EA3E31" w:rsidRPr="00E342F1">
        <w:rPr>
          <w:rStyle w:val="normaltextrun"/>
          <w:rFonts w:cs="Calibri"/>
          <w:lang w:val="fr-CA"/>
        </w:rPr>
        <w:t>’</w:t>
      </w:r>
      <w:r w:rsidRPr="00E342F1">
        <w:rPr>
          <w:rStyle w:val="normaltextrun"/>
          <w:rFonts w:cs="Calibri"/>
          <w:lang w:val="fr-CA"/>
        </w:rPr>
        <w:t>équipe du IDRC. Les 35 contributeurs sont les suivants</w:t>
      </w:r>
      <w:r w:rsidR="009875E5" w:rsidRPr="00E342F1">
        <w:rPr>
          <w:rStyle w:val="normaltextrun"/>
          <w:rFonts w:cs="Calibri"/>
          <w:lang w:val="fr-CA"/>
        </w:rPr>
        <w:t xml:space="preserve"> </w:t>
      </w:r>
      <w:r w:rsidR="00D6560F" w:rsidRPr="00E342F1">
        <w:rPr>
          <w:rStyle w:val="normaltextrun"/>
          <w:rFonts w:cs="Calibri"/>
          <w:lang w:val="fr-CA"/>
        </w:rPr>
        <w:t>: </w:t>
      </w:r>
      <w:r w:rsidR="00D6560F" w:rsidRPr="00E342F1">
        <w:rPr>
          <w:rStyle w:val="eop"/>
          <w:rFonts w:cs="Calibri"/>
          <w:lang w:val="fr-CA"/>
        </w:rPr>
        <w:t> </w:t>
      </w:r>
    </w:p>
    <w:p w14:paraId="717896E2" w14:textId="77777777" w:rsidR="00D87F3C" w:rsidRPr="00E342F1" w:rsidRDefault="00D87F3C" w:rsidP="0091312F">
      <w:pPr>
        <w:rPr>
          <w:rStyle w:val="normaltextrun"/>
          <w:rFonts w:eastAsiaTheme="majorEastAsia" w:cs="Calibri"/>
          <w:i/>
          <w:iCs/>
          <w:sz w:val="22"/>
          <w:szCs w:val="22"/>
          <w:lang w:val="fr-CA"/>
        </w:rPr>
        <w:sectPr w:rsidR="00D87F3C" w:rsidRPr="00E342F1" w:rsidSect="00AE70E8">
          <w:footerReference w:type="first" r:id="rId17"/>
          <w:pgSz w:w="12240" w:h="15840"/>
          <w:pgMar w:top="1440" w:right="1440" w:bottom="1440" w:left="1440" w:header="708" w:footer="708" w:gutter="0"/>
          <w:cols w:space="708"/>
          <w:docGrid w:linePitch="360"/>
        </w:sectPr>
      </w:pPr>
    </w:p>
    <w:p w14:paraId="4E2FA780" w14:textId="77777777" w:rsidR="002C4009" w:rsidRPr="00E342F1" w:rsidRDefault="002C4009" w:rsidP="0091312F">
      <w:pPr>
        <w:rPr>
          <w:b/>
          <w:bCs/>
          <w:lang w:val="fr-CA"/>
        </w:rPr>
      </w:pPr>
      <w:r w:rsidRPr="00E342F1">
        <w:rPr>
          <w:rStyle w:val="normaltextrun"/>
          <w:rFonts w:eastAsiaTheme="majorEastAsia" w:cs="Calibri"/>
          <w:i/>
          <w:sz w:val="22"/>
          <w:szCs w:val="22"/>
          <w:lang w:val="fr-CA"/>
        </w:rPr>
        <w:t>Caren Watkins</w:t>
      </w:r>
    </w:p>
    <w:p w14:paraId="1539BD4F"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David Dyer Lawson</w:t>
      </w:r>
    </w:p>
    <w:p w14:paraId="63203113" w14:textId="77777777" w:rsidR="002C4009" w:rsidRPr="00E342F1" w:rsidRDefault="002C4009" w:rsidP="0091312F">
      <w:pPr>
        <w:rPr>
          <w:rStyle w:val="normaltextrun"/>
          <w:rFonts w:eastAsiaTheme="majorEastAsia" w:cs="Calibri"/>
          <w:i/>
          <w:sz w:val="22"/>
          <w:szCs w:val="22"/>
          <w:lang w:val="fr-CA"/>
        </w:rPr>
      </w:pPr>
      <w:r w:rsidRPr="00E342F1">
        <w:rPr>
          <w:rStyle w:val="normaltextrun"/>
          <w:rFonts w:eastAsiaTheme="majorEastAsia" w:cs="Calibri"/>
          <w:i/>
          <w:sz w:val="22"/>
          <w:szCs w:val="22"/>
          <w:lang w:val="fr-CA"/>
        </w:rPr>
        <w:t>David Pereyra</w:t>
      </w:r>
    </w:p>
    <w:p w14:paraId="35D867C3" w14:textId="781B0F20" w:rsidR="00C94ABB" w:rsidRPr="00E342F1" w:rsidRDefault="00C94ABB" w:rsidP="0091312F">
      <w:pPr>
        <w:rPr>
          <w:rFonts w:eastAsiaTheme="majorEastAsia" w:cs="Calibri"/>
          <w:i/>
          <w:sz w:val="22"/>
          <w:szCs w:val="22"/>
          <w:lang w:val="fr-CA"/>
        </w:rPr>
      </w:pPr>
      <w:r w:rsidRPr="00E342F1">
        <w:rPr>
          <w:rFonts w:eastAsiaTheme="majorEastAsia" w:cs="Calibri"/>
          <w:i/>
          <w:sz w:val="22"/>
          <w:szCs w:val="22"/>
          <w:lang w:val="fr-CA"/>
        </w:rPr>
        <w:t>Geraldynn Lubrido</w:t>
      </w:r>
    </w:p>
    <w:p w14:paraId="6FC45F44"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 xml:space="preserve">Geza Fenyo </w:t>
      </w:r>
    </w:p>
    <w:p w14:paraId="5B879DCD" w14:textId="77777777" w:rsidR="002C4009" w:rsidRPr="00E342F1" w:rsidRDefault="002C4009" w:rsidP="0091312F">
      <w:pPr>
        <w:rPr>
          <w:rStyle w:val="normaltextrun"/>
          <w:rFonts w:eastAsiaTheme="majorEastAsia" w:cs="Calibri"/>
          <w:i/>
          <w:sz w:val="22"/>
          <w:szCs w:val="22"/>
          <w:lang w:val="fr-CA"/>
        </w:rPr>
      </w:pPr>
      <w:r w:rsidRPr="00E342F1">
        <w:rPr>
          <w:rStyle w:val="normaltextrun"/>
          <w:rFonts w:eastAsiaTheme="majorEastAsia" w:cs="Calibri"/>
          <w:i/>
          <w:sz w:val="22"/>
          <w:szCs w:val="22"/>
          <w:lang w:val="fr-CA"/>
        </w:rPr>
        <w:t xml:space="preserve">Gina Kennedy </w:t>
      </w:r>
    </w:p>
    <w:p w14:paraId="7CBDA31A"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Graham K.</w:t>
      </w:r>
    </w:p>
    <w:p w14:paraId="00850F4B" w14:textId="444417D3" w:rsidR="006B535C" w:rsidRPr="00E342F1" w:rsidRDefault="006B535C" w:rsidP="0091312F">
      <w:pPr>
        <w:rPr>
          <w:rFonts w:eastAsiaTheme="majorEastAsia" w:cs="Calibri"/>
          <w:i/>
          <w:sz w:val="22"/>
          <w:szCs w:val="22"/>
          <w:lang w:val="fr-CA"/>
        </w:rPr>
      </w:pPr>
      <w:r w:rsidRPr="00E342F1">
        <w:rPr>
          <w:rFonts w:eastAsiaTheme="majorEastAsia" w:cs="Calibri"/>
          <w:i/>
          <w:sz w:val="22"/>
          <w:szCs w:val="22"/>
          <w:lang w:val="fr-CA"/>
        </w:rPr>
        <w:t>Haider Ali</w:t>
      </w:r>
    </w:p>
    <w:p w14:paraId="7FA89376"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Jalee Pelissier</w:t>
      </w:r>
    </w:p>
    <w:p w14:paraId="012E18FF"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James Kemp</w:t>
      </w:r>
    </w:p>
    <w:p w14:paraId="183AB813" w14:textId="69767576" w:rsidR="006B535C" w:rsidRPr="00E342F1" w:rsidRDefault="006B535C" w:rsidP="0091312F">
      <w:pPr>
        <w:rPr>
          <w:rFonts w:eastAsiaTheme="majorEastAsia" w:cs="Calibri"/>
          <w:i/>
          <w:sz w:val="22"/>
          <w:szCs w:val="22"/>
          <w:lang w:val="fr-CA"/>
        </w:rPr>
      </w:pPr>
      <w:r w:rsidRPr="00E342F1">
        <w:rPr>
          <w:rFonts w:eastAsiaTheme="majorEastAsia" w:cs="Calibri"/>
          <w:i/>
          <w:sz w:val="22"/>
          <w:szCs w:val="22"/>
          <w:lang w:val="fr-CA"/>
        </w:rPr>
        <w:t>Jamie Mcdonald</w:t>
      </w:r>
    </w:p>
    <w:p w14:paraId="677D0C7C"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Jenny A. Leung</w:t>
      </w:r>
    </w:p>
    <w:p w14:paraId="4354D11B"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Ka Li</w:t>
      </w:r>
    </w:p>
    <w:p w14:paraId="27E6CD68"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LaSonja Henry</w:t>
      </w:r>
    </w:p>
    <w:p w14:paraId="5C62C507"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Laura Hnatiw</w:t>
      </w:r>
    </w:p>
    <w:p w14:paraId="39036476" w14:textId="41D15F1D" w:rsidR="00415B07" w:rsidRPr="00E342F1" w:rsidRDefault="00415B07" w:rsidP="0091312F">
      <w:pPr>
        <w:rPr>
          <w:rFonts w:eastAsiaTheme="majorEastAsia" w:cs="Calibri"/>
          <w:i/>
          <w:sz w:val="22"/>
          <w:szCs w:val="22"/>
          <w:lang w:val="fr-CA"/>
        </w:rPr>
      </w:pPr>
      <w:r w:rsidRPr="00E342F1">
        <w:rPr>
          <w:rFonts w:eastAsiaTheme="majorEastAsia" w:cs="Calibri"/>
          <w:i/>
          <w:sz w:val="22"/>
          <w:szCs w:val="22"/>
          <w:lang w:val="fr-CA"/>
        </w:rPr>
        <w:t>Liam Shearer</w:t>
      </w:r>
    </w:p>
    <w:p w14:paraId="40D161F8" w14:textId="10DA92ED" w:rsidR="00644D52" w:rsidRPr="00E342F1" w:rsidRDefault="00644D52" w:rsidP="0091312F">
      <w:pPr>
        <w:rPr>
          <w:rFonts w:eastAsiaTheme="majorEastAsia" w:cs="Calibri"/>
          <w:i/>
          <w:sz w:val="22"/>
          <w:szCs w:val="22"/>
          <w:lang w:val="fr-CA"/>
        </w:rPr>
      </w:pPr>
      <w:r w:rsidRPr="00E342F1">
        <w:rPr>
          <w:rFonts w:eastAsiaTheme="majorEastAsia" w:cs="Calibri"/>
          <w:i/>
          <w:sz w:val="22"/>
          <w:szCs w:val="22"/>
          <w:lang w:val="fr-CA"/>
        </w:rPr>
        <w:t>Lisa Snider</w:t>
      </w:r>
    </w:p>
    <w:p w14:paraId="7A4C2E63"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Lorna Craig</w:t>
      </w:r>
    </w:p>
    <w:p w14:paraId="579C954F"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Ramin Raunak</w:t>
      </w:r>
    </w:p>
    <w:p w14:paraId="2D18CF97"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Richard Marion</w:t>
      </w:r>
    </w:p>
    <w:p w14:paraId="2BE0B02B"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Roxanne Tull</w:t>
      </w:r>
    </w:p>
    <w:p w14:paraId="65D33311" w14:textId="77777777" w:rsidR="002C4009" w:rsidRPr="00E342F1" w:rsidRDefault="002C4009" w:rsidP="0091312F">
      <w:pPr>
        <w:rPr>
          <w:rFonts w:eastAsiaTheme="majorEastAsia" w:cs="Calibri"/>
          <w:i/>
          <w:sz w:val="22"/>
          <w:szCs w:val="22"/>
          <w:lang w:val="fr-CA"/>
        </w:rPr>
      </w:pPr>
      <w:r w:rsidRPr="00E342F1">
        <w:rPr>
          <w:rFonts w:eastAsiaTheme="majorEastAsia" w:cs="Calibri"/>
          <w:i/>
          <w:sz w:val="22"/>
          <w:szCs w:val="22"/>
          <w:lang w:val="fr-CA"/>
        </w:rPr>
        <w:t>Sandra Bell</w:t>
      </w:r>
    </w:p>
    <w:p w14:paraId="096B2A0D" w14:textId="032BC280" w:rsidR="00C261C3" w:rsidRPr="00E342F1" w:rsidRDefault="00C261C3" w:rsidP="0091312F">
      <w:pPr>
        <w:rPr>
          <w:rFonts w:eastAsiaTheme="majorEastAsia" w:cs="Calibri"/>
          <w:i/>
          <w:sz w:val="22"/>
          <w:szCs w:val="22"/>
          <w:lang w:val="fr-CA"/>
        </w:rPr>
      </w:pPr>
      <w:r w:rsidRPr="00E342F1">
        <w:rPr>
          <w:rFonts w:eastAsiaTheme="majorEastAsia" w:cs="Calibri"/>
          <w:i/>
          <w:sz w:val="22"/>
          <w:szCs w:val="22"/>
          <w:lang w:val="fr-CA"/>
        </w:rPr>
        <w:t>Sioux Lily Dickson</w:t>
      </w:r>
    </w:p>
    <w:p w14:paraId="38AD4FBC" w14:textId="1902430D" w:rsidR="00CF0D26" w:rsidRPr="00E342F1" w:rsidRDefault="00CF0D26" w:rsidP="0091312F">
      <w:pPr>
        <w:rPr>
          <w:rStyle w:val="normaltextrun"/>
          <w:rFonts w:eastAsiaTheme="majorEastAsia" w:cs="Calibri"/>
          <w:i/>
          <w:sz w:val="22"/>
          <w:szCs w:val="22"/>
          <w:lang w:val="fr-CA"/>
        </w:rPr>
      </w:pPr>
      <w:r w:rsidRPr="00E342F1">
        <w:rPr>
          <w:rStyle w:val="normaltextrun"/>
          <w:rFonts w:eastAsiaTheme="majorEastAsia" w:cs="Calibri"/>
          <w:i/>
          <w:sz w:val="22"/>
          <w:szCs w:val="22"/>
          <w:lang w:val="fr-CA"/>
        </w:rPr>
        <w:t>Vera</w:t>
      </w:r>
      <w:r w:rsidR="00FA1F9D" w:rsidRPr="00E342F1">
        <w:rPr>
          <w:rStyle w:val="normaltextrun"/>
          <w:rFonts w:eastAsiaTheme="majorEastAsia" w:cs="Calibri"/>
          <w:i/>
          <w:sz w:val="22"/>
          <w:szCs w:val="22"/>
          <w:lang w:val="fr-CA"/>
        </w:rPr>
        <w:t xml:space="preserve"> Roberts</w:t>
      </w:r>
    </w:p>
    <w:p w14:paraId="3A415BB5" w14:textId="77777777" w:rsidR="00E120B6" w:rsidRPr="00E342F1" w:rsidRDefault="00E120B6" w:rsidP="00E120B6">
      <w:pPr>
        <w:rPr>
          <w:lang w:val="fr-CA"/>
          <w:rPrChange w:id="0" w:author="Author">
            <w:rPr>
              <w:rStyle w:val="normaltextrun"/>
              <w:rFonts w:asciiTheme="minorHAnsi" w:eastAsiaTheme="minorHAnsi" w:hAnsiTheme="minorHAnsi" w:cstheme="minorBidi"/>
              <w:b w:val="0"/>
              <w:bCs w:val="0"/>
              <w:color w:val="auto"/>
              <w:sz w:val="24"/>
              <w:szCs w:val="24"/>
            </w:rPr>
          </w:rPrChange>
        </w:rPr>
        <w:sectPr w:rsidR="00E120B6" w:rsidRPr="00E342F1" w:rsidSect="00D87F3C">
          <w:type w:val="continuous"/>
          <w:pgSz w:w="12240" w:h="15840"/>
          <w:pgMar w:top="1440" w:right="1440" w:bottom="1440" w:left="1440" w:header="708" w:footer="708" w:gutter="0"/>
          <w:cols w:num="3" w:space="708"/>
          <w:docGrid w:linePitch="360"/>
        </w:sectPr>
        <w:pPrChange w:id="1" w:author="Author">
          <w:pPr>
            <w:pStyle w:val="Heading1"/>
          </w:pPr>
        </w:pPrChange>
      </w:pPr>
    </w:p>
    <w:p w14:paraId="50C2B29E" w14:textId="77777777" w:rsidR="00386BC5" w:rsidRPr="00E342F1" w:rsidRDefault="00386BC5" w:rsidP="0091312F">
      <w:pPr>
        <w:rPr>
          <w:rStyle w:val="normaltextrun"/>
          <w:rFonts w:ascii="Montserrat SemiBold" w:eastAsiaTheme="majorEastAsia" w:hAnsi="Montserrat SemiBold" w:cstheme="majorBidi"/>
          <w:b/>
          <w:bCs/>
          <w:color w:val="0F4761" w:themeColor="accent1" w:themeShade="BF"/>
          <w:sz w:val="36"/>
          <w:szCs w:val="36"/>
          <w:lang w:val="fr-CA"/>
        </w:rPr>
      </w:pPr>
      <w:r w:rsidRPr="00E342F1">
        <w:rPr>
          <w:rStyle w:val="normaltextrun"/>
          <w:rFonts w:ascii="Montserrat SemiBold" w:eastAsiaTheme="majorEastAsia" w:hAnsi="Montserrat SemiBold" w:cstheme="majorBidi"/>
          <w:b/>
          <w:bCs/>
          <w:color w:val="0F4761" w:themeColor="accent1" w:themeShade="BF"/>
          <w:sz w:val="36"/>
          <w:szCs w:val="36"/>
          <w:lang w:val="fr-CA"/>
        </w:rPr>
        <w:t>Réutilisation du rapport</w:t>
      </w:r>
    </w:p>
    <w:p w14:paraId="597D6B97" w14:textId="76CB8A38" w:rsidR="00D6560F" w:rsidRPr="00E342F1" w:rsidRDefault="00386BC5" w:rsidP="0091312F">
      <w:pPr>
        <w:rPr>
          <w:lang w:val="fr-CA"/>
        </w:rPr>
      </w:pPr>
      <w:r w:rsidRPr="00E342F1">
        <w:rPr>
          <w:rFonts w:eastAsia="Times New Roman"/>
          <w:lang w:val="fr-CA" w:eastAsia="en-CA"/>
        </w:rPr>
        <w:t>Ce rapport est soumis à la licence Creative Commons Attribution 4.0 International. Vous trouverez ci-dessous un résumé de la licence, qui ne la remplace pas. La licence complète peut être consultée à l</w:t>
      </w:r>
      <w:r w:rsidR="00EA3E31" w:rsidRPr="00E342F1">
        <w:rPr>
          <w:rFonts w:eastAsia="Times New Roman"/>
          <w:lang w:val="fr-CA" w:eastAsia="en-CA"/>
        </w:rPr>
        <w:t>’</w:t>
      </w:r>
      <w:r w:rsidRPr="00E342F1">
        <w:rPr>
          <w:rFonts w:eastAsia="Times New Roman"/>
          <w:lang w:val="fr-CA" w:eastAsia="en-CA"/>
        </w:rPr>
        <w:t xml:space="preserve">adresse suivante </w:t>
      </w:r>
      <w:hyperlink r:id="rId18" w:history="1">
        <w:r w:rsidR="0005431F" w:rsidRPr="00E342F1">
          <w:rPr>
            <w:rStyle w:val="Hyperlink"/>
            <w:rFonts w:cs="Calibri"/>
            <w:lang w:val="fr-CA"/>
          </w:rPr>
          <w:t>https://creativecommons.org/licenses/by/4.0/legalcode.fr</w:t>
        </w:r>
      </w:hyperlink>
      <w:r w:rsidR="00D6560F" w:rsidRPr="00E342F1">
        <w:rPr>
          <w:rStyle w:val="normaltextrun"/>
          <w:rFonts w:cs="Calibri"/>
          <w:lang w:val="fr-CA"/>
        </w:rPr>
        <w:t>. </w:t>
      </w:r>
      <w:r w:rsidR="00D6560F" w:rsidRPr="00E342F1">
        <w:rPr>
          <w:rStyle w:val="eop"/>
          <w:rFonts w:cs="Calibri"/>
          <w:lang w:val="fr-CA"/>
        </w:rPr>
        <w:t> </w:t>
      </w:r>
    </w:p>
    <w:p w14:paraId="3B955EDD" w14:textId="0A886606" w:rsidR="00D6560F" w:rsidRPr="00E342F1" w:rsidRDefault="00386BC5" w:rsidP="0091312F">
      <w:pPr>
        <w:rPr>
          <w:lang w:val="fr-CA"/>
        </w:rPr>
      </w:pPr>
      <w:r w:rsidRPr="00E342F1">
        <w:rPr>
          <w:rStyle w:val="normaltextrun"/>
          <w:rFonts w:cs="Calibri"/>
          <w:lang w:val="fr-CA"/>
        </w:rPr>
        <w:t>Vous êtes libre de</w:t>
      </w:r>
      <w:r w:rsidR="008C59C1" w:rsidRPr="00E342F1">
        <w:rPr>
          <w:rStyle w:val="normaltextrun"/>
          <w:rFonts w:cs="Calibri"/>
          <w:lang w:val="fr-CA"/>
        </w:rPr>
        <w:t xml:space="preserve"> </w:t>
      </w:r>
      <w:r w:rsidR="00D6560F" w:rsidRPr="00E342F1">
        <w:rPr>
          <w:rStyle w:val="normaltextrun"/>
          <w:rFonts w:cs="Calibri"/>
          <w:lang w:val="fr-CA"/>
        </w:rPr>
        <w:t>:</w:t>
      </w:r>
    </w:p>
    <w:p w14:paraId="6A7E762B" w14:textId="1D23588E" w:rsidR="00F504EF" w:rsidRPr="00E342F1" w:rsidRDefault="00F504EF" w:rsidP="00F504EF">
      <w:pPr>
        <w:rPr>
          <w:rStyle w:val="normaltextrun"/>
          <w:rFonts w:cs="Calibri"/>
          <w:b/>
          <w:lang w:val="fr-CA"/>
        </w:rPr>
      </w:pPr>
      <w:r w:rsidRPr="00E342F1">
        <w:rPr>
          <w:rStyle w:val="normaltextrun"/>
          <w:rFonts w:cs="Calibri"/>
          <w:b/>
          <w:lang w:val="fr-CA"/>
        </w:rPr>
        <w:t xml:space="preserve">Partager : </w:t>
      </w:r>
      <w:r w:rsidRPr="00E342F1">
        <w:rPr>
          <w:rStyle w:val="normaltextrun"/>
          <w:rFonts w:cs="Calibri"/>
          <w:bCs/>
          <w:lang w:val="fr-CA"/>
        </w:rPr>
        <w:t>copier et redistribuer le matériel sur n</w:t>
      </w:r>
      <w:r w:rsidR="00EA3E31" w:rsidRPr="00E342F1">
        <w:rPr>
          <w:rStyle w:val="normaltextrun"/>
          <w:rFonts w:cs="Calibri"/>
          <w:bCs/>
          <w:lang w:val="fr-CA"/>
        </w:rPr>
        <w:t>’</w:t>
      </w:r>
      <w:r w:rsidRPr="00E342F1">
        <w:rPr>
          <w:rStyle w:val="normaltextrun"/>
          <w:rFonts w:cs="Calibri"/>
          <w:bCs/>
          <w:lang w:val="fr-CA"/>
        </w:rPr>
        <w:t>importe quel support ou dans n</w:t>
      </w:r>
      <w:r w:rsidR="00EA3E31" w:rsidRPr="00E342F1">
        <w:rPr>
          <w:rStyle w:val="normaltextrun"/>
          <w:rFonts w:cs="Calibri"/>
          <w:bCs/>
          <w:lang w:val="fr-CA"/>
        </w:rPr>
        <w:t>’</w:t>
      </w:r>
      <w:r w:rsidRPr="00E342F1">
        <w:rPr>
          <w:rStyle w:val="normaltextrun"/>
          <w:rFonts w:cs="Calibri"/>
          <w:bCs/>
          <w:lang w:val="fr-CA"/>
        </w:rPr>
        <w:t>importe quel format</w:t>
      </w:r>
    </w:p>
    <w:p w14:paraId="108846D6" w14:textId="269D2DBB" w:rsidR="00F504EF" w:rsidRPr="00E342F1" w:rsidRDefault="00F504EF" w:rsidP="00F504EF">
      <w:pPr>
        <w:rPr>
          <w:rStyle w:val="normaltextrun"/>
          <w:rFonts w:cs="Calibri"/>
          <w:b/>
          <w:lang w:val="fr-CA"/>
        </w:rPr>
      </w:pPr>
      <w:r w:rsidRPr="00E342F1">
        <w:rPr>
          <w:rStyle w:val="normaltextrun"/>
          <w:rFonts w:cs="Calibri"/>
          <w:b/>
          <w:lang w:val="fr-CA"/>
        </w:rPr>
        <w:t xml:space="preserve">Adapter : </w:t>
      </w:r>
      <w:r w:rsidRPr="00E342F1">
        <w:rPr>
          <w:rStyle w:val="normaltextrun"/>
          <w:rFonts w:cs="Calibri"/>
          <w:bCs/>
          <w:lang w:val="fr-CA"/>
        </w:rPr>
        <w:t>remixer, transformer et développer le matériel dans n</w:t>
      </w:r>
      <w:r w:rsidR="00EA3E31" w:rsidRPr="00E342F1">
        <w:rPr>
          <w:rStyle w:val="normaltextrun"/>
          <w:rFonts w:cs="Calibri"/>
          <w:bCs/>
          <w:lang w:val="fr-CA"/>
        </w:rPr>
        <w:t>’</w:t>
      </w:r>
      <w:r w:rsidRPr="00E342F1">
        <w:rPr>
          <w:rStyle w:val="normaltextrun"/>
          <w:rFonts w:cs="Calibri"/>
          <w:bCs/>
          <w:lang w:val="fr-CA"/>
        </w:rPr>
        <w:t>importe quel but, même commercial.</w:t>
      </w:r>
    </w:p>
    <w:p w14:paraId="571232D8" w14:textId="77777777" w:rsidR="00F504EF" w:rsidRPr="00E342F1" w:rsidRDefault="00F504EF" w:rsidP="00F504EF">
      <w:pPr>
        <w:rPr>
          <w:rStyle w:val="normaltextrun"/>
          <w:rFonts w:cs="Calibri"/>
          <w:bCs/>
          <w:lang w:val="fr-CA"/>
        </w:rPr>
      </w:pPr>
      <w:r w:rsidRPr="00E342F1">
        <w:rPr>
          <w:rStyle w:val="normaltextrun"/>
          <w:rFonts w:cs="Calibri"/>
          <w:bCs/>
          <w:lang w:val="fr-CA"/>
        </w:rPr>
        <w:t>Le concédant ne peut pas révoquer ces libertés si vous respectez les conditions de la licence. Selon les conditions suivantes :</w:t>
      </w:r>
    </w:p>
    <w:p w14:paraId="70355DA9" w14:textId="75D37739" w:rsidR="00F504EF" w:rsidRPr="00E342F1" w:rsidRDefault="00F504EF" w:rsidP="00F504EF">
      <w:pPr>
        <w:rPr>
          <w:rStyle w:val="normaltextrun"/>
          <w:rFonts w:cs="Calibri"/>
          <w:b/>
          <w:lang w:val="fr-CA"/>
        </w:rPr>
      </w:pPr>
      <w:r w:rsidRPr="00E342F1">
        <w:rPr>
          <w:rStyle w:val="normaltextrun"/>
          <w:rFonts w:cs="Calibri"/>
          <w:b/>
          <w:lang w:val="fr-CA"/>
        </w:rPr>
        <w:t xml:space="preserve">Attribution : </w:t>
      </w:r>
      <w:r w:rsidRPr="00E342F1">
        <w:rPr>
          <w:rStyle w:val="normaltextrun"/>
          <w:rFonts w:cs="Calibri"/>
          <w:bCs/>
          <w:lang w:val="fr-CA"/>
        </w:rPr>
        <w:t>Vous devez donner le crédit approprié, fournir un lien vers la licence et indiquer si des modifications ont été apportées. Vous pouvez le faire de toute manière raisonnable, mais pas d</w:t>
      </w:r>
      <w:r w:rsidR="00EA3E31" w:rsidRPr="00E342F1">
        <w:rPr>
          <w:rStyle w:val="normaltextrun"/>
          <w:rFonts w:cs="Calibri"/>
          <w:bCs/>
          <w:lang w:val="fr-CA"/>
        </w:rPr>
        <w:t>’</w:t>
      </w:r>
      <w:r w:rsidRPr="00E342F1">
        <w:rPr>
          <w:rStyle w:val="normaltextrun"/>
          <w:rFonts w:cs="Calibri"/>
          <w:bCs/>
          <w:lang w:val="fr-CA"/>
        </w:rPr>
        <w:t>une manière qui suggérerait que le concédant vous approuve ou approuve votre utilisation.</w:t>
      </w:r>
    </w:p>
    <w:p w14:paraId="4A570A64" w14:textId="0EEF5291" w:rsidR="00F504EF" w:rsidRPr="00E342F1" w:rsidRDefault="00F504EF" w:rsidP="00F504EF">
      <w:pPr>
        <w:rPr>
          <w:rStyle w:val="normaltextrun"/>
          <w:rFonts w:cs="Calibri"/>
          <w:b/>
          <w:lang w:val="fr-CA"/>
        </w:rPr>
      </w:pPr>
      <w:r w:rsidRPr="00E342F1">
        <w:rPr>
          <w:rStyle w:val="normaltextrun"/>
          <w:rFonts w:cs="Calibri"/>
          <w:b/>
          <w:lang w:val="fr-CA"/>
        </w:rPr>
        <w:t xml:space="preserve">Pas de restrictions supplémentaires : </w:t>
      </w:r>
      <w:r w:rsidRPr="00E342F1">
        <w:rPr>
          <w:rStyle w:val="normaltextrun"/>
          <w:rFonts w:cs="Calibri"/>
          <w:bCs/>
          <w:lang w:val="fr-CA"/>
        </w:rPr>
        <w:t>Vous ne pouvez pas appliquer de conditions juridiques ou de mesures technologiques qui empêchent légalement d</w:t>
      </w:r>
      <w:r w:rsidR="00EA3E31" w:rsidRPr="00E342F1">
        <w:rPr>
          <w:rStyle w:val="normaltextrun"/>
          <w:rFonts w:cs="Calibri"/>
          <w:bCs/>
          <w:lang w:val="fr-CA"/>
        </w:rPr>
        <w:t>’</w:t>
      </w:r>
      <w:r w:rsidRPr="00E342F1">
        <w:rPr>
          <w:rStyle w:val="normaltextrun"/>
          <w:rFonts w:cs="Calibri"/>
          <w:bCs/>
          <w:lang w:val="fr-CA"/>
        </w:rPr>
        <w:t>autres personnes de faire tout ce que la licence autorise.</w:t>
      </w:r>
    </w:p>
    <w:p w14:paraId="6B156D6C" w14:textId="6B6DB325" w:rsidR="00D6560F" w:rsidRPr="00E342F1" w:rsidRDefault="00E86CF5">
      <w:pPr>
        <w:rPr>
          <w:b/>
          <w:bCs/>
          <w:caps/>
          <w:sz w:val="20"/>
          <w:szCs w:val="20"/>
          <w:lang w:val="fr-CA"/>
        </w:rPr>
      </w:pPr>
      <w:r w:rsidRPr="00E342F1">
        <w:rPr>
          <w:caps/>
          <w:lang w:val="fr-CA"/>
        </w:rPr>
        <w:br w:type="page"/>
      </w:r>
    </w:p>
    <w:p w14:paraId="06CBA286" w14:textId="7BEA47ED" w:rsidR="00C55637" w:rsidRPr="00E342F1" w:rsidRDefault="00C55637" w:rsidP="00117333">
      <w:pPr>
        <w:pStyle w:val="Heading1"/>
        <w:ind w:left="432" w:hanging="432"/>
        <w:rPr>
          <w:lang w:val="fr-CA"/>
        </w:rPr>
      </w:pPr>
      <w:bookmarkStart w:id="2" w:name="_Toc179379629"/>
      <w:r w:rsidRPr="00E342F1">
        <w:rPr>
          <w:lang w:val="fr-CA"/>
        </w:rPr>
        <w:t>Contents</w:t>
      </w:r>
      <w:bookmarkEnd w:id="2"/>
    </w:p>
    <w:p w14:paraId="20DEAAA5" w14:textId="5EB00E20" w:rsidR="004B5F06" w:rsidRDefault="00C82398">
      <w:pPr>
        <w:pStyle w:val="TOC1"/>
        <w:rPr>
          <w:rFonts w:eastAsiaTheme="minorEastAsia"/>
          <w:noProof/>
          <w:szCs w:val="24"/>
          <w:lang w:val="en-CA" w:eastAsia="en-CA"/>
        </w:rPr>
      </w:pPr>
      <w:r w:rsidRPr="00E342F1">
        <w:rPr>
          <w:lang w:val="fr-CA"/>
        </w:rPr>
        <w:fldChar w:fldCharType="begin"/>
      </w:r>
      <w:r w:rsidRPr="00E342F1">
        <w:rPr>
          <w:lang w:val="fr-CA"/>
        </w:rPr>
        <w:instrText xml:space="preserve"> TOC \o "1-4" \h \z \u </w:instrText>
      </w:r>
      <w:r w:rsidRPr="00E342F1">
        <w:rPr>
          <w:lang w:val="fr-CA"/>
        </w:rPr>
        <w:fldChar w:fldCharType="separate"/>
      </w:r>
      <w:hyperlink w:anchor="_Toc179379630" w:history="1">
        <w:r w:rsidR="004B5F06" w:rsidRPr="00A975A2">
          <w:rPr>
            <w:rStyle w:val="Hyperlink"/>
            <w:noProof/>
            <w:lang w:val="fr-CA"/>
          </w:rPr>
          <w:t>1.</w:t>
        </w:r>
        <w:r w:rsidR="004B5F06">
          <w:rPr>
            <w:rFonts w:eastAsiaTheme="minorEastAsia"/>
            <w:noProof/>
            <w:szCs w:val="24"/>
            <w:lang w:val="en-CA" w:eastAsia="en-CA"/>
          </w:rPr>
          <w:tab/>
        </w:r>
        <w:r w:rsidR="004B5F06" w:rsidRPr="00A975A2">
          <w:rPr>
            <w:rStyle w:val="Hyperlink"/>
            <w:noProof/>
            <w:lang w:val="fr-CA"/>
          </w:rPr>
          <w:t>Aperçu du projet</w:t>
        </w:r>
        <w:r w:rsidR="004B5F06">
          <w:rPr>
            <w:noProof/>
            <w:webHidden/>
          </w:rPr>
          <w:tab/>
        </w:r>
        <w:r w:rsidR="004B5F06">
          <w:rPr>
            <w:noProof/>
            <w:webHidden/>
          </w:rPr>
          <w:fldChar w:fldCharType="begin"/>
        </w:r>
        <w:r w:rsidR="004B5F06">
          <w:rPr>
            <w:noProof/>
            <w:webHidden/>
          </w:rPr>
          <w:instrText xml:space="preserve"> PAGEREF _Toc179379630 \h </w:instrText>
        </w:r>
        <w:r w:rsidR="004B5F06">
          <w:rPr>
            <w:noProof/>
            <w:webHidden/>
          </w:rPr>
        </w:r>
        <w:r w:rsidR="004B5F06">
          <w:rPr>
            <w:noProof/>
            <w:webHidden/>
          </w:rPr>
          <w:fldChar w:fldCharType="separate"/>
        </w:r>
        <w:r w:rsidR="004B5F06">
          <w:rPr>
            <w:noProof/>
            <w:webHidden/>
          </w:rPr>
          <w:t>6</w:t>
        </w:r>
        <w:r w:rsidR="004B5F06">
          <w:rPr>
            <w:noProof/>
            <w:webHidden/>
          </w:rPr>
          <w:fldChar w:fldCharType="end"/>
        </w:r>
      </w:hyperlink>
    </w:p>
    <w:p w14:paraId="19454CA4" w14:textId="6DC22949" w:rsidR="004B5F06" w:rsidRDefault="004B5F06">
      <w:pPr>
        <w:pStyle w:val="TOC2"/>
        <w:rPr>
          <w:rFonts w:eastAsiaTheme="minorEastAsia"/>
          <w:szCs w:val="24"/>
          <w:lang w:eastAsia="en-CA"/>
        </w:rPr>
      </w:pPr>
      <w:hyperlink w:anchor="_Toc179379631" w:history="1">
        <w:r w:rsidRPr="00A975A2">
          <w:rPr>
            <w:rStyle w:val="Hyperlink"/>
            <w:lang w:val="fr-CA"/>
          </w:rPr>
          <w:t>1.1</w:t>
        </w:r>
        <w:r>
          <w:rPr>
            <w:rFonts w:eastAsiaTheme="minorEastAsia"/>
            <w:szCs w:val="24"/>
            <w:lang w:eastAsia="en-CA"/>
          </w:rPr>
          <w:tab/>
        </w:r>
        <w:r w:rsidRPr="00A975A2">
          <w:rPr>
            <w:rStyle w:val="Hyperlink"/>
            <w:lang w:val="fr-CA"/>
          </w:rPr>
          <w:t>Objectifs du projet</w:t>
        </w:r>
        <w:r>
          <w:rPr>
            <w:webHidden/>
          </w:rPr>
          <w:tab/>
        </w:r>
        <w:r>
          <w:rPr>
            <w:webHidden/>
          </w:rPr>
          <w:fldChar w:fldCharType="begin"/>
        </w:r>
        <w:r>
          <w:rPr>
            <w:webHidden/>
          </w:rPr>
          <w:instrText xml:space="preserve"> PAGEREF _Toc179379631 \h </w:instrText>
        </w:r>
        <w:r>
          <w:rPr>
            <w:webHidden/>
          </w:rPr>
        </w:r>
        <w:r>
          <w:rPr>
            <w:webHidden/>
          </w:rPr>
          <w:fldChar w:fldCharType="separate"/>
        </w:r>
        <w:r>
          <w:rPr>
            <w:webHidden/>
          </w:rPr>
          <w:t>7</w:t>
        </w:r>
        <w:r>
          <w:rPr>
            <w:webHidden/>
          </w:rPr>
          <w:fldChar w:fldCharType="end"/>
        </w:r>
      </w:hyperlink>
    </w:p>
    <w:p w14:paraId="1299FB1C" w14:textId="4AB00269" w:rsidR="004B5F06" w:rsidRDefault="004B5F06">
      <w:pPr>
        <w:pStyle w:val="TOC2"/>
        <w:rPr>
          <w:rFonts w:eastAsiaTheme="minorEastAsia"/>
          <w:szCs w:val="24"/>
          <w:lang w:eastAsia="en-CA"/>
        </w:rPr>
      </w:pPr>
      <w:hyperlink w:anchor="_Toc179379632" w:history="1">
        <w:r w:rsidRPr="00A975A2">
          <w:rPr>
            <w:rStyle w:val="Hyperlink"/>
            <w:lang w:val="fr-CA"/>
          </w:rPr>
          <w:t>1.2</w:t>
        </w:r>
        <w:r>
          <w:rPr>
            <w:rFonts w:eastAsiaTheme="minorEastAsia"/>
            <w:szCs w:val="24"/>
            <w:lang w:eastAsia="en-CA"/>
          </w:rPr>
          <w:tab/>
        </w:r>
        <w:r w:rsidRPr="00A975A2">
          <w:rPr>
            <w:rStyle w:val="Hyperlink"/>
            <w:lang w:val="fr-CA"/>
          </w:rPr>
          <w:t>Les défis du Projet</w:t>
        </w:r>
        <w:r>
          <w:rPr>
            <w:webHidden/>
          </w:rPr>
          <w:tab/>
        </w:r>
        <w:r>
          <w:rPr>
            <w:webHidden/>
          </w:rPr>
          <w:fldChar w:fldCharType="begin"/>
        </w:r>
        <w:r>
          <w:rPr>
            <w:webHidden/>
          </w:rPr>
          <w:instrText xml:space="preserve"> PAGEREF _Toc179379632 \h </w:instrText>
        </w:r>
        <w:r>
          <w:rPr>
            <w:webHidden/>
          </w:rPr>
        </w:r>
        <w:r>
          <w:rPr>
            <w:webHidden/>
          </w:rPr>
          <w:fldChar w:fldCharType="separate"/>
        </w:r>
        <w:r>
          <w:rPr>
            <w:webHidden/>
          </w:rPr>
          <w:t>7</w:t>
        </w:r>
        <w:r>
          <w:rPr>
            <w:webHidden/>
          </w:rPr>
          <w:fldChar w:fldCharType="end"/>
        </w:r>
      </w:hyperlink>
    </w:p>
    <w:p w14:paraId="3843183F" w14:textId="397AC075" w:rsidR="004B5F06" w:rsidRDefault="004B5F06">
      <w:pPr>
        <w:pStyle w:val="TOC1"/>
        <w:rPr>
          <w:rFonts w:eastAsiaTheme="minorEastAsia"/>
          <w:noProof/>
          <w:szCs w:val="24"/>
          <w:lang w:val="en-CA" w:eastAsia="en-CA"/>
        </w:rPr>
      </w:pPr>
      <w:hyperlink w:anchor="_Toc179379633" w:history="1">
        <w:r w:rsidRPr="00A975A2">
          <w:rPr>
            <w:rStyle w:val="Hyperlink"/>
            <w:noProof/>
            <w:lang w:val="fr-CA"/>
          </w:rPr>
          <w:t>2.</w:t>
        </w:r>
        <w:r>
          <w:rPr>
            <w:rFonts w:eastAsiaTheme="minorEastAsia"/>
            <w:noProof/>
            <w:szCs w:val="24"/>
            <w:lang w:val="en-CA" w:eastAsia="en-CA"/>
          </w:rPr>
          <w:tab/>
        </w:r>
        <w:r w:rsidRPr="00A975A2">
          <w:rPr>
            <w:rStyle w:val="Hyperlink"/>
            <w:noProof/>
            <w:lang w:val="fr-CA"/>
          </w:rPr>
          <w:t>Co-recherche : Obstacles et régulations</w:t>
        </w:r>
        <w:r>
          <w:rPr>
            <w:noProof/>
            <w:webHidden/>
          </w:rPr>
          <w:tab/>
        </w:r>
        <w:r>
          <w:rPr>
            <w:noProof/>
            <w:webHidden/>
          </w:rPr>
          <w:fldChar w:fldCharType="begin"/>
        </w:r>
        <w:r>
          <w:rPr>
            <w:noProof/>
            <w:webHidden/>
          </w:rPr>
          <w:instrText xml:space="preserve"> PAGEREF _Toc179379633 \h </w:instrText>
        </w:r>
        <w:r>
          <w:rPr>
            <w:noProof/>
            <w:webHidden/>
          </w:rPr>
        </w:r>
        <w:r>
          <w:rPr>
            <w:noProof/>
            <w:webHidden/>
          </w:rPr>
          <w:fldChar w:fldCharType="separate"/>
        </w:r>
        <w:r>
          <w:rPr>
            <w:noProof/>
            <w:webHidden/>
          </w:rPr>
          <w:t>8</w:t>
        </w:r>
        <w:r>
          <w:rPr>
            <w:noProof/>
            <w:webHidden/>
          </w:rPr>
          <w:fldChar w:fldCharType="end"/>
        </w:r>
      </w:hyperlink>
    </w:p>
    <w:p w14:paraId="0105EFC6" w14:textId="682D5C84" w:rsidR="004B5F06" w:rsidRDefault="004B5F06">
      <w:pPr>
        <w:pStyle w:val="TOC2"/>
        <w:rPr>
          <w:rFonts w:eastAsiaTheme="minorEastAsia"/>
          <w:szCs w:val="24"/>
          <w:lang w:eastAsia="en-CA"/>
        </w:rPr>
      </w:pPr>
      <w:hyperlink w:anchor="_Toc179379634" w:history="1">
        <w:r w:rsidRPr="00A975A2">
          <w:rPr>
            <w:rStyle w:val="Hyperlink"/>
            <w:lang w:val="fr-CA"/>
          </w:rPr>
          <w:t>2.1</w:t>
        </w:r>
        <w:r>
          <w:rPr>
            <w:rFonts w:eastAsiaTheme="minorEastAsia"/>
            <w:szCs w:val="24"/>
            <w:lang w:eastAsia="en-CA"/>
          </w:rPr>
          <w:tab/>
        </w:r>
        <w:r w:rsidRPr="00A975A2">
          <w:rPr>
            <w:rStyle w:val="Hyperlink"/>
            <w:lang w:val="fr-CA"/>
          </w:rPr>
          <w:t>Questions de co-recherche</w:t>
        </w:r>
        <w:r>
          <w:rPr>
            <w:webHidden/>
          </w:rPr>
          <w:tab/>
        </w:r>
        <w:r>
          <w:rPr>
            <w:webHidden/>
          </w:rPr>
          <w:fldChar w:fldCharType="begin"/>
        </w:r>
        <w:r>
          <w:rPr>
            <w:webHidden/>
          </w:rPr>
          <w:instrText xml:space="preserve"> PAGEREF _Toc179379634 \h </w:instrText>
        </w:r>
        <w:r>
          <w:rPr>
            <w:webHidden/>
          </w:rPr>
        </w:r>
        <w:r>
          <w:rPr>
            <w:webHidden/>
          </w:rPr>
          <w:fldChar w:fldCharType="separate"/>
        </w:r>
        <w:r>
          <w:rPr>
            <w:webHidden/>
          </w:rPr>
          <w:t>9</w:t>
        </w:r>
        <w:r>
          <w:rPr>
            <w:webHidden/>
          </w:rPr>
          <w:fldChar w:fldCharType="end"/>
        </w:r>
      </w:hyperlink>
    </w:p>
    <w:p w14:paraId="5BCC2BF6" w14:textId="5AA485F7" w:rsidR="004B5F06" w:rsidRDefault="004B5F06">
      <w:pPr>
        <w:pStyle w:val="TOC2"/>
        <w:rPr>
          <w:rFonts w:eastAsiaTheme="minorEastAsia"/>
          <w:szCs w:val="24"/>
          <w:lang w:eastAsia="en-CA"/>
        </w:rPr>
      </w:pPr>
      <w:hyperlink w:anchor="_Toc179379635" w:history="1">
        <w:r w:rsidRPr="00A975A2">
          <w:rPr>
            <w:rStyle w:val="Hyperlink"/>
            <w:lang w:val="fr-CA"/>
          </w:rPr>
          <w:t>2.2</w:t>
        </w:r>
        <w:r>
          <w:rPr>
            <w:rFonts w:eastAsiaTheme="minorEastAsia"/>
            <w:szCs w:val="24"/>
            <w:lang w:eastAsia="en-CA"/>
          </w:rPr>
          <w:tab/>
        </w:r>
        <w:r w:rsidRPr="00A975A2">
          <w:rPr>
            <w:rStyle w:val="Hyperlink"/>
            <w:lang w:val="fr-CA"/>
          </w:rPr>
          <w:t>Co-chercheurs</w:t>
        </w:r>
        <w:r>
          <w:rPr>
            <w:webHidden/>
          </w:rPr>
          <w:tab/>
        </w:r>
        <w:r>
          <w:rPr>
            <w:webHidden/>
          </w:rPr>
          <w:fldChar w:fldCharType="begin"/>
        </w:r>
        <w:r>
          <w:rPr>
            <w:webHidden/>
          </w:rPr>
          <w:instrText xml:space="preserve"> PAGEREF _Toc179379635 \h </w:instrText>
        </w:r>
        <w:r>
          <w:rPr>
            <w:webHidden/>
          </w:rPr>
        </w:r>
        <w:r>
          <w:rPr>
            <w:webHidden/>
          </w:rPr>
          <w:fldChar w:fldCharType="separate"/>
        </w:r>
        <w:r>
          <w:rPr>
            <w:webHidden/>
          </w:rPr>
          <w:t>10</w:t>
        </w:r>
        <w:r>
          <w:rPr>
            <w:webHidden/>
          </w:rPr>
          <w:fldChar w:fldCharType="end"/>
        </w:r>
      </w:hyperlink>
    </w:p>
    <w:p w14:paraId="42BF5C94" w14:textId="5F4B06F9" w:rsidR="004B5F06" w:rsidRDefault="004B5F06">
      <w:pPr>
        <w:pStyle w:val="TOC2"/>
        <w:rPr>
          <w:rFonts w:eastAsiaTheme="minorEastAsia"/>
          <w:szCs w:val="24"/>
          <w:lang w:eastAsia="en-CA"/>
        </w:rPr>
      </w:pPr>
      <w:hyperlink w:anchor="_Toc179379636" w:history="1">
        <w:r w:rsidRPr="00A975A2">
          <w:rPr>
            <w:rStyle w:val="Hyperlink"/>
            <w:lang w:val="fr-CA"/>
          </w:rPr>
          <w:t>2.3</w:t>
        </w:r>
        <w:r>
          <w:rPr>
            <w:rFonts w:eastAsiaTheme="minorEastAsia"/>
            <w:szCs w:val="24"/>
            <w:lang w:eastAsia="en-CA"/>
          </w:rPr>
          <w:tab/>
        </w:r>
        <w:r w:rsidRPr="00A975A2">
          <w:rPr>
            <w:rStyle w:val="Hyperlink"/>
            <w:lang w:val="fr-CA"/>
          </w:rPr>
          <w:t>Activités de co-recherche</w:t>
        </w:r>
        <w:r>
          <w:rPr>
            <w:webHidden/>
          </w:rPr>
          <w:tab/>
        </w:r>
        <w:r>
          <w:rPr>
            <w:webHidden/>
          </w:rPr>
          <w:fldChar w:fldCharType="begin"/>
        </w:r>
        <w:r>
          <w:rPr>
            <w:webHidden/>
          </w:rPr>
          <w:instrText xml:space="preserve"> PAGEREF _Toc179379636 \h </w:instrText>
        </w:r>
        <w:r>
          <w:rPr>
            <w:webHidden/>
          </w:rPr>
        </w:r>
        <w:r>
          <w:rPr>
            <w:webHidden/>
          </w:rPr>
          <w:fldChar w:fldCharType="separate"/>
        </w:r>
        <w:r>
          <w:rPr>
            <w:webHidden/>
          </w:rPr>
          <w:t>10</w:t>
        </w:r>
        <w:r>
          <w:rPr>
            <w:webHidden/>
          </w:rPr>
          <w:fldChar w:fldCharType="end"/>
        </w:r>
      </w:hyperlink>
    </w:p>
    <w:p w14:paraId="424F6166" w14:textId="65A5F44B" w:rsidR="004B5F06" w:rsidRDefault="004B5F06">
      <w:pPr>
        <w:pStyle w:val="TOC3"/>
        <w:rPr>
          <w:rFonts w:eastAsiaTheme="minorEastAsia"/>
          <w:i w:val="0"/>
          <w:iCs w:val="0"/>
          <w:szCs w:val="24"/>
          <w:lang w:eastAsia="en-CA"/>
        </w:rPr>
      </w:pPr>
      <w:hyperlink w:anchor="_Toc179379637" w:history="1">
        <w:r w:rsidRPr="00A975A2">
          <w:rPr>
            <w:rStyle w:val="Hyperlink"/>
            <w:lang w:val="fr-CA"/>
          </w:rPr>
          <w:t>2.3.1</w:t>
        </w:r>
        <w:r>
          <w:rPr>
            <w:rFonts w:eastAsiaTheme="minorEastAsia"/>
            <w:i w:val="0"/>
            <w:iCs w:val="0"/>
            <w:szCs w:val="24"/>
            <w:lang w:eastAsia="en-CA"/>
          </w:rPr>
          <w:tab/>
        </w:r>
        <w:r w:rsidRPr="00A975A2">
          <w:rPr>
            <w:rStyle w:val="Hyperlink"/>
            <w:lang w:val="fr-CA"/>
          </w:rPr>
          <w:t>Session 1 : Réflexion et partage</w:t>
        </w:r>
        <w:r>
          <w:rPr>
            <w:webHidden/>
          </w:rPr>
          <w:tab/>
        </w:r>
        <w:r>
          <w:rPr>
            <w:webHidden/>
          </w:rPr>
          <w:fldChar w:fldCharType="begin"/>
        </w:r>
        <w:r>
          <w:rPr>
            <w:webHidden/>
          </w:rPr>
          <w:instrText xml:space="preserve"> PAGEREF _Toc179379637 \h </w:instrText>
        </w:r>
        <w:r>
          <w:rPr>
            <w:webHidden/>
          </w:rPr>
        </w:r>
        <w:r>
          <w:rPr>
            <w:webHidden/>
          </w:rPr>
          <w:fldChar w:fldCharType="separate"/>
        </w:r>
        <w:r>
          <w:rPr>
            <w:webHidden/>
          </w:rPr>
          <w:t>11</w:t>
        </w:r>
        <w:r>
          <w:rPr>
            <w:webHidden/>
          </w:rPr>
          <w:fldChar w:fldCharType="end"/>
        </w:r>
      </w:hyperlink>
    </w:p>
    <w:p w14:paraId="7A585267" w14:textId="6FB110C9" w:rsidR="004B5F06" w:rsidRDefault="004B5F06">
      <w:pPr>
        <w:pStyle w:val="TOC3"/>
        <w:rPr>
          <w:rFonts w:eastAsiaTheme="minorEastAsia"/>
          <w:i w:val="0"/>
          <w:iCs w:val="0"/>
          <w:szCs w:val="24"/>
          <w:lang w:eastAsia="en-CA"/>
        </w:rPr>
      </w:pPr>
      <w:hyperlink w:anchor="_Toc179379638" w:history="1">
        <w:r w:rsidRPr="00A975A2">
          <w:rPr>
            <w:rStyle w:val="Hyperlink"/>
            <w:lang w:val="fr-CA"/>
          </w:rPr>
          <w:t>2.3.2</w:t>
        </w:r>
        <w:r>
          <w:rPr>
            <w:rFonts w:eastAsiaTheme="minorEastAsia"/>
            <w:i w:val="0"/>
            <w:iCs w:val="0"/>
            <w:szCs w:val="24"/>
            <w:lang w:eastAsia="en-CA"/>
          </w:rPr>
          <w:tab/>
        </w:r>
        <w:r w:rsidRPr="00A975A2">
          <w:rPr>
            <w:rStyle w:val="Hyperlink"/>
            <w:lang w:val="fr-CA"/>
          </w:rPr>
          <w:t>Session 2 : Discussion</w:t>
        </w:r>
        <w:r>
          <w:rPr>
            <w:webHidden/>
          </w:rPr>
          <w:tab/>
        </w:r>
        <w:r>
          <w:rPr>
            <w:webHidden/>
          </w:rPr>
          <w:fldChar w:fldCharType="begin"/>
        </w:r>
        <w:r>
          <w:rPr>
            <w:webHidden/>
          </w:rPr>
          <w:instrText xml:space="preserve"> PAGEREF _Toc179379638 \h </w:instrText>
        </w:r>
        <w:r>
          <w:rPr>
            <w:webHidden/>
          </w:rPr>
        </w:r>
        <w:r>
          <w:rPr>
            <w:webHidden/>
          </w:rPr>
          <w:fldChar w:fldCharType="separate"/>
        </w:r>
        <w:r>
          <w:rPr>
            <w:webHidden/>
          </w:rPr>
          <w:t>11</w:t>
        </w:r>
        <w:r>
          <w:rPr>
            <w:webHidden/>
          </w:rPr>
          <w:fldChar w:fldCharType="end"/>
        </w:r>
      </w:hyperlink>
    </w:p>
    <w:p w14:paraId="295E3D25" w14:textId="49AE6A8A" w:rsidR="004B5F06" w:rsidRDefault="004B5F06">
      <w:pPr>
        <w:pStyle w:val="TOC3"/>
        <w:rPr>
          <w:rFonts w:eastAsiaTheme="minorEastAsia"/>
          <w:i w:val="0"/>
          <w:iCs w:val="0"/>
          <w:szCs w:val="24"/>
          <w:lang w:eastAsia="en-CA"/>
        </w:rPr>
      </w:pPr>
      <w:hyperlink w:anchor="_Toc179379639" w:history="1">
        <w:r w:rsidRPr="00A975A2">
          <w:rPr>
            <w:rStyle w:val="Hyperlink"/>
            <w:lang w:val="fr-CA"/>
          </w:rPr>
          <w:t>2.3.3</w:t>
        </w:r>
        <w:r>
          <w:rPr>
            <w:rFonts w:eastAsiaTheme="minorEastAsia"/>
            <w:i w:val="0"/>
            <w:iCs w:val="0"/>
            <w:szCs w:val="24"/>
            <w:lang w:eastAsia="en-CA"/>
          </w:rPr>
          <w:tab/>
        </w:r>
        <w:r w:rsidRPr="00A975A2">
          <w:rPr>
            <w:rStyle w:val="Hyperlink"/>
            <w:lang w:val="fr-CA"/>
          </w:rPr>
          <w:t>Session 3 : Analyse et examen</w:t>
        </w:r>
        <w:r>
          <w:rPr>
            <w:webHidden/>
          </w:rPr>
          <w:tab/>
        </w:r>
        <w:r>
          <w:rPr>
            <w:webHidden/>
          </w:rPr>
          <w:fldChar w:fldCharType="begin"/>
        </w:r>
        <w:r>
          <w:rPr>
            <w:webHidden/>
          </w:rPr>
          <w:instrText xml:space="preserve"> PAGEREF _Toc179379639 \h </w:instrText>
        </w:r>
        <w:r>
          <w:rPr>
            <w:webHidden/>
          </w:rPr>
        </w:r>
        <w:r>
          <w:rPr>
            <w:webHidden/>
          </w:rPr>
          <w:fldChar w:fldCharType="separate"/>
        </w:r>
        <w:r>
          <w:rPr>
            <w:webHidden/>
          </w:rPr>
          <w:t>11</w:t>
        </w:r>
        <w:r>
          <w:rPr>
            <w:webHidden/>
          </w:rPr>
          <w:fldChar w:fldCharType="end"/>
        </w:r>
      </w:hyperlink>
    </w:p>
    <w:p w14:paraId="1F5C7482" w14:textId="4F6A0204" w:rsidR="004B5F06" w:rsidRDefault="004B5F06">
      <w:pPr>
        <w:pStyle w:val="TOC2"/>
        <w:rPr>
          <w:rFonts w:eastAsiaTheme="minorEastAsia"/>
          <w:szCs w:val="24"/>
          <w:lang w:eastAsia="en-CA"/>
        </w:rPr>
      </w:pPr>
      <w:hyperlink w:anchor="_Toc179379640" w:history="1">
        <w:r w:rsidRPr="00A975A2">
          <w:rPr>
            <w:rStyle w:val="Hyperlink"/>
            <w:lang w:val="fr-CA"/>
          </w:rPr>
          <w:t>2.4</w:t>
        </w:r>
        <w:r>
          <w:rPr>
            <w:rFonts w:eastAsiaTheme="minorEastAsia"/>
            <w:szCs w:val="24"/>
            <w:lang w:eastAsia="en-CA"/>
          </w:rPr>
          <w:tab/>
        </w:r>
        <w:r w:rsidRPr="00A975A2">
          <w:rPr>
            <w:rStyle w:val="Hyperlink"/>
            <w:lang w:val="fr-CA"/>
          </w:rPr>
          <w:t>Résultats de la co-recherche</w:t>
        </w:r>
        <w:r>
          <w:rPr>
            <w:webHidden/>
          </w:rPr>
          <w:tab/>
        </w:r>
        <w:r>
          <w:rPr>
            <w:webHidden/>
          </w:rPr>
          <w:fldChar w:fldCharType="begin"/>
        </w:r>
        <w:r>
          <w:rPr>
            <w:webHidden/>
          </w:rPr>
          <w:instrText xml:space="preserve"> PAGEREF _Toc179379640 \h </w:instrText>
        </w:r>
        <w:r>
          <w:rPr>
            <w:webHidden/>
          </w:rPr>
        </w:r>
        <w:r>
          <w:rPr>
            <w:webHidden/>
          </w:rPr>
          <w:fldChar w:fldCharType="separate"/>
        </w:r>
        <w:r>
          <w:rPr>
            <w:webHidden/>
          </w:rPr>
          <w:t>12</w:t>
        </w:r>
        <w:r>
          <w:rPr>
            <w:webHidden/>
          </w:rPr>
          <w:fldChar w:fldCharType="end"/>
        </w:r>
      </w:hyperlink>
    </w:p>
    <w:p w14:paraId="38EE5E51" w14:textId="7BAA20ED" w:rsidR="004B5F06" w:rsidRDefault="004B5F06">
      <w:pPr>
        <w:pStyle w:val="TOC3"/>
        <w:rPr>
          <w:rFonts w:eastAsiaTheme="minorEastAsia"/>
          <w:i w:val="0"/>
          <w:iCs w:val="0"/>
          <w:szCs w:val="24"/>
          <w:lang w:eastAsia="en-CA"/>
        </w:rPr>
      </w:pPr>
      <w:hyperlink w:anchor="_Toc179379641" w:history="1">
        <w:r w:rsidRPr="00A975A2">
          <w:rPr>
            <w:rStyle w:val="Hyperlink"/>
            <w:lang w:val="fr-CA"/>
          </w:rPr>
          <w:t>2.4.1</w:t>
        </w:r>
        <w:r>
          <w:rPr>
            <w:rFonts w:eastAsiaTheme="minorEastAsia"/>
            <w:i w:val="0"/>
            <w:iCs w:val="0"/>
            <w:szCs w:val="24"/>
            <w:lang w:eastAsia="en-CA"/>
          </w:rPr>
          <w:tab/>
        </w:r>
        <w:r w:rsidRPr="00A975A2">
          <w:rPr>
            <w:rStyle w:val="Hyperlink"/>
            <w:lang w:val="fr-CA"/>
          </w:rPr>
          <w:t>Répondre à des besoins d’accessibilité divers et complexes</w:t>
        </w:r>
        <w:r>
          <w:rPr>
            <w:webHidden/>
          </w:rPr>
          <w:tab/>
        </w:r>
        <w:r>
          <w:rPr>
            <w:webHidden/>
          </w:rPr>
          <w:fldChar w:fldCharType="begin"/>
        </w:r>
        <w:r>
          <w:rPr>
            <w:webHidden/>
          </w:rPr>
          <w:instrText xml:space="preserve"> PAGEREF _Toc179379641 \h </w:instrText>
        </w:r>
        <w:r>
          <w:rPr>
            <w:webHidden/>
          </w:rPr>
        </w:r>
        <w:r>
          <w:rPr>
            <w:webHidden/>
          </w:rPr>
          <w:fldChar w:fldCharType="separate"/>
        </w:r>
        <w:r>
          <w:rPr>
            <w:webHidden/>
          </w:rPr>
          <w:t>12</w:t>
        </w:r>
        <w:r>
          <w:rPr>
            <w:webHidden/>
          </w:rPr>
          <w:fldChar w:fldCharType="end"/>
        </w:r>
      </w:hyperlink>
    </w:p>
    <w:p w14:paraId="2BA52105" w14:textId="5F1A6ACB" w:rsidR="004B5F06" w:rsidRDefault="004B5F06">
      <w:pPr>
        <w:pStyle w:val="TOC4"/>
        <w:rPr>
          <w:rFonts w:eastAsiaTheme="minorEastAsia"/>
          <w:szCs w:val="24"/>
          <w:lang w:eastAsia="en-CA"/>
        </w:rPr>
      </w:pPr>
      <w:hyperlink w:anchor="_Toc179379642" w:history="1">
        <w:r w:rsidRPr="00A975A2">
          <w:rPr>
            <w:rStyle w:val="Hyperlink"/>
            <w:lang w:val="fr-CA"/>
          </w:rPr>
          <w:t>2.4.1.1</w:t>
        </w:r>
        <w:r>
          <w:rPr>
            <w:rFonts w:eastAsiaTheme="minorEastAsia"/>
            <w:szCs w:val="24"/>
            <w:lang w:eastAsia="en-CA"/>
          </w:rPr>
          <w:tab/>
        </w:r>
        <w:r w:rsidRPr="00A975A2">
          <w:rPr>
            <w:rStyle w:val="Hyperlink"/>
            <w:lang w:val="fr-CA"/>
          </w:rPr>
          <w:t>Participation des personnes ayant une expérience vécue de l’incapacité tout au long du cycle de développement technologique</w:t>
        </w:r>
        <w:r>
          <w:rPr>
            <w:webHidden/>
          </w:rPr>
          <w:tab/>
        </w:r>
        <w:r>
          <w:rPr>
            <w:webHidden/>
          </w:rPr>
          <w:fldChar w:fldCharType="begin"/>
        </w:r>
        <w:r>
          <w:rPr>
            <w:webHidden/>
          </w:rPr>
          <w:instrText xml:space="preserve"> PAGEREF _Toc179379642 \h </w:instrText>
        </w:r>
        <w:r>
          <w:rPr>
            <w:webHidden/>
          </w:rPr>
        </w:r>
        <w:r>
          <w:rPr>
            <w:webHidden/>
          </w:rPr>
          <w:fldChar w:fldCharType="separate"/>
        </w:r>
        <w:r>
          <w:rPr>
            <w:webHidden/>
          </w:rPr>
          <w:t>13</w:t>
        </w:r>
        <w:r>
          <w:rPr>
            <w:webHidden/>
          </w:rPr>
          <w:fldChar w:fldCharType="end"/>
        </w:r>
      </w:hyperlink>
    </w:p>
    <w:p w14:paraId="78F07D40" w14:textId="26645A52" w:rsidR="004B5F06" w:rsidRDefault="004B5F06">
      <w:pPr>
        <w:pStyle w:val="TOC4"/>
        <w:rPr>
          <w:rFonts w:eastAsiaTheme="minorEastAsia"/>
          <w:szCs w:val="24"/>
          <w:lang w:eastAsia="en-CA"/>
        </w:rPr>
      </w:pPr>
      <w:hyperlink w:anchor="_Toc179379643" w:history="1">
        <w:r w:rsidRPr="00A975A2">
          <w:rPr>
            <w:rStyle w:val="Hyperlink"/>
            <w:lang w:val="fr-CA"/>
          </w:rPr>
          <w:t>2.4.1.2</w:t>
        </w:r>
        <w:r>
          <w:rPr>
            <w:rFonts w:eastAsiaTheme="minorEastAsia"/>
            <w:szCs w:val="24"/>
            <w:lang w:eastAsia="en-CA"/>
          </w:rPr>
          <w:tab/>
        </w:r>
        <w:r w:rsidRPr="00A975A2">
          <w:rPr>
            <w:rStyle w:val="Hyperlink"/>
            <w:lang w:val="fr-CA"/>
          </w:rPr>
          <w:t>Mettre l’accent sur l’aspect humain de l’accessibilité</w:t>
        </w:r>
        <w:r>
          <w:rPr>
            <w:webHidden/>
          </w:rPr>
          <w:tab/>
        </w:r>
        <w:r>
          <w:rPr>
            <w:webHidden/>
          </w:rPr>
          <w:fldChar w:fldCharType="begin"/>
        </w:r>
        <w:r>
          <w:rPr>
            <w:webHidden/>
          </w:rPr>
          <w:instrText xml:space="preserve"> PAGEREF _Toc179379643 \h </w:instrText>
        </w:r>
        <w:r>
          <w:rPr>
            <w:webHidden/>
          </w:rPr>
        </w:r>
        <w:r>
          <w:rPr>
            <w:webHidden/>
          </w:rPr>
          <w:fldChar w:fldCharType="separate"/>
        </w:r>
        <w:r>
          <w:rPr>
            <w:webHidden/>
          </w:rPr>
          <w:t>13</w:t>
        </w:r>
        <w:r>
          <w:rPr>
            <w:webHidden/>
          </w:rPr>
          <w:fldChar w:fldCharType="end"/>
        </w:r>
      </w:hyperlink>
    </w:p>
    <w:p w14:paraId="3D02088C" w14:textId="662CAD94" w:rsidR="004B5F06" w:rsidRDefault="004B5F06">
      <w:pPr>
        <w:pStyle w:val="TOC4"/>
        <w:rPr>
          <w:rFonts w:eastAsiaTheme="minorEastAsia"/>
          <w:szCs w:val="24"/>
          <w:lang w:eastAsia="en-CA"/>
        </w:rPr>
      </w:pPr>
      <w:hyperlink w:anchor="_Toc179379644" w:history="1">
        <w:r w:rsidRPr="00A975A2">
          <w:rPr>
            <w:rStyle w:val="Hyperlink"/>
            <w:lang w:val="fr-CA"/>
          </w:rPr>
          <w:t>2.4.1.3</w:t>
        </w:r>
        <w:r>
          <w:rPr>
            <w:rFonts w:eastAsiaTheme="minorEastAsia"/>
            <w:szCs w:val="24"/>
            <w:lang w:eastAsia="en-CA"/>
          </w:rPr>
          <w:tab/>
        </w:r>
        <w:r w:rsidRPr="00A975A2">
          <w:rPr>
            <w:rStyle w:val="Hyperlink"/>
            <w:lang w:val="fr-CA"/>
          </w:rPr>
          <w:t>Conceptions et interfaces flexibles et personnalisables</w:t>
        </w:r>
        <w:r>
          <w:rPr>
            <w:webHidden/>
          </w:rPr>
          <w:tab/>
        </w:r>
        <w:r>
          <w:rPr>
            <w:webHidden/>
          </w:rPr>
          <w:fldChar w:fldCharType="begin"/>
        </w:r>
        <w:r>
          <w:rPr>
            <w:webHidden/>
          </w:rPr>
          <w:instrText xml:space="preserve"> PAGEREF _Toc179379644 \h </w:instrText>
        </w:r>
        <w:r>
          <w:rPr>
            <w:webHidden/>
          </w:rPr>
        </w:r>
        <w:r>
          <w:rPr>
            <w:webHidden/>
          </w:rPr>
          <w:fldChar w:fldCharType="separate"/>
        </w:r>
        <w:r>
          <w:rPr>
            <w:webHidden/>
          </w:rPr>
          <w:t>13</w:t>
        </w:r>
        <w:r>
          <w:rPr>
            <w:webHidden/>
          </w:rPr>
          <w:fldChar w:fldCharType="end"/>
        </w:r>
      </w:hyperlink>
    </w:p>
    <w:p w14:paraId="120EA5EC" w14:textId="0B6B798C" w:rsidR="004B5F06" w:rsidRDefault="004B5F06">
      <w:pPr>
        <w:pStyle w:val="TOC4"/>
        <w:rPr>
          <w:rFonts w:eastAsiaTheme="minorEastAsia"/>
          <w:szCs w:val="24"/>
          <w:lang w:eastAsia="en-CA"/>
        </w:rPr>
      </w:pPr>
      <w:hyperlink w:anchor="_Toc179379645" w:history="1">
        <w:r w:rsidRPr="00A975A2">
          <w:rPr>
            <w:rStyle w:val="Hyperlink"/>
            <w:lang w:val="fr-CA"/>
          </w:rPr>
          <w:t>2.4.1.4</w:t>
        </w:r>
        <w:r>
          <w:rPr>
            <w:rFonts w:eastAsiaTheme="minorEastAsia"/>
            <w:szCs w:val="24"/>
            <w:lang w:eastAsia="en-CA"/>
          </w:rPr>
          <w:tab/>
        </w:r>
        <w:r w:rsidRPr="00A975A2">
          <w:rPr>
            <w:rStyle w:val="Hyperlink"/>
            <w:lang w:val="fr-CA"/>
          </w:rPr>
          <w:t>Accent sur les normes</w:t>
        </w:r>
        <w:r>
          <w:rPr>
            <w:webHidden/>
          </w:rPr>
          <w:tab/>
        </w:r>
        <w:r>
          <w:rPr>
            <w:webHidden/>
          </w:rPr>
          <w:fldChar w:fldCharType="begin"/>
        </w:r>
        <w:r>
          <w:rPr>
            <w:webHidden/>
          </w:rPr>
          <w:instrText xml:space="preserve"> PAGEREF _Toc179379645 \h </w:instrText>
        </w:r>
        <w:r>
          <w:rPr>
            <w:webHidden/>
          </w:rPr>
        </w:r>
        <w:r>
          <w:rPr>
            <w:webHidden/>
          </w:rPr>
          <w:fldChar w:fldCharType="separate"/>
        </w:r>
        <w:r>
          <w:rPr>
            <w:webHidden/>
          </w:rPr>
          <w:t>14</w:t>
        </w:r>
        <w:r>
          <w:rPr>
            <w:webHidden/>
          </w:rPr>
          <w:fldChar w:fldCharType="end"/>
        </w:r>
      </w:hyperlink>
    </w:p>
    <w:p w14:paraId="57001803" w14:textId="515F93E5" w:rsidR="004B5F06" w:rsidRDefault="004B5F06">
      <w:pPr>
        <w:pStyle w:val="TOC4"/>
        <w:rPr>
          <w:rFonts w:eastAsiaTheme="minorEastAsia"/>
          <w:szCs w:val="24"/>
          <w:lang w:eastAsia="en-CA"/>
        </w:rPr>
      </w:pPr>
      <w:hyperlink w:anchor="_Toc179379646" w:history="1">
        <w:r w:rsidRPr="00A975A2">
          <w:rPr>
            <w:rStyle w:val="Hyperlink"/>
            <w:lang w:val="fr-CA"/>
          </w:rPr>
          <w:t>2.4.1.5</w:t>
        </w:r>
        <w:r>
          <w:rPr>
            <w:rFonts w:eastAsiaTheme="minorEastAsia"/>
            <w:szCs w:val="24"/>
            <w:lang w:eastAsia="en-CA"/>
          </w:rPr>
          <w:tab/>
        </w:r>
        <w:r w:rsidRPr="00A975A2">
          <w:rPr>
            <w:rStyle w:val="Hyperlink"/>
            <w:lang w:val="fr-CA"/>
          </w:rPr>
          <w:t>Problèmes d’application et d’accessibilité du Web</w:t>
        </w:r>
        <w:r>
          <w:rPr>
            <w:webHidden/>
          </w:rPr>
          <w:tab/>
        </w:r>
        <w:r>
          <w:rPr>
            <w:webHidden/>
          </w:rPr>
          <w:fldChar w:fldCharType="begin"/>
        </w:r>
        <w:r>
          <w:rPr>
            <w:webHidden/>
          </w:rPr>
          <w:instrText xml:space="preserve"> PAGEREF _Toc179379646 \h </w:instrText>
        </w:r>
        <w:r>
          <w:rPr>
            <w:webHidden/>
          </w:rPr>
        </w:r>
        <w:r>
          <w:rPr>
            <w:webHidden/>
          </w:rPr>
          <w:fldChar w:fldCharType="separate"/>
        </w:r>
        <w:r>
          <w:rPr>
            <w:webHidden/>
          </w:rPr>
          <w:t>14</w:t>
        </w:r>
        <w:r>
          <w:rPr>
            <w:webHidden/>
          </w:rPr>
          <w:fldChar w:fldCharType="end"/>
        </w:r>
      </w:hyperlink>
    </w:p>
    <w:p w14:paraId="39A61DA8" w14:textId="327B3C9B" w:rsidR="004B5F06" w:rsidRDefault="004B5F06">
      <w:pPr>
        <w:pStyle w:val="TOC4"/>
        <w:rPr>
          <w:rFonts w:eastAsiaTheme="minorEastAsia"/>
          <w:szCs w:val="24"/>
          <w:lang w:eastAsia="en-CA"/>
        </w:rPr>
      </w:pPr>
      <w:hyperlink w:anchor="_Toc179379647" w:history="1">
        <w:r w:rsidRPr="00A975A2">
          <w:rPr>
            <w:rStyle w:val="Hyperlink"/>
            <w:lang w:val="fr-CA"/>
          </w:rPr>
          <w:t>2.4.1.6</w:t>
        </w:r>
        <w:r>
          <w:rPr>
            <w:rFonts w:eastAsiaTheme="minorEastAsia"/>
            <w:szCs w:val="24"/>
            <w:lang w:eastAsia="en-CA"/>
          </w:rPr>
          <w:tab/>
        </w:r>
        <w:r w:rsidRPr="00A975A2">
          <w:rPr>
            <w:rStyle w:val="Hyperlink"/>
            <w:lang w:val="fr-CA"/>
          </w:rPr>
          <w:t>Défis de sous-titrage en direct</w:t>
        </w:r>
        <w:r>
          <w:rPr>
            <w:webHidden/>
          </w:rPr>
          <w:tab/>
        </w:r>
        <w:r>
          <w:rPr>
            <w:webHidden/>
          </w:rPr>
          <w:fldChar w:fldCharType="begin"/>
        </w:r>
        <w:r>
          <w:rPr>
            <w:webHidden/>
          </w:rPr>
          <w:instrText xml:space="preserve"> PAGEREF _Toc179379647 \h </w:instrText>
        </w:r>
        <w:r>
          <w:rPr>
            <w:webHidden/>
          </w:rPr>
        </w:r>
        <w:r>
          <w:rPr>
            <w:webHidden/>
          </w:rPr>
          <w:fldChar w:fldCharType="separate"/>
        </w:r>
        <w:r>
          <w:rPr>
            <w:webHidden/>
          </w:rPr>
          <w:t>15</w:t>
        </w:r>
        <w:r>
          <w:rPr>
            <w:webHidden/>
          </w:rPr>
          <w:fldChar w:fldCharType="end"/>
        </w:r>
      </w:hyperlink>
    </w:p>
    <w:p w14:paraId="34CC8575" w14:textId="22B3E0EC" w:rsidR="004B5F06" w:rsidRDefault="004B5F06">
      <w:pPr>
        <w:pStyle w:val="TOC4"/>
        <w:rPr>
          <w:rFonts w:eastAsiaTheme="minorEastAsia"/>
          <w:szCs w:val="24"/>
          <w:lang w:eastAsia="en-CA"/>
        </w:rPr>
      </w:pPr>
      <w:hyperlink w:anchor="_Toc179379648" w:history="1">
        <w:r w:rsidRPr="00A975A2">
          <w:rPr>
            <w:rStyle w:val="Hyperlink"/>
            <w:lang w:val="fr-CA"/>
          </w:rPr>
          <w:t>2.4.1.7</w:t>
        </w:r>
        <w:r>
          <w:rPr>
            <w:rFonts w:eastAsiaTheme="minorEastAsia"/>
            <w:szCs w:val="24"/>
            <w:lang w:eastAsia="en-CA"/>
          </w:rPr>
          <w:tab/>
        </w:r>
        <w:r w:rsidRPr="00A975A2">
          <w:rPr>
            <w:rStyle w:val="Hyperlink"/>
            <w:lang w:val="fr-CA"/>
          </w:rPr>
          <w:t>Outils d'aide génériques</w:t>
        </w:r>
        <w:r>
          <w:rPr>
            <w:webHidden/>
          </w:rPr>
          <w:tab/>
        </w:r>
        <w:r>
          <w:rPr>
            <w:webHidden/>
          </w:rPr>
          <w:fldChar w:fldCharType="begin"/>
        </w:r>
        <w:r>
          <w:rPr>
            <w:webHidden/>
          </w:rPr>
          <w:instrText xml:space="preserve"> PAGEREF _Toc179379648 \h </w:instrText>
        </w:r>
        <w:r>
          <w:rPr>
            <w:webHidden/>
          </w:rPr>
        </w:r>
        <w:r>
          <w:rPr>
            <w:webHidden/>
          </w:rPr>
          <w:fldChar w:fldCharType="separate"/>
        </w:r>
        <w:r>
          <w:rPr>
            <w:webHidden/>
          </w:rPr>
          <w:t>15</w:t>
        </w:r>
        <w:r>
          <w:rPr>
            <w:webHidden/>
          </w:rPr>
          <w:fldChar w:fldCharType="end"/>
        </w:r>
      </w:hyperlink>
    </w:p>
    <w:p w14:paraId="2528A1A9" w14:textId="181BF253" w:rsidR="004B5F06" w:rsidRDefault="004B5F06">
      <w:pPr>
        <w:pStyle w:val="TOC4"/>
        <w:rPr>
          <w:rFonts w:eastAsiaTheme="minorEastAsia"/>
          <w:szCs w:val="24"/>
          <w:lang w:eastAsia="en-CA"/>
        </w:rPr>
      </w:pPr>
      <w:hyperlink w:anchor="_Toc179379649" w:history="1">
        <w:r w:rsidRPr="00A975A2">
          <w:rPr>
            <w:rStyle w:val="Hyperlink"/>
            <w:lang w:val="fr-CA"/>
          </w:rPr>
          <w:t>2.4.1.8</w:t>
        </w:r>
        <w:r>
          <w:rPr>
            <w:rFonts w:eastAsiaTheme="minorEastAsia"/>
            <w:szCs w:val="24"/>
            <w:lang w:eastAsia="en-CA"/>
          </w:rPr>
          <w:tab/>
        </w:r>
        <w:r w:rsidRPr="00A975A2">
          <w:rPr>
            <w:rStyle w:val="Hyperlink"/>
            <w:lang w:val="fr-CA"/>
          </w:rPr>
          <w:t>Représentation erronée des symboles</w:t>
        </w:r>
        <w:r>
          <w:rPr>
            <w:webHidden/>
          </w:rPr>
          <w:tab/>
        </w:r>
        <w:r>
          <w:rPr>
            <w:webHidden/>
          </w:rPr>
          <w:fldChar w:fldCharType="begin"/>
        </w:r>
        <w:r>
          <w:rPr>
            <w:webHidden/>
          </w:rPr>
          <w:instrText xml:space="preserve"> PAGEREF _Toc179379649 \h </w:instrText>
        </w:r>
        <w:r>
          <w:rPr>
            <w:webHidden/>
          </w:rPr>
        </w:r>
        <w:r>
          <w:rPr>
            <w:webHidden/>
          </w:rPr>
          <w:fldChar w:fldCharType="separate"/>
        </w:r>
        <w:r>
          <w:rPr>
            <w:webHidden/>
          </w:rPr>
          <w:t>15</w:t>
        </w:r>
        <w:r>
          <w:rPr>
            <w:webHidden/>
          </w:rPr>
          <w:fldChar w:fldCharType="end"/>
        </w:r>
      </w:hyperlink>
    </w:p>
    <w:p w14:paraId="22CEA72A" w14:textId="641E347C" w:rsidR="004B5F06" w:rsidRDefault="004B5F06">
      <w:pPr>
        <w:pStyle w:val="TOC4"/>
        <w:rPr>
          <w:rFonts w:eastAsiaTheme="minorEastAsia"/>
          <w:szCs w:val="24"/>
          <w:lang w:eastAsia="en-CA"/>
        </w:rPr>
      </w:pPr>
      <w:hyperlink w:anchor="_Toc179379650" w:history="1">
        <w:r w:rsidRPr="00A975A2">
          <w:rPr>
            <w:rStyle w:val="Hyperlink"/>
            <w:lang w:val="fr-CA"/>
          </w:rPr>
          <w:t>2.4.1.9</w:t>
        </w:r>
        <w:r>
          <w:rPr>
            <w:rFonts w:eastAsiaTheme="minorEastAsia"/>
            <w:szCs w:val="24"/>
            <w:lang w:eastAsia="en-CA"/>
          </w:rPr>
          <w:tab/>
        </w:r>
        <w:r w:rsidRPr="00A975A2">
          <w:rPr>
            <w:rStyle w:val="Hyperlink"/>
            <w:lang w:val="fr-CA"/>
          </w:rPr>
          <w:t>Suggestions de conception</w:t>
        </w:r>
        <w:r>
          <w:rPr>
            <w:webHidden/>
          </w:rPr>
          <w:tab/>
        </w:r>
        <w:r>
          <w:rPr>
            <w:webHidden/>
          </w:rPr>
          <w:fldChar w:fldCharType="begin"/>
        </w:r>
        <w:r>
          <w:rPr>
            <w:webHidden/>
          </w:rPr>
          <w:instrText xml:space="preserve"> PAGEREF _Toc179379650 \h </w:instrText>
        </w:r>
        <w:r>
          <w:rPr>
            <w:webHidden/>
          </w:rPr>
        </w:r>
        <w:r>
          <w:rPr>
            <w:webHidden/>
          </w:rPr>
          <w:fldChar w:fldCharType="separate"/>
        </w:r>
        <w:r>
          <w:rPr>
            <w:webHidden/>
          </w:rPr>
          <w:t>15</w:t>
        </w:r>
        <w:r>
          <w:rPr>
            <w:webHidden/>
          </w:rPr>
          <w:fldChar w:fldCharType="end"/>
        </w:r>
      </w:hyperlink>
    </w:p>
    <w:p w14:paraId="6CEFB6C5" w14:textId="61DC3392" w:rsidR="004B5F06" w:rsidRDefault="004B5F06">
      <w:pPr>
        <w:pStyle w:val="TOC3"/>
        <w:rPr>
          <w:rFonts w:eastAsiaTheme="minorEastAsia"/>
          <w:i w:val="0"/>
          <w:iCs w:val="0"/>
          <w:szCs w:val="24"/>
          <w:lang w:eastAsia="en-CA"/>
        </w:rPr>
      </w:pPr>
      <w:hyperlink w:anchor="_Toc179379651" w:history="1">
        <w:r w:rsidRPr="00A975A2">
          <w:rPr>
            <w:rStyle w:val="Hyperlink"/>
            <w:lang w:val="fr-CA"/>
          </w:rPr>
          <w:t>2.4.2</w:t>
        </w:r>
        <w:r>
          <w:rPr>
            <w:rFonts w:eastAsiaTheme="minorEastAsia"/>
            <w:i w:val="0"/>
            <w:iCs w:val="0"/>
            <w:szCs w:val="24"/>
            <w:lang w:eastAsia="en-CA"/>
          </w:rPr>
          <w:tab/>
        </w:r>
        <w:r w:rsidRPr="00A975A2">
          <w:rPr>
            <w:rStyle w:val="Hyperlink"/>
            <w:lang w:val="fr-CA"/>
          </w:rPr>
          <w:t>Suivre l’évolution rapide de la technologie et empêcher l’apparition de nouveaux obstacles</w:t>
        </w:r>
        <w:r>
          <w:rPr>
            <w:webHidden/>
          </w:rPr>
          <w:tab/>
        </w:r>
        <w:r>
          <w:rPr>
            <w:webHidden/>
          </w:rPr>
          <w:fldChar w:fldCharType="begin"/>
        </w:r>
        <w:r>
          <w:rPr>
            <w:webHidden/>
          </w:rPr>
          <w:instrText xml:space="preserve"> PAGEREF _Toc179379651 \h </w:instrText>
        </w:r>
        <w:r>
          <w:rPr>
            <w:webHidden/>
          </w:rPr>
        </w:r>
        <w:r>
          <w:rPr>
            <w:webHidden/>
          </w:rPr>
          <w:fldChar w:fldCharType="separate"/>
        </w:r>
        <w:r>
          <w:rPr>
            <w:webHidden/>
          </w:rPr>
          <w:t>16</w:t>
        </w:r>
        <w:r>
          <w:rPr>
            <w:webHidden/>
          </w:rPr>
          <w:fldChar w:fldCharType="end"/>
        </w:r>
      </w:hyperlink>
    </w:p>
    <w:p w14:paraId="43438C77" w14:textId="3A5056B6" w:rsidR="004B5F06" w:rsidRDefault="004B5F06">
      <w:pPr>
        <w:pStyle w:val="TOC4"/>
        <w:rPr>
          <w:rFonts w:eastAsiaTheme="minorEastAsia"/>
          <w:szCs w:val="24"/>
          <w:lang w:eastAsia="en-CA"/>
        </w:rPr>
      </w:pPr>
      <w:hyperlink w:anchor="_Toc179379652" w:history="1">
        <w:r w:rsidRPr="00A975A2">
          <w:rPr>
            <w:rStyle w:val="Hyperlink"/>
            <w:lang w:val="fr-CA"/>
          </w:rPr>
          <w:t>2.4.2.1</w:t>
        </w:r>
        <w:r>
          <w:rPr>
            <w:rFonts w:eastAsiaTheme="minorEastAsia"/>
            <w:szCs w:val="24"/>
            <w:lang w:eastAsia="en-CA"/>
          </w:rPr>
          <w:tab/>
        </w:r>
        <w:r w:rsidRPr="00A975A2">
          <w:rPr>
            <w:rStyle w:val="Hyperlink"/>
            <w:lang w:val="fr-CA"/>
          </w:rPr>
          <w:t>Fournir une justification et des stratégies de mise en œuvre pour l’accessibilité</w:t>
        </w:r>
        <w:r>
          <w:rPr>
            <w:webHidden/>
          </w:rPr>
          <w:tab/>
        </w:r>
        <w:r>
          <w:rPr>
            <w:webHidden/>
          </w:rPr>
          <w:fldChar w:fldCharType="begin"/>
        </w:r>
        <w:r>
          <w:rPr>
            <w:webHidden/>
          </w:rPr>
          <w:instrText xml:space="preserve"> PAGEREF _Toc179379652 \h </w:instrText>
        </w:r>
        <w:r>
          <w:rPr>
            <w:webHidden/>
          </w:rPr>
        </w:r>
        <w:r>
          <w:rPr>
            <w:webHidden/>
          </w:rPr>
          <w:fldChar w:fldCharType="separate"/>
        </w:r>
        <w:r>
          <w:rPr>
            <w:webHidden/>
          </w:rPr>
          <w:t>16</w:t>
        </w:r>
        <w:r>
          <w:rPr>
            <w:webHidden/>
          </w:rPr>
          <w:fldChar w:fldCharType="end"/>
        </w:r>
      </w:hyperlink>
    </w:p>
    <w:p w14:paraId="11709676" w14:textId="1A2B0E0C" w:rsidR="004B5F06" w:rsidRDefault="004B5F06">
      <w:pPr>
        <w:pStyle w:val="TOC4"/>
        <w:rPr>
          <w:rFonts w:eastAsiaTheme="minorEastAsia"/>
          <w:szCs w:val="24"/>
          <w:lang w:eastAsia="en-CA"/>
        </w:rPr>
      </w:pPr>
      <w:hyperlink w:anchor="_Toc179379653" w:history="1">
        <w:r w:rsidRPr="00A975A2">
          <w:rPr>
            <w:rStyle w:val="Hyperlink"/>
            <w:lang w:val="fr-CA"/>
          </w:rPr>
          <w:t>2.4.2.2</w:t>
        </w:r>
        <w:r>
          <w:rPr>
            <w:rFonts w:eastAsiaTheme="minorEastAsia"/>
            <w:szCs w:val="24"/>
            <w:lang w:eastAsia="en-CA"/>
          </w:rPr>
          <w:tab/>
        </w:r>
        <w:r w:rsidRPr="00A975A2">
          <w:rPr>
            <w:rStyle w:val="Hyperlink"/>
            <w:lang w:val="fr-CA"/>
          </w:rPr>
          <w:t>Innovation stratégique et amélioration continue</w:t>
        </w:r>
        <w:r>
          <w:rPr>
            <w:webHidden/>
          </w:rPr>
          <w:tab/>
        </w:r>
        <w:r>
          <w:rPr>
            <w:webHidden/>
          </w:rPr>
          <w:fldChar w:fldCharType="begin"/>
        </w:r>
        <w:r>
          <w:rPr>
            <w:webHidden/>
          </w:rPr>
          <w:instrText xml:space="preserve"> PAGEREF _Toc179379653 \h </w:instrText>
        </w:r>
        <w:r>
          <w:rPr>
            <w:webHidden/>
          </w:rPr>
        </w:r>
        <w:r>
          <w:rPr>
            <w:webHidden/>
          </w:rPr>
          <w:fldChar w:fldCharType="separate"/>
        </w:r>
        <w:r>
          <w:rPr>
            <w:webHidden/>
          </w:rPr>
          <w:t>16</w:t>
        </w:r>
        <w:r>
          <w:rPr>
            <w:webHidden/>
          </w:rPr>
          <w:fldChar w:fldCharType="end"/>
        </w:r>
      </w:hyperlink>
    </w:p>
    <w:p w14:paraId="2748EF8E" w14:textId="6782E8EA" w:rsidR="004B5F06" w:rsidRDefault="004B5F06">
      <w:pPr>
        <w:pStyle w:val="TOC4"/>
        <w:rPr>
          <w:rFonts w:eastAsiaTheme="minorEastAsia"/>
          <w:szCs w:val="24"/>
          <w:lang w:eastAsia="en-CA"/>
        </w:rPr>
      </w:pPr>
      <w:hyperlink w:anchor="_Toc179379654" w:history="1">
        <w:r w:rsidRPr="00A975A2">
          <w:rPr>
            <w:rStyle w:val="Hyperlink"/>
            <w:lang w:val="fr-CA"/>
          </w:rPr>
          <w:t>2.4.2.3</w:t>
        </w:r>
        <w:r>
          <w:rPr>
            <w:rFonts w:eastAsiaTheme="minorEastAsia"/>
            <w:szCs w:val="24"/>
            <w:lang w:eastAsia="en-CA"/>
          </w:rPr>
          <w:tab/>
        </w:r>
        <w:r w:rsidRPr="00A975A2">
          <w:rPr>
            <w:rStyle w:val="Hyperlink"/>
            <w:lang w:val="fr-CA"/>
          </w:rPr>
          <w:t>Normes d’accessibilité complètes et souples</w:t>
        </w:r>
        <w:r>
          <w:rPr>
            <w:webHidden/>
          </w:rPr>
          <w:tab/>
        </w:r>
        <w:r>
          <w:rPr>
            <w:webHidden/>
          </w:rPr>
          <w:fldChar w:fldCharType="begin"/>
        </w:r>
        <w:r>
          <w:rPr>
            <w:webHidden/>
          </w:rPr>
          <w:instrText xml:space="preserve"> PAGEREF _Toc179379654 \h </w:instrText>
        </w:r>
        <w:r>
          <w:rPr>
            <w:webHidden/>
          </w:rPr>
        </w:r>
        <w:r>
          <w:rPr>
            <w:webHidden/>
          </w:rPr>
          <w:fldChar w:fldCharType="separate"/>
        </w:r>
        <w:r>
          <w:rPr>
            <w:webHidden/>
          </w:rPr>
          <w:t>17</w:t>
        </w:r>
        <w:r>
          <w:rPr>
            <w:webHidden/>
          </w:rPr>
          <w:fldChar w:fldCharType="end"/>
        </w:r>
      </w:hyperlink>
    </w:p>
    <w:p w14:paraId="341AE763" w14:textId="0C5F778E" w:rsidR="004B5F06" w:rsidRDefault="004B5F06">
      <w:pPr>
        <w:pStyle w:val="TOC4"/>
        <w:rPr>
          <w:rFonts w:eastAsiaTheme="minorEastAsia"/>
          <w:szCs w:val="24"/>
          <w:lang w:eastAsia="en-CA"/>
        </w:rPr>
      </w:pPr>
      <w:hyperlink w:anchor="_Toc179379655" w:history="1">
        <w:r w:rsidRPr="00A975A2">
          <w:rPr>
            <w:rStyle w:val="Hyperlink"/>
            <w:lang w:val="fr-CA"/>
          </w:rPr>
          <w:t>2.4.2.4</w:t>
        </w:r>
        <w:r>
          <w:rPr>
            <w:rFonts w:eastAsiaTheme="minorEastAsia"/>
            <w:szCs w:val="24"/>
            <w:lang w:eastAsia="en-CA"/>
          </w:rPr>
          <w:tab/>
        </w:r>
        <w:r w:rsidRPr="00A975A2">
          <w:rPr>
            <w:rStyle w:val="Hyperlink"/>
            <w:lang w:val="fr-CA"/>
          </w:rPr>
          <w:t>Limitations des logiciels, du réseau et de l’appareil</w:t>
        </w:r>
        <w:r>
          <w:rPr>
            <w:webHidden/>
          </w:rPr>
          <w:tab/>
        </w:r>
        <w:r>
          <w:rPr>
            <w:webHidden/>
          </w:rPr>
          <w:fldChar w:fldCharType="begin"/>
        </w:r>
        <w:r>
          <w:rPr>
            <w:webHidden/>
          </w:rPr>
          <w:instrText xml:space="preserve"> PAGEREF _Toc179379655 \h </w:instrText>
        </w:r>
        <w:r>
          <w:rPr>
            <w:webHidden/>
          </w:rPr>
        </w:r>
        <w:r>
          <w:rPr>
            <w:webHidden/>
          </w:rPr>
          <w:fldChar w:fldCharType="separate"/>
        </w:r>
        <w:r>
          <w:rPr>
            <w:webHidden/>
          </w:rPr>
          <w:t>17</w:t>
        </w:r>
        <w:r>
          <w:rPr>
            <w:webHidden/>
          </w:rPr>
          <w:fldChar w:fldCharType="end"/>
        </w:r>
      </w:hyperlink>
    </w:p>
    <w:p w14:paraId="072BA1C7" w14:textId="1B23A0E1" w:rsidR="004B5F06" w:rsidRDefault="004B5F06">
      <w:pPr>
        <w:pStyle w:val="TOC4"/>
        <w:rPr>
          <w:rFonts w:eastAsiaTheme="minorEastAsia"/>
          <w:szCs w:val="24"/>
          <w:lang w:eastAsia="en-CA"/>
        </w:rPr>
      </w:pPr>
      <w:hyperlink w:anchor="_Toc179379656" w:history="1">
        <w:r w:rsidRPr="00A975A2">
          <w:rPr>
            <w:rStyle w:val="Hyperlink"/>
            <w:lang w:val="fr-CA"/>
          </w:rPr>
          <w:t>2.4.2.5</w:t>
        </w:r>
        <w:r>
          <w:rPr>
            <w:rFonts w:eastAsiaTheme="minorEastAsia"/>
            <w:szCs w:val="24"/>
            <w:lang w:eastAsia="en-CA"/>
          </w:rPr>
          <w:tab/>
        </w:r>
        <w:r w:rsidRPr="00A975A2">
          <w:rPr>
            <w:rStyle w:val="Hyperlink"/>
            <w:lang w:val="fr-CA"/>
          </w:rPr>
          <w:t>Orientation spécifique et mise en œuvre pratique</w:t>
        </w:r>
        <w:r>
          <w:rPr>
            <w:webHidden/>
          </w:rPr>
          <w:tab/>
        </w:r>
        <w:r>
          <w:rPr>
            <w:webHidden/>
          </w:rPr>
          <w:fldChar w:fldCharType="begin"/>
        </w:r>
        <w:r>
          <w:rPr>
            <w:webHidden/>
          </w:rPr>
          <w:instrText xml:space="preserve"> PAGEREF _Toc179379656 \h </w:instrText>
        </w:r>
        <w:r>
          <w:rPr>
            <w:webHidden/>
          </w:rPr>
        </w:r>
        <w:r>
          <w:rPr>
            <w:webHidden/>
          </w:rPr>
          <w:fldChar w:fldCharType="separate"/>
        </w:r>
        <w:r>
          <w:rPr>
            <w:webHidden/>
          </w:rPr>
          <w:t>18</w:t>
        </w:r>
        <w:r>
          <w:rPr>
            <w:webHidden/>
          </w:rPr>
          <w:fldChar w:fldCharType="end"/>
        </w:r>
      </w:hyperlink>
    </w:p>
    <w:p w14:paraId="2FE9F67B" w14:textId="2451DA19" w:rsidR="004B5F06" w:rsidRDefault="004B5F06">
      <w:pPr>
        <w:pStyle w:val="TOC3"/>
        <w:rPr>
          <w:rFonts w:eastAsiaTheme="minorEastAsia"/>
          <w:i w:val="0"/>
          <w:iCs w:val="0"/>
          <w:szCs w:val="24"/>
          <w:lang w:eastAsia="en-CA"/>
        </w:rPr>
      </w:pPr>
      <w:hyperlink w:anchor="_Toc179379657" w:history="1">
        <w:r w:rsidRPr="00A975A2">
          <w:rPr>
            <w:rStyle w:val="Hyperlink"/>
            <w:lang w:val="fr-CA"/>
          </w:rPr>
          <w:t>2.4.3</w:t>
        </w:r>
        <w:r>
          <w:rPr>
            <w:rFonts w:eastAsiaTheme="minorEastAsia"/>
            <w:i w:val="0"/>
            <w:iCs w:val="0"/>
            <w:szCs w:val="24"/>
            <w:lang w:eastAsia="en-CA"/>
          </w:rPr>
          <w:tab/>
        </w:r>
        <w:r w:rsidRPr="00A975A2">
          <w:rPr>
            <w:rStyle w:val="Hyperlink"/>
            <w:lang w:val="fr-CA"/>
          </w:rPr>
          <w:t>Soutenir l’intégration et l’interopérabilité des systèmes numériques</w:t>
        </w:r>
        <w:r>
          <w:rPr>
            <w:webHidden/>
          </w:rPr>
          <w:tab/>
        </w:r>
        <w:r>
          <w:rPr>
            <w:webHidden/>
          </w:rPr>
          <w:fldChar w:fldCharType="begin"/>
        </w:r>
        <w:r>
          <w:rPr>
            <w:webHidden/>
          </w:rPr>
          <w:instrText xml:space="preserve"> PAGEREF _Toc179379657 \h </w:instrText>
        </w:r>
        <w:r>
          <w:rPr>
            <w:webHidden/>
          </w:rPr>
        </w:r>
        <w:r>
          <w:rPr>
            <w:webHidden/>
          </w:rPr>
          <w:fldChar w:fldCharType="separate"/>
        </w:r>
        <w:r>
          <w:rPr>
            <w:webHidden/>
          </w:rPr>
          <w:t>18</w:t>
        </w:r>
        <w:r>
          <w:rPr>
            <w:webHidden/>
          </w:rPr>
          <w:fldChar w:fldCharType="end"/>
        </w:r>
      </w:hyperlink>
    </w:p>
    <w:p w14:paraId="3DA1A673" w14:textId="77406356" w:rsidR="004B5F06" w:rsidRDefault="004B5F06">
      <w:pPr>
        <w:pStyle w:val="TOC4"/>
        <w:rPr>
          <w:rFonts w:eastAsiaTheme="minorEastAsia"/>
          <w:szCs w:val="24"/>
          <w:lang w:eastAsia="en-CA"/>
        </w:rPr>
      </w:pPr>
      <w:hyperlink w:anchor="_Toc179379658" w:history="1">
        <w:r w:rsidRPr="00A975A2">
          <w:rPr>
            <w:rStyle w:val="Hyperlink"/>
            <w:lang w:val="fr-CA"/>
          </w:rPr>
          <w:t>2.4.3.1</w:t>
        </w:r>
        <w:r>
          <w:rPr>
            <w:rFonts w:eastAsiaTheme="minorEastAsia"/>
            <w:szCs w:val="24"/>
            <w:lang w:eastAsia="en-CA"/>
          </w:rPr>
          <w:tab/>
        </w:r>
        <w:r w:rsidRPr="00A975A2">
          <w:rPr>
            <w:rStyle w:val="Hyperlink"/>
            <w:lang w:val="fr-CA"/>
          </w:rPr>
          <w:t>Manque d’interopérabilité et de fonctionnalités d’accessibilité intégrées</w:t>
        </w:r>
        <w:r>
          <w:rPr>
            <w:webHidden/>
          </w:rPr>
          <w:tab/>
        </w:r>
        <w:r>
          <w:rPr>
            <w:webHidden/>
          </w:rPr>
          <w:fldChar w:fldCharType="begin"/>
        </w:r>
        <w:r>
          <w:rPr>
            <w:webHidden/>
          </w:rPr>
          <w:instrText xml:space="preserve"> PAGEREF _Toc179379658 \h </w:instrText>
        </w:r>
        <w:r>
          <w:rPr>
            <w:webHidden/>
          </w:rPr>
        </w:r>
        <w:r>
          <w:rPr>
            <w:webHidden/>
          </w:rPr>
          <w:fldChar w:fldCharType="separate"/>
        </w:r>
        <w:r>
          <w:rPr>
            <w:webHidden/>
          </w:rPr>
          <w:t>18</w:t>
        </w:r>
        <w:r>
          <w:rPr>
            <w:webHidden/>
          </w:rPr>
          <w:fldChar w:fldCharType="end"/>
        </w:r>
      </w:hyperlink>
    </w:p>
    <w:p w14:paraId="7D7B547A" w14:textId="3DC76289" w:rsidR="004B5F06" w:rsidRDefault="004B5F06">
      <w:pPr>
        <w:pStyle w:val="TOC3"/>
        <w:rPr>
          <w:rFonts w:eastAsiaTheme="minorEastAsia"/>
          <w:i w:val="0"/>
          <w:iCs w:val="0"/>
          <w:szCs w:val="24"/>
          <w:lang w:eastAsia="en-CA"/>
        </w:rPr>
      </w:pPr>
      <w:hyperlink w:anchor="_Toc179379659" w:history="1">
        <w:r w:rsidRPr="00A975A2">
          <w:rPr>
            <w:rStyle w:val="Hyperlink"/>
            <w:lang w:val="fr-CA"/>
          </w:rPr>
          <w:t>2.4.4</w:t>
        </w:r>
        <w:r>
          <w:rPr>
            <w:rFonts w:eastAsiaTheme="minorEastAsia"/>
            <w:i w:val="0"/>
            <w:iCs w:val="0"/>
            <w:szCs w:val="24"/>
            <w:lang w:eastAsia="en-CA"/>
          </w:rPr>
          <w:tab/>
        </w:r>
        <w:r w:rsidRPr="00A975A2">
          <w:rPr>
            <w:rStyle w:val="Hyperlink"/>
            <w:lang w:val="fr-CA"/>
          </w:rPr>
          <w:t>Favoriser l’innovation en matière d’accessibilité</w:t>
        </w:r>
        <w:r>
          <w:rPr>
            <w:webHidden/>
          </w:rPr>
          <w:tab/>
        </w:r>
        <w:r>
          <w:rPr>
            <w:webHidden/>
          </w:rPr>
          <w:fldChar w:fldCharType="begin"/>
        </w:r>
        <w:r>
          <w:rPr>
            <w:webHidden/>
          </w:rPr>
          <w:instrText xml:space="preserve"> PAGEREF _Toc179379659 \h </w:instrText>
        </w:r>
        <w:r>
          <w:rPr>
            <w:webHidden/>
          </w:rPr>
        </w:r>
        <w:r>
          <w:rPr>
            <w:webHidden/>
          </w:rPr>
          <w:fldChar w:fldCharType="separate"/>
        </w:r>
        <w:r>
          <w:rPr>
            <w:webHidden/>
          </w:rPr>
          <w:t>19</w:t>
        </w:r>
        <w:r>
          <w:rPr>
            <w:webHidden/>
          </w:rPr>
          <w:fldChar w:fldCharType="end"/>
        </w:r>
      </w:hyperlink>
    </w:p>
    <w:p w14:paraId="7F64D031" w14:textId="786EA240" w:rsidR="004B5F06" w:rsidRDefault="004B5F06">
      <w:pPr>
        <w:pStyle w:val="TOC4"/>
        <w:rPr>
          <w:rFonts w:eastAsiaTheme="minorEastAsia"/>
          <w:szCs w:val="24"/>
          <w:lang w:eastAsia="en-CA"/>
        </w:rPr>
      </w:pPr>
      <w:hyperlink w:anchor="_Toc179379660" w:history="1">
        <w:r w:rsidRPr="00A975A2">
          <w:rPr>
            <w:rStyle w:val="Hyperlink"/>
            <w:lang w:val="fr-CA"/>
          </w:rPr>
          <w:t>2.4.4.1</w:t>
        </w:r>
        <w:r>
          <w:rPr>
            <w:rFonts w:eastAsiaTheme="minorEastAsia"/>
            <w:szCs w:val="24"/>
            <w:lang w:eastAsia="en-CA"/>
          </w:rPr>
          <w:tab/>
        </w:r>
        <w:r w:rsidRPr="00A975A2">
          <w:rPr>
            <w:rStyle w:val="Hyperlink"/>
            <w:lang w:val="fr-CA"/>
          </w:rPr>
          <w:t>Reconnaissance et incitations à l’innovation en matière d’accessibilité et à des normes élevées</w:t>
        </w:r>
        <w:r>
          <w:rPr>
            <w:webHidden/>
          </w:rPr>
          <w:tab/>
        </w:r>
        <w:r>
          <w:rPr>
            <w:webHidden/>
          </w:rPr>
          <w:fldChar w:fldCharType="begin"/>
        </w:r>
        <w:r>
          <w:rPr>
            <w:webHidden/>
          </w:rPr>
          <w:instrText xml:space="preserve"> PAGEREF _Toc179379660 \h </w:instrText>
        </w:r>
        <w:r>
          <w:rPr>
            <w:webHidden/>
          </w:rPr>
        </w:r>
        <w:r>
          <w:rPr>
            <w:webHidden/>
          </w:rPr>
          <w:fldChar w:fldCharType="separate"/>
        </w:r>
        <w:r>
          <w:rPr>
            <w:webHidden/>
          </w:rPr>
          <w:t>19</w:t>
        </w:r>
        <w:r>
          <w:rPr>
            <w:webHidden/>
          </w:rPr>
          <w:fldChar w:fldCharType="end"/>
        </w:r>
      </w:hyperlink>
    </w:p>
    <w:p w14:paraId="5993DC03" w14:textId="609D0B3A" w:rsidR="004B5F06" w:rsidRDefault="004B5F06">
      <w:pPr>
        <w:pStyle w:val="TOC4"/>
        <w:rPr>
          <w:rFonts w:eastAsiaTheme="minorEastAsia"/>
          <w:szCs w:val="24"/>
          <w:lang w:eastAsia="en-CA"/>
        </w:rPr>
      </w:pPr>
      <w:hyperlink w:anchor="_Toc179379661" w:history="1">
        <w:r w:rsidRPr="00A975A2">
          <w:rPr>
            <w:rStyle w:val="Hyperlink"/>
            <w:lang w:val="fr-CA"/>
          </w:rPr>
          <w:t>2.4.4.2</w:t>
        </w:r>
        <w:r>
          <w:rPr>
            <w:rFonts w:eastAsiaTheme="minorEastAsia"/>
            <w:szCs w:val="24"/>
            <w:lang w:eastAsia="en-CA"/>
          </w:rPr>
          <w:tab/>
        </w:r>
        <w:r w:rsidRPr="00A975A2">
          <w:rPr>
            <w:rStyle w:val="Hyperlink"/>
            <w:lang w:val="fr-CA"/>
          </w:rPr>
          <w:t>Examen de la technologie antérieure</w:t>
        </w:r>
        <w:r>
          <w:rPr>
            <w:webHidden/>
          </w:rPr>
          <w:tab/>
        </w:r>
        <w:r>
          <w:rPr>
            <w:webHidden/>
          </w:rPr>
          <w:fldChar w:fldCharType="begin"/>
        </w:r>
        <w:r>
          <w:rPr>
            <w:webHidden/>
          </w:rPr>
          <w:instrText xml:space="preserve"> PAGEREF _Toc179379661 \h </w:instrText>
        </w:r>
        <w:r>
          <w:rPr>
            <w:webHidden/>
          </w:rPr>
        </w:r>
        <w:r>
          <w:rPr>
            <w:webHidden/>
          </w:rPr>
          <w:fldChar w:fldCharType="separate"/>
        </w:r>
        <w:r>
          <w:rPr>
            <w:webHidden/>
          </w:rPr>
          <w:t>20</w:t>
        </w:r>
        <w:r>
          <w:rPr>
            <w:webHidden/>
          </w:rPr>
          <w:fldChar w:fldCharType="end"/>
        </w:r>
      </w:hyperlink>
    </w:p>
    <w:p w14:paraId="186C54CE" w14:textId="0B9C44D3" w:rsidR="004B5F06" w:rsidRDefault="004B5F06">
      <w:pPr>
        <w:pStyle w:val="TOC4"/>
        <w:rPr>
          <w:rFonts w:eastAsiaTheme="minorEastAsia"/>
          <w:szCs w:val="24"/>
          <w:lang w:eastAsia="en-CA"/>
        </w:rPr>
      </w:pPr>
      <w:hyperlink w:anchor="_Toc179379662" w:history="1">
        <w:r w:rsidRPr="00A975A2">
          <w:rPr>
            <w:rStyle w:val="Hyperlink"/>
            <w:lang w:val="fr-CA"/>
          </w:rPr>
          <w:t>2.4.4.3</w:t>
        </w:r>
        <w:r>
          <w:rPr>
            <w:rFonts w:eastAsiaTheme="minorEastAsia"/>
            <w:szCs w:val="24"/>
            <w:lang w:eastAsia="en-CA"/>
          </w:rPr>
          <w:tab/>
        </w:r>
        <w:r w:rsidRPr="00A975A2">
          <w:rPr>
            <w:rStyle w:val="Hyperlink"/>
            <w:lang w:val="fr-CA"/>
          </w:rPr>
          <w:t>Changement culturel et investissement</w:t>
        </w:r>
        <w:r>
          <w:rPr>
            <w:webHidden/>
          </w:rPr>
          <w:tab/>
        </w:r>
        <w:r>
          <w:rPr>
            <w:webHidden/>
          </w:rPr>
          <w:fldChar w:fldCharType="begin"/>
        </w:r>
        <w:r>
          <w:rPr>
            <w:webHidden/>
          </w:rPr>
          <w:instrText xml:space="preserve"> PAGEREF _Toc179379662 \h </w:instrText>
        </w:r>
        <w:r>
          <w:rPr>
            <w:webHidden/>
          </w:rPr>
        </w:r>
        <w:r>
          <w:rPr>
            <w:webHidden/>
          </w:rPr>
          <w:fldChar w:fldCharType="separate"/>
        </w:r>
        <w:r>
          <w:rPr>
            <w:webHidden/>
          </w:rPr>
          <w:t>20</w:t>
        </w:r>
        <w:r>
          <w:rPr>
            <w:webHidden/>
          </w:rPr>
          <w:fldChar w:fldCharType="end"/>
        </w:r>
      </w:hyperlink>
    </w:p>
    <w:p w14:paraId="0EFE2407" w14:textId="61A6EBBF" w:rsidR="004B5F06" w:rsidRDefault="004B5F06">
      <w:pPr>
        <w:pStyle w:val="TOC3"/>
        <w:rPr>
          <w:rFonts w:eastAsiaTheme="minorEastAsia"/>
          <w:i w:val="0"/>
          <w:iCs w:val="0"/>
          <w:szCs w:val="24"/>
          <w:lang w:eastAsia="en-CA"/>
        </w:rPr>
      </w:pPr>
      <w:hyperlink w:anchor="_Toc179379663" w:history="1">
        <w:r w:rsidRPr="00A975A2">
          <w:rPr>
            <w:rStyle w:val="Hyperlink"/>
            <w:lang w:val="fr-CA"/>
          </w:rPr>
          <w:t>2.4.5</w:t>
        </w:r>
        <w:r>
          <w:rPr>
            <w:rFonts w:eastAsiaTheme="minorEastAsia"/>
            <w:i w:val="0"/>
            <w:iCs w:val="0"/>
            <w:szCs w:val="24"/>
            <w:lang w:eastAsia="en-CA"/>
          </w:rPr>
          <w:tab/>
        </w:r>
        <w:r w:rsidRPr="00A975A2">
          <w:rPr>
            <w:rStyle w:val="Hyperlink"/>
            <w:lang w:val="fr-CA"/>
          </w:rPr>
          <w:t>Supprimer les mesures dissuasives pour la mise en conformité avec les règles d’accessibilité</w:t>
        </w:r>
        <w:r>
          <w:rPr>
            <w:webHidden/>
          </w:rPr>
          <w:tab/>
        </w:r>
        <w:r>
          <w:rPr>
            <w:webHidden/>
          </w:rPr>
          <w:fldChar w:fldCharType="begin"/>
        </w:r>
        <w:r>
          <w:rPr>
            <w:webHidden/>
          </w:rPr>
          <w:instrText xml:space="preserve"> PAGEREF _Toc179379663 \h </w:instrText>
        </w:r>
        <w:r>
          <w:rPr>
            <w:webHidden/>
          </w:rPr>
        </w:r>
        <w:r>
          <w:rPr>
            <w:webHidden/>
          </w:rPr>
          <w:fldChar w:fldCharType="separate"/>
        </w:r>
        <w:r>
          <w:rPr>
            <w:webHidden/>
          </w:rPr>
          <w:t>20</w:t>
        </w:r>
        <w:r>
          <w:rPr>
            <w:webHidden/>
          </w:rPr>
          <w:fldChar w:fldCharType="end"/>
        </w:r>
      </w:hyperlink>
    </w:p>
    <w:p w14:paraId="46B8D511" w14:textId="0FAF7125" w:rsidR="004B5F06" w:rsidRDefault="004B5F06">
      <w:pPr>
        <w:pStyle w:val="TOC4"/>
        <w:rPr>
          <w:rFonts w:eastAsiaTheme="minorEastAsia"/>
          <w:szCs w:val="24"/>
          <w:lang w:eastAsia="en-CA"/>
        </w:rPr>
      </w:pPr>
      <w:hyperlink w:anchor="_Toc179379664" w:history="1">
        <w:r w:rsidRPr="00A975A2">
          <w:rPr>
            <w:rStyle w:val="Hyperlink"/>
            <w:lang w:val="fr-CA"/>
          </w:rPr>
          <w:t>2.4.5.1</w:t>
        </w:r>
        <w:r>
          <w:rPr>
            <w:rFonts w:eastAsiaTheme="minorEastAsia"/>
            <w:szCs w:val="24"/>
            <w:lang w:eastAsia="en-CA"/>
          </w:rPr>
          <w:tab/>
        </w:r>
        <w:r w:rsidRPr="00A975A2">
          <w:rPr>
            <w:rStyle w:val="Hyperlink"/>
            <w:lang w:val="fr-CA"/>
          </w:rPr>
          <w:t>Mandats gouvernementaux et responsabilisation des entreprises</w:t>
        </w:r>
        <w:r>
          <w:rPr>
            <w:webHidden/>
          </w:rPr>
          <w:tab/>
        </w:r>
        <w:r>
          <w:rPr>
            <w:webHidden/>
          </w:rPr>
          <w:fldChar w:fldCharType="begin"/>
        </w:r>
        <w:r>
          <w:rPr>
            <w:webHidden/>
          </w:rPr>
          <w:instrText xml:space="preserve"> PAGEREF _Toc179379664 \h </w:instrText>
        </w:r>
        <w:r>
          <w:rPr>
            <w:webHidden/>
          </w:rPr>
        </w:r>
        <w:r>
          <w:rPr>
            <w:webHidden/>
          </w:rPr>
          <w:fldChar w:fldCharType="separate"/>
        </w:r>
        <w:r>
          <w:rPr>
            <w:webHidden/>
          </w:rPr>
          <w:t>20</w:t>
        </w:r>
        <w:r>
          <w:rPr>
            <w:webHidden/>
          </w:rPr>
          <w:fldChar w:fldCharType="end"/>
        </w:r>
      </w:hyperlink>
    </w:p>
    <w:p w14:paraId="3BD2D3AE" w14:textId="38AF79F1" w:rsidR="004B5F06" w:rsidRDefault="004B5F06">
      <w:pPr>
        <w:pStyle w:val="TOC3"/>
        <w:rPr>
          <w:rFonts w:eastAsiaTheme="minorEastAsia"/>
          <w:i w:val="0"/>
          <w:iCs w:val="0"/>
          <w:szCs w:val="24"/>
          <w:lang w:eastAsia="en-CA"/>
        </w:rPr>
      </w:pPr>
      <w:hyperlink w:anchor="_Toc179379665" w:history="1">
        <w:r w:rsidRPr="00A975A2">
          <w:rPr>
            <w:rStyle w:val="Hyperlink"/>
            <w:lang w:val="fr-CA"/>
          </w:rPr>
          <w:t>2.4.6</w:t>
        </w:r>
        <w:r>
          <w:rPr>
            <w:rFonts w:eastAsiaTheme="minorEastAsia"/>
            <w:i w:val="0"/>
            <w:iCs w:val="0"/>
            <w:szCs w:val="24"/>
            <w:lang w:eastAsia="en-CA"/>
          </w:rPr>
          <w:tab/>
        </w:r>
        <w:r w:rsidRPr="00A975A2">
          <w:rPr>
            <w:rStyle w:val="Hyperlink"/>
            <w:lang w:val="fr-CA"/>
          </w:rPr>
          <w:t>Responsabiliser les personnes handicapées</w:t>
        </w:r>
        <w:r>
          <w:rPr>
            <w:webHidden/>
          </w:rPr>
          <w:tab/>
        </w:r>
        <w:r>
          <w:rPr>
            <w:webHidden/>
          </w:rPr>
          <w:fldChar w:fldCharType="begin"/>
        </w:r>
        <w:r>
          <w:rPr>
            <w:webHidden/>
          </w:rPr>
          <w:instrText xml:space="preserve"> PAGEREF _Toc179379665 \h </w:instrText>
        </w:r>
        <w:r>
          <w:rPr>
            <w:webHidden/>
          </w:rPr>
        </w:r>
        <w:r>
          <w:rPr>
            <w:webHidden/>
          </w:rPr>
          <w:fldChar w:fldCharType="separate"/>
        </w:r>
        <w:r>
          <w:rPr>
            <w:webHidden/>
          </w:rPr>
          <w:t>21</w:t>
        </w:r>
        <w:r>
          <w:rPr>
            <w:webHidden/>
          </w:rPr>
          <w:fldChar w:fldCharType="end"/>
        </w:r>
      </w:hyperlink>
    </w:p>
    <w:p w14:paraId="220F8045" w14:textId="07646B15" w:rsidR="004B5F06" w:rsidRDefault="004B5F06">
      <w:pPr>
        <w:pStyle w:val="TOC4"/>
        <w:rPr>
          <w:rFonts w:eastAsiaTheme="minorEastAsia"/>
          <w:szCs w:val="24"/>
          <w:lang w:eastAsia="en-CA"/>
        </w:rPr>
      </w:pPr>
      <w:hyperlink w:anchor="_Toc179379666" w:history="1">
        <w:r w:rsidRPr="00A975A2">
          <w:rPr>
            <w:rStyle w:val="Hyperlink"/>
            <w:lang w:val="fr-CA"/>
          </w:rPr>
          <w:t>2.4.6.1</w:t>
        </w:r>
        <w:r>
          <w:rPr>
            <w:rFonts w:eastAsiaTheme="minorEastAsia"/>
            <w:szCs w:val="24"/>
            <w:lang w:eastAsia="en-CA"/>
          </w:rPr>
          <w:tab/>
        </w:r>
        <w:r w:rsidRPr="00A975A2">
          <w:rPr>
            <w:rStyle w:val="Hyperlink"/>
            <w:lang w:val="fr-CA"/>
          </w:rPr>
          <w:t>Conception inclusive et participation active des personnes handicapées</w:t>
        </w:r>
        <w:r>
          <w:rPr>
            <w:webHidden/>
          </w:rPr>
          <w:tab/>
        </w:r>
        <w:r>
          <w:rPr>
            <w:webHidden/>
          </w:rPr>
          <w:fldChar w:fldCharType="begin"/>
        </w:r>
        <w:r>
          <w:rPr>
            <w:webHidden/>
          </w:rPr>
          <w:instrText xml:space="preserve"> PAGEREF _Toc179379666 \h </w:instrText>
        </w:r>
        <w:r>
          <w:rPr>
            <w:webHidden/>
          </w:rPr>
        </w:r>
        <w:r>
          <w:rPr>
            <w:webHidden/>
          </w:rPr>
          <w:fldChar w:fldCharType="separate"/>
        </w:r>
        <w:r>
          <w:rPr>
            <w:webHidden/>
          </w:rPr>
          <w:t>21</w:t>
        </w:r>
        <w:r>
          <w:rPr>
            <w:webHidden/>
          </w:rPr>
          <w:fldChar w:fldCharType="end"/>
        </w:r>
      </w:hyperlink>
    </w:p>
    <w:p w14:paraId="47B8AA89" w14:textId="00251A7A" w:rsidR="004B5F06" w:rsidRDefault="004B5F06">
      <w:pPr>
        <w:pStyle w:val="TOC4"/>
        <w:rPr>
          <w:rFonts w:eastAsiaTheme="minorEastAsia"/>
          <w:szCs w:val="24"/>
          <w:lang w:eastAsia="en-CA"/>
        </w:rPr>
      </w:pPr>
      <w:hyperlink w:anchor="_Toc179379667" w:history="1">
        <w:r w:rsidRPr="00A975A2">
          <w:rPr>
            <w:rStyle w:val="Hyperlink"/>
            <w:lang w:val="fr-CA"/>
          </w:rPr>
          <w:t>2.4.6.2</w:t>
        </w:r>
        <w:r>
          <w:rPr>
            <w:rFonts w:eastAsiaTheme="minorEastAsia"/>
            <w:szCs w:val="24"/>
            <w:lang w:eastAsia="en-CA"/>
          </w:rPr>
          <w:tab/>
        </w:r>
        <w:r w:rsidRPr="00A975A2">
          <w:rPr>
            <w:rStyle w:val="Hyperlink"/>
            <w:lang w:val="fr-CA"/>
          </w:rPr>
          <w:t>Accroître la compréhension</w:t>
        </w:r>
        <w:r>
          <w:rPr>
            <w:webHidden/>
          </w:rPr>
          <w:tab/>
        </w:r>
        <w:r>
          <w:rPr>
            <w:webHidden/>
          </w:rPr>
          <w:fldChar w:fldCharType="begin"/>
        </w:r>
        <w:r>
          <w:rPr>
            <w:webHidden/>
          </w:rPr>
          <w:instrText xml:space="preserve"> PAGEREF _Toc179379667 \h </w:instrText>
        </w:r>
        <w:r>
          <w:rPr>
            <w:webHidden/>
          </w:rPr>
        </w:r>
        <w:r>
          <w:rPr>
            <w:webHidden/>
          </w:rPr>
          <w:fldChar w:fldCharType="separate"/>
        </w:r>
        <w:r>
          <w:rPr>
            <w:webHidden/>
          </w:rPr>
          <w:t>22</w:t>
        </w:r>
        <w:r>
          <w:rPr>
            <w:webHidden/>
          </w:rPr>
          <w:fldChar w:fldCharType="end"/>
        </w:r>
      </w:hyperlink>
    </w:p>
    <w:p w14:paraId="127330F3" w14:textId="02711657" w:rsidR="004B5F06" w:rsidRDefault="004B5F06">
      <w:pPr>
        <w:pStyle w:val="TOC1"/>
        <w:rPr>
          <w:rFonts w:eastAsiaTheme="minorEastAsia"/>
          <w:noProof/>
          <w:szCs w:val="24"/>
          <w:lang w:val="en-CA" w:eastAsia="en-CA"/>
        </w:rPr>
      </w:pPr>
      <w:hyperlink w:anchor="_Toc179379668" w:history="1">
        <w:r w:rsidRPr="00A975A2">
          <w:rPr>
            <w:rStyle w:val="Hyperlink"/>
            <w:noProof/>
            <w:lang w:val="fr-CA"/>
          </w:rPr>
          <w:t>3.</w:t>
        </w:r>
        <w:r>
          <w:rPr>
            <w:rFonts w:eastAsiaTheme="minorEastAsia"/>
            <w:noProof/>
            <w:szCs w:val="24"/>
            <w:lang w:val="en-CA" w:eastAsia="en-CA"/>
          </w:rPr>
          <w:tab/>
        </w:r>
        <w:r w:rsidRPr="00A975A2">
          <w:rPr>
            <w:rStyle w:val="Hyperlink"/>
            <w:noProof/>
            <w:lang w:val="fr-CA"/>
          </w:rPr>
          <w:t>Stratégies pour les réglementations</w:t>
        </w:r>
        <w:r>
          <w:rPr>
            <w:noProof/>
            <w:webHidden/>
          </w:rPr>
          <w:tab/>
        </w:r>
        <w:r>
          <w:rPr>
            <w:noProof/>
            <w:webHidden/>
          </w:rPr>
          <w:fldChar w:fldCharType="begin"/>
        </w:r>
        <w:r>
          <w:rPr>
            <w:noProof/>
            <w:webHidden/>
          </w:rPr>
          <w:instrText xml:space="preserve"> PAGEREF _Toc179379668 \h </w:instrText>
        </w:r>
        <w:r>
          <w:rPr>
            <w:noProof/>
            <w:webHidden/>
          </w:rPr>
        </w:r>
        <w:r>
          <w:rPr>
            <w:noProof/>
            <w:webHidden/>
          </w:rPr>
          <w:fldChar w:fldCharType="separate"/>
        </w:r>
        <w:r>
          <w:rPr>
            <w:noProof/>
            <w:webHidden/>
          </w:rPr>
          <w:t>22</w:t>
        </w:r>
        <w:r>
          <w:rPr>
            <w:noProof/>
            <w:webHidden/>
          </w:rPr>
          <w:fldChar w:fldCharType="end"/>
        </w:r>
      </w:hyperlink>
    </w:p>
    <w:p w14:paraId="68299252" w14:textId="774CF5BD" w:rsidR="004B5F06" w:rsidRDefault="004B5F06">
      <w:pPr>
        <w:pStyle w:val="TOC1"/>
        <w:rPr>
          <w:rFonts w:eastAsiaTheme="minorEastAsia"/>
          <w:noProof/>
          <w:szCs w:val="24"/>
          <w:lang w:val="en-CA" w:eastAsia="en-CA"/>
        </w:rPr>
      </w:pPr>
      <w:hyperlink w:anchor="_Toc179379669" w:history="1">
        <w:r w:rsidRPr="00A975A2">
          <w:rPr>
            <w:rStyle w:val="Hyperlink"/>
            <w:noProof/>
            <w:lang w:val="fr-CA"/>
          </w:rPr>
          <w:t>4.</w:t>
        </w:r>
        <w:r>
          <w:rPr>
            <w:rFonts w:eastAsiaTheme="minorEastAsia"/>
            <w:noProof/>
            <w:szCs w:val="24"/>
            <w:lang w:val="en-CA" w:eastAsia="en-CA"/>
          </w:rPr>
          <w:tab/>
        </w:r>
        <w:r w:rsidRPr="00A975A2">
          <w:rPr>
            <w:rStyle w:val="Hyperlink"/>
            <w:noProof/>
            <w:lang w:val="fr-CA"/>
          </w:rPr>
          <w:t>Prochaines étapes</w:t>
        </w:r>
        <w:r>
          <w:rPr>
            <w:noProof/>
            <w:webHidden/>
          </w:rPr>
          <w:tab/>
        </w:r>
        <w:r>
          <w:rPr>
            <w:noProof/>
            <w:webHidden/>
          </w:rPr>
          <w:fldChar w:fldCharType="begin"/>
        </w:r>
        <w:r>
          <w:rPr>
            <w:noProof/>
            <w:webHidden/>
          </w:rPr>
          <w:instrText xml:space="preserve"> PAGEREF _Toc179379669 \h </w:instrText>
        </w:r>
        <w:r>
          <w:rPr>
            <w:noProof/>
            <w:webHidden/>
          </w:rPr>
        </w:r>
        <w:r>
          <w:rPr>
            <w:noProof/>
            <w:webHidden/>
          </w:rPr>
          <w:fldChar w:fldCharType="separate"/>
        </w:r>
        <w:r>
          <w:rPr>
            <w:noProof/>
            <w:webHidden/>
          </w:rPr>
          <w:t>23</w:t>
        </w:r>
        <w:r>
          <w:rPr>
            <w:noProof/>
            <w:webHidden/>
          </w:rPr>
          <w:fldChar w:fldCharType="end"/>
        </w:r>
      </w:hyperlink>
    </w:p>
    <w:p w14:paraId="42B1340D" w14:textId="1DDF4EE6" w:rsidR="00AE70E8" w:rsidRPr="00E342F1" w:rsidRDefault="00C82398" w:rsidP="00AE70E8">
      <w:pPr>
        <w:pStyle w:val="ListParagraph"/>
        <w:ind w:hanging="360"/>
        <w:rPr>
          <w:lang w:val="fr-CA"/>
        </w:rPr>
      </w:pPr>
      <w:r w:rsidRPr="00E342F1">
        <w:rPr>
          <w:lang w:val="fr-CA"/>
        </w:rPr>
        <w:fldChar w:fldCharType="end"/>
      </w:r>
    </w:p>
    <w:p w14:paraId="3DC8BBA1" w14:textId="5678611A" w:rsidR="00BD440A" w:rsidRPr="00E342F1" w:rsidRDefault="00BD440A" w:rsidP="00AE70E8">
      <w:pPr>
        <w:pStyle w:val="ListParagraph"/>
        <w:ind w:hanging="360"/>
        <w:rPr>
          <w:lang w:val="fr-CA"/>
        </w:rPr>
        <w:sectPr w:rsidR="00BD440A" w:rsidRPr="00E342F1" w:rsidSect="00D87F3C">
          <w:type w:val="continuous"/>
          <w:pgSz w:w="12240" w:h="15840"/>
          <w:pgMar w:top="1440" w:right="1440" w:bottom="1440" w:left="1440" w:header="708" w:footer="708" w:gutter="0"/>
          <w:cols w:space="708"/>
          <w:docGrid w:linePitch="360"/>
        </w:sectPr>
      </w:pPr>
    </w:p>
    <w:p w14:paraId="48E6471E" w14:textId="4871D20C" w:rsidR="00F504EF" w:rsidRPr="00E342F1" w:rsidRDefault="00F504EF" w:rsidP="00C42C3E">
      <w:pPr>
        <w:pStyle w:val="Heading1"/>
        <w:numPr>
          <w:ilvl w:val="0"/>
          <w:numId w:val="32"/>
        </w:numPr>
        <w:rPr>
          <w:lang w:val="fr-CA"/>
        </w:rPr>
      </w:pPr>
      <w:bookmarkStart w:id="3" w:name="_Toc179379630"/>
      <w:r w:rsidRPr="00E342F1">
        <w:rPr>
          <w:lang w:val="fr-CA"/>
        </w:rPr>
        <w:t>Aperçu du projet</w:t>
      </w:r>
      <w:bookmarkEnd w:id="3"/>
      <w:r w:rsidRPr="00E342F1">
        <w:rPr>
          <w:lang w:val="fr-CA"/>
        </w:rPr>
        <w:t xml:space="preserve"> </w:t>
      </w:r>
    </w:p>
    <w:p w14:paraId="6E5A865B" w14:textId="23761694" w:rsidR="00F504EF" w:rsidRPr="00E342F1" w:rsidRDefault="00F504EF" w:rsidP="00F504EF">
      <w:pPr>
        <w:rPr>
          <w:lang w:val="fr-CA"/>
        </w:rPr>
      </w:pPr>
      <w:r w:rsidRPr="00E342F1">
        <w:rPr>
          <w:lang w:val="fr-CA"/>
        </w:rPr>
        <w:t xml:space="preserve">Le Réguler le domaine numérique </w:t>
      </w:r>
      <w:r w:rsidR="003E7210" w:rsidRPr="00E342F1">
        <w:rPr>
          <w:lang w:val="fr-CA"/>
        </w:rPr>
        <w:t>(R</w:t>
      </w:r>
      <w:r w:rsidRPr="00E342F1">
        <w:rPr>
          <w:lang w:val="fr-CA"/>
        </w:rPr>
        <w:t>l</w:t>
      </w:r>
      <w:r w:rsidR="003E7210" w:rsidRPr="00E342F1">
        <w:rPr>
          <w:lang w:val="fr-CA"/>
        </w:rPr>
        <w:t>D</w:t>
      </w:r>
      <w:r w:rsidRPr="00E342F1">
        <w:rPr>
          <w:lang w:val="fr-CA"/>
        </w:rPr>
        <w:t>N</w:t>
      </w:r>
      <w:r w:rsidR="003E7210" w:rsidRPr="00E342F1">
        <w:rPr>
          <w:lang w:val="fr-CA"/>
        </w:rPr>
        <w:t xml:space="preserve">) </w:t>
      </w:r>
      <w:r w:rsidRPr="00E342F1">
        <w:rPr>
          <w:lang w:val="fr-CA"/>
        </w:rPr>
        <w:t>(le projet) s</w:t>
      </w:r>
      <w:r w:rsidR="00EA3E31" w:rsidRPr="00E342F1">
        <w:rPr>
          <w:lang w:val="fr-CA"/>
        </w:rPr>
        <w:t>’</w:t>
      </w:r>
      <w:r w:rsidRPr="00E342F1">
        <w:rPr>
          <w:lang w:val="fr-CA"/>
        </w:rPr>
        <w:t>engage à faire progresser l</w:t>
      </w:r>
      <w:r w:rsidR="00EA3E31" w:rsidRPr="00E342F1">
        <w:rPr>
          <w:lang w:val="fr-CA"/>
        </w:rPr>
        <w:t>’</w:t>
      </w:r>
      <w:r w:rsidRPr="00E342F1">
        <w:rPr>
          <w:lang w:val="fr-CA"/>
        </w:rPr>
        <w:t>inclusion numérique et l</w:t>
      </w:r>
      <w:r w:rsidR="00EA3E31" w:rsidRPr="00E342F1">
        <w:rPr>
          <w:lang w:val="fr-CA"/>
        </w:rPr>
        <w:t>’</w:t>
      </w:r>
      <w:r w:rsidRPr="00E342F1">
        <w:rPr>
          <w:lang w:val="fr-CA"/>
        </w:rPr>
        <w:t>accessibilité des TIC pour les personnes handicapées. Cette entreprise ambitieuse est réalisée en réunissant une équipe pluridisciplinaire de conseillers et de co-chercheurs, chacun apportant des connaissances précieuses dans son domaine respectif. L</w:t>
      </w:r>
      <w:r w:rsidR="00EA3E31" w:rsidRPr="00E342F1">
        <w:rPr>
          <w:lang w:val="fr-CA"/>
        </w:rPr>
        <w:t>’</w:t>
      </w:r>
      <w:r w:rsidRPr="00E342F1">
        <w:rPr>
          <w:lang w:val="fr-CA"/>
        </w:rPr>
        <w:t>expertise collective de l</w:t>
      </w:r>
      <w:r w:rsidR="00EA3E31" w:rsidRPr="00E342F1">
        <w:rPr>
          <w:lang w:val="fr-CA"/>
        </w:rPr>
        <w:t>’</w:t>
      </w:r>
      <w:r w:rsidRPr="00E342F1">
        <w:rPr>
          <w:lang w:val="fr-CA"/>
        </w:rPr>
        <w:t>équipe couvre les expériences vécues du handicap, la conception réglementaire, les systèmes numériques, la politique, le changement culturel, les communications, les systèmes adaptatifs complexes et la conformité.</w:t>
      </w:r>
    </w:p>
    <w:p w14:paraId="21E15097" w14:textId="6DDD09F2" w:rsidR="00F504EF" w:rsidRPr="00E342F1" w:rsidRDefault="00F504EF" w:rsidP="00F504EF">
      <w:pPr>
        <w:rPr>
          <w:lang w:val="fr-CA"/>
        </w:rPr>
      </w:pPr>
      <w:r w:rsidRPr="00E342F1">
        <w:rPr>
          <w:lang w:val="fr-CA"/>
        </w:rPr>
        <w:t>Le projet aborde plusieurs questions essentielles : Comment pouvons-nous faire les choses différemment ? Comment pouvons-nous réellement influer sur ce qui est publié, vendu, conçu, réglementé et acheté afin de garantir que le travail sur l</w:t>
      </w:r>
      <w:r w:rsidR="00EA3E31" w:rsidRPr="00E342F1">
        <w:rPr>
          <w:lang w:val="fr-CA"/>
        </w:rPr>
        <w:t>’</w:t>
      </w:r>
      <w:r w:rsidRPr="00E342F1">
        <w:rPr>
          <w:lang w:val="fr-CA"/>
        </w:rPr>
        <w:t>accessibilité ait un impact significatif ? Malgré les réglementations et les normes existantes, l</w:t>
      </w:r>
      <w:r w:rsidR="00EA3E31" w:rsidRPr="00E342F1">
        <w:rPr>
          <w:lang w:val="fr-CA"/>
        </w:rPr>
        <w:t>’</w:t>
      </w:r>
      <w:r w:rsidRPr="00E342F1">
        <w:rPr>
          <w:lang w:val="fr-CA"/>
        </w:rPr>
        <w:t>impact a été limité. Un secteur est apparu qui dépend des questions de conformité pour tester et réparer. Ce vaste secteur de l</w:t>
      </w:r>
      <w:r w:rsidR="00EA3E31" w:rsidRPr="00E342F1">
        <w:rPr>
          <w:lang w:val="fr-CA"/>
        </w:rPr>
        <w:t>’</w:t>
      </w:r>
      <w:r w:rsidRPr="00E342F1">
        <w:rPr>
          <w:lang w:val="fr-CA"/>
        </w:rPr>
        <w:t>accessibilité dans le domaine numérique gagne sa vie en évaluant, en certifiant, en testant et en réparant les problèmes. Malheureusement, ce secteur a une influence sur l</w:t>
      </w:r>
      <w:r w:rsidR="00EA3E31" w:rsidRPr="00E342F1">
        <w:rPr>
          <w:lang w:val="fr-CA"/>
        </w:rPr>
        <w:t>’</w:t>
      </w:r>
      <w:r w:rsidRPr="00E342F1">
        <w:rPr>
          <w:lang w:val="fr-CA"/>
        </w:rPr>
        <w:t>élaboration des normes et des réglementations, ce qui entraîne un conflit d</w:t>
      </w:r>
      <w:r w:rsidR="00EA3E31" w:rsidRPr="00E342F1">
        <w:rPr>
          <w:lang w:val="fr-CA"/>
        </w:rPr>
        <w:t>’</w:t>
      </w:r>
      <w:r w:rsidRPr="00E342F1">
        <w:rPr>
          <w:lang w:val="fr-CA"/>
        </w:rPr>
        <w:t>intérêts. Les normes deviennent de plus en plus complexes et leur compréhension et leur mise en œuvre requièrent des compétences spécialisées, ce qui crée des obstacles pour les petits producteurs.</w:t>
      </w:r>
    </w:p>
    <w:p w14:paraId="351E0EA1" w14:textId="60B28516" w:rsidR="00F504EF" w:rsidRPr="00E342F1" w:rsidRDefault="00F504EF" w:rsidP="00F504EF">
      <w:pPr>
        <w:rPr>
          <w:lang w:val="fr-CA"/>
        </w:rPr>
      </w:pPr>
      <w:r w:rsidRPr="00E342F1">
        <w:rPr>
          <w:lang w:val="fr-CA"/>
        </w:rPr>
        <w:t>La RlDN examine également les problèmes systémiques posés par les normes et réglementations actuelles. Il s</w:t>
      </w:r>
      <w:r w:rsidR="00EA3E31" w:rsidRPr="00E342F1">
        <w:rPr>
          <w:lang w:val="fr-CA"/>
        </w:rPr>
        <w:t>’</w:t>
      </w:r>
      <w:r w:rsidRPr="00E342F1">
        <w:rPr>
          <w:lang w:val="fr-CA"/>
        </w:rPr>
        <w:t>agit notamment de leur lenteur, qui ne permet pas de suivre les évolutions technologiques, et de leur simplicité, qui ne permet pas de couvrir les divers besoins de tous les utilisateurs potentiels, en particulier ceux des personnes handicapées. En conséquence, les normes profitent souvent à ceux qui en ont le moins besoin, plutôt qu</w:t>
      </w:r>
      <w:r w:rsidR="00EA3E31" w:rsidRPr="00E342F1">
        <w:rPr>
          <w:lang w:val="fr-CA"/>
        </w:rPr>
        <w:t>’</w:t>
      </w:r>
      <w:r w:rsidRPr="00E342F1">
        <w:rPr>
          <w:lang w:val="fr-CA"/>
        </w:rPr>
        <w:t>à ceux qui en ont le plus besoin. Cela indique que l</w:t>
      </w:r>
      <w:r w:rsidR="00EA3E31" w:rsidRPr="00E342F1">
        <w:rPr>
          <w:lang w:val="fr-CA"/>
        </w:rPr>
        <w:t>’</w:t>
      </w:r>
      <w:r w:rsidRPr="00E342F1">
        <w:rPr>
          <w:lang w:val="fr-CA"/>
        </w:rPr>
        <w:t>écosystème actuel ne fonctionne pas comme il le devrait.</w:t>
      </w:r>
    </w:p>
    <w:p w14:paraId="2CE8649F" w14:textId="52FFF3FE" w:rsidR="00F504EF" w:rsidRPr="00E342F1" w:rsidRDefault="00F504EF" w:rsidP="00F504EF">
      <w:pPr>
        <w:rPr>
          <w:lang w:val="fr-CA"/>
        </w:rPr>
      </w:pPr>
      <w:r w:rsidRPr="00E342F1">
        <w:rPr>
          <w:lang w:val="fr-CA"/>
        </w:rPr>
        <w:t>L</w:t>
      </w:r>
      <w:r w:rsidR="00EA3E31" w:rsidRPr="00E342F1">
        <w:rPr>
          <w:lang w:val="fr-CA"/>
        </w:rPr>
        <w:t>’</w:t>
      </w:r>
      <w:r w:rsidRPr="00E342F1">
        <w:rPr>
          <w:lang w:val="fr-CA"/>
        </w:rPr>
        <w:t>un des objectifs du projet est d</w:t>
      </w:r>
      <w:r w:rsidR="00EA3E31" w:rsidRPr="00E342F1">
        <w:rPr>
          <w:lang w:val="fr-CA"/>
        </w:rPr>
        <w:t>’</w:t>
      </w:r>
      <w:r w:rsidRPr="00E342F1">
        <w:rPr>
          <w:lang w:val="fr-CA"/>
        </w:rPr>
        <w:t>explorer d</w:t>
      </w:r>
      <w:r w:rsidR="00EA3E31" w:rsidRPr="00E342F1">
        <w:rPr>
          <w:lang w:val="fr-CA"/>
        </w:rPr>
        <w:t>’</w:t>
      </w:r>
      <w:r w:rsidRPr="00E342F1">
        <w:rPr>
          <w:lang w:val="fr-CA"/>
        </w:rPr>
        <w:t>autres moyens de parvenir à une plus grande inclusion numérique qui ne reposent pas uniquement sur la législation, les orientations ou les normes. Au lieu d</w:t>
      </w:r>
      <w:r w:rsidR="00EA3E31" w:rsidRPr="00E342F1">
        <w:rPr>
          <w:lang w:val="fr-CA"/>
        </w:rPr>
        <w:t>’</w:t>
      </w:r>
      <w:r w:rsidRPr="00E342F1">
        <w:rPr>
          <w:lang w:val="fr-CA"/>
        </w:rPr>
        <w:t>un secteur axé sur l</w:t>
      </w:r>
      <w:r w:rsidR="00EA3E31" w:rsidRPr="00E342F1">
        <w:rPr>
          <w:lang w:val="fr-CA"/>
        </w:rPr>
        <w:t>’</w:t>
      </w:r>
      <w:r w:rsidRPr="00E342F1">
        <w:rPr>
          <w:lang w:val="fr-CA"/>
        </w:rPr>
        <w:t>identification et la réparation des problèmes, le projet cherche à trouver des solutions innovantes qui empêchent l</w:t>
      </w:r>
      <w:r w:rsidR="00EA3E31" w:rsidRPr="00E342F1">
        <w:rPr>
          <w:lang w:val="fr-CA"/>
        </w:rPr>
        <w:t>’</w:t>
      </w:r>
      <w:r w:rsidRPr="00E342F1">
        <w:rPr>
          <w:lang w:val="fr-CA"/>
        </w:rPr>
        <w:t>apparition d</w:t>
      </w:r>
      <w:r w:rsidR="00EA3E31" w:rsidRPr="00E342F1">
        <w:rPr>
          <w:lang w:val="fr-CA"/>
        </w:rPr>
        <w:t>’</w:t>
      </w:r>
      <w:r w:rsidRPr="00E342F1">
        <w:rPr>
          <w:lang w:val="fr-CA"/>
        </w:rPr>
        <w:t>obstacles. Cette approche vise à s</w:t>
      </w:r>
      <w:r w:rsidR="00EA3E31" w:rsidRPr="00E342F1">
        <w:rPr>
          <w:lang w:val="fr-CA"/>
        </w:rPr>
        <w:t>’</w:t>
      </w:r>
      <w:r w:rsidRPr="00E342F1">
        <w:rPr>
          <w:lang w:val="fr-CA"/>
        </w:rPr>
        <w:t>éloigner d</w:t>
      </w:r>
      <w:r w:rsidR="00EA3E31" w:rsidRPr="00E342F1">
        <w:rPr>
          <w:lang w:val="fr-CA"/>
        </w:rPr>
        <w:t>’</w:t>
      </w:r>
      <w:r w:rsidRPr="00E342F1">
        <w:rPr>
          <w:lang w:val="fr-CA"/>
        </w:rPr>
        <w:t>une stratégie spécialisée et professionnelle pour s</w:t>
      </w:r>
      <w:r w:rsidR="00EA3E31" w:rsidRPr="00E342F1">
        <w:rPr>
          <w:lang w:val="fr-CA"/>
        </w:rPr>
        <w:t>’</w:t>
      </w:r>
      <w:r w:rsidRPr="00E342F1">
        <w:rPr>
          <w:lang w:val="fr-CA"/>
        </w:rPr>
        <w:t>orienter vers des normes plus inclusives et compréhensibles.</w:t>
      </w:r>
    </w:p>
    <w:p w14:paraId="7A281795" w14:textId="3FD5EA64" w:rsidR="00F504EF" w:rsidRPr="00E342F1" w:rsidRDefault="00F504EF" w:rsidP="00F504EF">
      <w:pPr>
        <w:rPr>
          <w:lang w:val="fr-CA"/>
        </w:rPr>
      </w:pPr>
      <w:r w:rsidRPr="00E342F1">
        <w:rPr>
          <w:lang w:val="fr-CA"/>
        </w:rPr>
        <w:t>Ensemble, l</w:t>
      </w:r>
      <w:r w:rsidR="00EA3E31" w:rsidRPr="00E342F1">
        <w:rPr>
          <w:lang w:val="fr-CA"/>
        </w:rPr>
        <w:t>’</w:t>
      </w:r>
      <w:r w:rsidRPr="00E342F1">
        <w:rPr>
          <w:lang w:val="fr-CA"/>
        </w:rPr>
        <w:t>équipe s</w:t>
      </w:r>
      <w:r w:rsidR="00EA3E31" w:rsidRPr="00E342F1">
        <w:rPr>
          <w:lang w:val="fr-CA"/>
        </w:rPr>
        <w:t>’</w:t>
      </w:r>
      <w:r w:rsidRPr="00E342F1">
        <w:rPr>
          <w:lang w:val="fr-CA"/>
        </w:rPr>
        <w:t>attaque à six défis majeurs et jette les bases d</w:t>
      </w:r>
      <w:r w:rsidR="00EA3E31" w:rsidRPr="00E342F1">
        <w:rPr>
          <w:lang w:val="fr-CA"/>
        </w:rPr>
        <w:t>’</w:t>
      </w:r>
      <w:r w:rsidRPr="00E342F1">
        <w:rPr>
          <w:lang w:val="fr-CA"/>
        </w:rPr>
        <w:t>un système réglementaire qui régit efficacement le paysage numérique. Le projet vise à élaborer des normes qui intègrent la communauté des personnes handicapées dans leur développement et qui sont flexibles et adaptables à l</w:t>
      </w:r>
      <w:r w:rsidR="00EA3E31" w:rsidRPr="00E342F1">
        <w:rPr>
          <w:lang w:val="fr-CA"/>
        </w:rPr>
        <w:t>’</w:t>
      </w:r>
      <w:r w:rsidRPr="00E342F1">
        <w:rPr>
          <w:lang w:val="fr-CA"/>
        </w:rPr>
        <w:t>évolution du paysage des TIC. Le travail effectué jusqu</w:t>
      </w:r>
      <w:r w:rsidR="00EA3E31" w:rsidRPr="00E342F1">
        <w:rPr>
          <w:lang w:val="fr-CA"/>
        </w:rPr>
        <w:t>’</w:t>
      </w:r>
      <w:r w:rsidRPr="00E342F1">
        <w:rPr>
          <w:lang w:val="fr-CA"/>
        </w:rPr>
        <w:t>à présent a permis d</w:t>
      </w:r>
      <w:r w:rsidR="00EA3E31" w:rsidRPr="00E342F1">
        <w:rPr>
          <w:lang w:val="fr-CA"/>
        </w:rPr>
        <w:t>’</w:t>
      </w:r>
      <w:r w:rsidRPr="00E342F1">
        <w:rPr>
          <w:lang w:val="fr-CA"/>
        </w:rPr>
        <w:t>explorer les questions réglementaires, les barrières numériques et les nouvelles approches possibles avec des personnes ayant une expérience vécue du handicap dans le cadre de deux activités de recherche conjointes, mais il est encore nécessaire d</w:t>
      </w:r>
      <w:r w:rsidR="00EA3E31" w:rsidRPr="00E342F1">
        <w:rPr>
          <w:lang w:val="fr-CA"/>
        </w:rPr>
        <w:t>’</w:t>
      </w:r>
      <w:r w:rsidRPr="00E342F1">
        <w:rPr>
          <w:lang w:val="fr-CA"/>
        </w:rPr>
        <w:t>explorer d</w:t>
      </w:r>
      <w:r w:rsidR="00EA3E31" w:rsidRPr="00E342F1">
        <w:rPr>
          <w:lang w:val="fr-CA"/>
        </w:rPr>
        <w:t>’</w:t>
      </w:r>
      <w:r w:rsidRPr="00E342F1">
        <w:rPr>
          <w:lang w:val="fr-CA"/>
        </w:rPr>
        <w:t>autres méthodes et instruments juridiques pour parvenir à une meilleure inclusion numérique.</w:t>
      </w:r>
    </w:p>
    <w:p w14:paraId="0F92C1C8" w14:textId="0D6BFC39" w:rsidR="003E7210" w:rsidRPr="00E342F1" w:rsidRDefault="00F504EF" w:rsidP="003E7210">
      <w:pPr>
        <w:rPr>
          <w:lang w:val="fr-CA"/>
        </w:rPr>
      </w:pPr>
      <w:r w:rsidRPr="00E342F1">
        <w:rPr>
          <w:lang w:val="fr-CA"/>
        </w:rPr>
        <w:t>Les résultats du projet informeront les Normes d</w:t>
      </w:r>
      <w:r w:rsidR="00EA3E31" w:rsidRPr="00E342F1">
        <w:rPr>
          <w:lang w:val="fr-CA"/>
        </w:rPr>
        <w:t>’</w:t>
      </w:r>
      <w:r w:rsidRPr="00E342F1">
        <w:rPr>
          <w:lang w:val="fr-CA"/>
        </w:rPr>
        <w:t>accessibilité du Canada sur les approches visant à améliorer l</w:t>
      </w:r>
      <w:r w:rsidR="00EA3E31" w:rsidRPr="00E342F1">
        <w:rPr>
          <w:lang w:val="fr-CA"/>
        </w:rPr>
        <w:t>’</w:t>
      </w:r>
      <w:r w:rsidRPr="00E342F1">
        <w:rPr>
          <w:lang w:val="fr-CA"/>
        </w:rPr>
        <w:t>accessibilité des outils, contenus, transactions et processus numériques médiatisés</w:t>
      </w:r>
      <w:r w:rsidR="003E7210" w:rsidRPr="00E342F1">
        <w:rPr>
          <w:lang w:val="fr-CA"/>
        </w:rPr>
        <w:t>.</w:t>
      </w:r>
    </w:p>
    <w:p w14:paraId="0DB903E6" w14:textId="4FE70758" w:rsidR="00AE70E8" w:rsidRPr="00E342F1" w:rsidRDefault="00F504EF" w:rsidP="00A97E61">
      <w:pPr>
        <w:pStyle w:val="Heading2"/>
        <w:rPr>
          <w:lang w:val="fr-CA"/>
        </w:rPr>
      </w:pPr>
      <w:bookmarkStart w:id="4" w:name="_Toc176951789"/>
      <w:bookmarkStart w:id="5" w:name="_Toc177373750"/>
      <w:bookmarkStart w:id="6" w:name="_Toc175656415"/>
      <w:bookmarkStart w:id="7" w:name="_Toc179379631"/>
      <w:r w:rsidRPr="00E342F1">
        <w:rPr>
          <w:lang w:val="fr-CA"/>
        </w:rPr>
        <w:t>O</w:t>
      </w:r>
      <w:r w:rsidR="00AE70E8" w:rsidRPr="00E342F1">
        <w:rPr>
          <w:lang w:val="fr-CA"/>
        </w:rPr>
        <w:t>bjecti</w:t>
      </w:r>
      <w:r w:rsidRPr="00E342F1">
        <w:rPr>
          <w:lang w:val="fr-CA"/>
        </w:rPr>
        <w:t>f</w:t>
      </w:r>
      <w:r w:rsidR="00AE70E8" w:rsidRPr="00E342F1">
        <w:rPr>
          <w:lang w:val="fr-CA"/>
        </w:rPr>
        <w:t>s</w:t>
      </w:r>
      <w:bookmarkEnd w:id="4"/>
      <w:bookmarkEnd w:id="5"/>
      <w:r w:rsidRPr="00E342F1">
        <w:rPr>
          <w:lang w:val="fr-CA"/>
        </w:rPr>
        <w:t xml:space="preserve"> du projet</w:t>
      </w:r>
      <w:bookmarkEnd w:id="7"/>
      <w:r w:rsidR="00AE70E8" w:rsidRPr="00E342F1">
        <w:rPr>
          <w:lang w:val="fr-CA"/>
        </w:rPr>
        <w:t xml:space="preserve"> </w:t>
      </w:r>
      <w:bookmarkEnd w:id="6"/>
    </w:p>
    <w:p w14:paraId="0DD7427C" w14:textId="624CF928" w:rsidR="00AE70E8" w:rsidRPr="00E342F1" w:rsidRDefault="004336F7" w:rsidP="00AE70E8">
      <w:pPr>
        <w:rPr>
          <w:lang w:val="fr-CA"/>
        </w:rPr>
      </w:pPr>
      <w:r w:rsidRPr="00E342F1">
        <w:rPr>
          <w:lang w:val="fr-CA"/>
        </w:rPr>
        <w:t>Le projet « Réglementer le domaine numérique » se concentre sur les défis persistants et les disparités auxquels les personnes handicapées sont confrontées dans l</w:t>
      </w:r>
      <w:r w:rsidR="00EA3E31" w:rsidRPr="00E342F1">
        <w:rPr>
          <w:lang w:val="fr-CA"/>
        </w:rPr>
        <w:t>’</w:t>
      </w:r>
      <w:r w:rsidRPr="00E342F1">
        <w:rPr>
          <w:lang w:val="fr-CA"/>
        </w:rPr>
        <w:t>accès aux technologies de l</w:t>
      </w:r>
      <w:r w:rsidR="00EA3E31" w:rsidRPr="00E342F1">
        <w:rPr>
          <w:lang w:val="fr-CA"/>
        </w:rPr>
        <w:t>’</w:t>
      </w:r>
      <w:r w:rsidRPr="00E342F1">
        <w:rPr>
          <w:lang w:val="fr-CA"/>
        </w:rPr>
        <w:t>information et de la communication (TIC) et aux outils numériques.L</w:t>
      </w:r>
      <w:r w:rsidR="00EA3E31" w:rsidRPr="00E342F1">
        <w:rPr>
          <w:lang w:val="fr-CA"/>
        </w:rPr>
        <w:t>’</w:t>
      </w:r>
      <w:r w:rsidRPr="00E342F1">
        <w:rPr>
          <w:lang w:val="fr-CA"/>
        </w:rPr>
        <w:t>équipe du RlDN</w:t>
      </w:r>
      <w:r w:rsidR="00DC3828" w:rsidRPr="00E342F1">
        <w:rPr>
          <w:lang w:val="fr-CA"/>
        </w:rPr>
        <w:t xml:space="preserve"> :</w:t>
      </w:r>
    </w:p>
    <w:p w14:paraId="65BFCC24" w14:textId="570E6F77" w:rsidR="004336F7" w:rsidRPr="00E342F1" w:rsidRDefault="004336F7" w:rsidP="004336F7">
      <w:pPr>
        <w:pStyle w:val="ListParagraph"/>
        <w:numPr>
          <w:ilvl w:val="0"/>
          <w:numId w:val="49"/>
        </w:numPr>
        <w:rPr>
          <w:lang w:val="fr-CA"/>
        </w:rPr>
      </w:pPr>
      <w:r w:rsidRPr="00E342F1">
        <w:rPr>
          <w:lang w:val="fr-CA"/>
        </w:rPr>
        <w:t>S</w:t>
      </w:r>
      <w:r w:rsidR="00EA3E31" w:rsidRPr="00E342F1">
        <w:rPr>
          <w:lang w:val="fr-CA"/>
        </w:rPr>
        <w:t>’</w:t>
      </w:r>
      <w:r w:rsidRPr="00E342F1">
        <w:rPr>
          <w:lang w:val="fr-CA"/>
        </w:rPr>
        <w:t>efforcer de découvrir les causes profondes des obstacles</w:t>
      </w:r>
    </w:p>
    <w:p w14:paraId="0A075E98" w14:textId="57C4AF35" w:rsidR="004336F7" w:rsidRPr="00E342F1" w:rsidRDefault="004336F7" w:rsidP="004336F7">
      <w:pPr>
        <w:pStyle w:val="ListParagraph"/>
        <w:numPr>
          <w:ilvl w:val="0"/>
          <w:numId w:val="49"/>
        </w:numPr>
        <w:rPr>
          <w:lang w:val="fr-CA"/>
        </w:rPr>
      </w:pPr>
      <w:r w:rsidRPr="00E342F1">
        <w:rPr>
          <w:lang w:val="fr-CA"/>
        </w:rPr>
        <w:t>Se concentrer sur les problèmes systémiques qui favorisent l</w:t>
      </w:r>
      <w:r w:rsidR="00EA3E31" w:rsidRPr="00E342F1">
        <w:rPr>
          <w:lang w:val="fr-CA"/>
        </w:rPr>
        <w:t>’</w:t>
      </w:r>
      <w:r w:rsidRPr="00E342F1">
        <w:rPr>
          <w:lang w:val="fr-CA"/>
        </w:rPr>
        <w:t>exclusion numérique</w:t>
      </w:r>
    </w:p>
    <w:p w14:paraId="57C494B4" w14:textId="7DC498A5" w:rsidR="004336F7" w:rsidRPr="00E342F1" w:rsidRDefault="004336F7" w:rsidP="004336F7">
      <w:pPr>
        <w:pStyle w:val="ListParagraph"/>
        <w:numPr>
          <w:ilvl w:val="0"/>
          <w:numId w:val="49"/>
        </w:numPr>
        <w:rPr>
          <w:lang w:val="fr-CA"/>
        </w:rPr>
      </w:pPr>
      <w:r w:rsidRPr="00E342F1">
        <w:rPr>
          <w:lang w:val="fr-CA"/>
        </w:rPr>
        <w:t>Identifier les moyens potentiels d</w:t>
      </w:r>
      <w:r w:rsidR="00EA3E31" w:rsidRPr="00E342F1">
        <w:rPr>
          <w:lang w:val="fr-CA"/>
        </w:rPr>
        <w:t>’</w:t>
      </w:r>
      <w:r w:rsidRPr="00E342F1">
        <w:rPr>
          <w:lang w:val="fr-CA"/>
        </w:rPr>
        <w:t>interrompre et d</w:t>
      </w:r>
      <w:r w:rsidR="00EA3E31" w:rsidRPr="00E342F1">
        <w:rPr>
          <w:lang w:val="fr-CA"/>
        </w:rPr>
        <w:t>’</w:t>
      </w:r>
      <w:r w:rsidRPr="00E342F1">
        <w:rPr>
          <w:lang w:val="fr-CA"/>
        </w:rPr>
        <w:t>éliminer, d</w:t>
      </w:r>
      <w:r w:rsidR="00EA3E31" w:rsidRPr="00E342F1">
        <w:rPr>
          <w:lang w:val="fr-CA"/>
        </w:rPr>
        <w:t>’</w:t>
      </w:r>
      <w:r w:rsidRPr="00E342F1">
        <w:rPr>
          <w:lang w:val="fr-CA"/>
        </w:rPr>
        <w:t>améliorer ou d</w:t>
      </w:r>
      <w:r w:rsidR="00EA3E31" w:rsidRPr="00E342F1">
        <w:rPr>
          <w:lang w:val="fr-CA"/>
        </w:rPr>
        <w:t>’</w:t>
      </w:r>
      <w:r w:rsidRPr="00E342F1">
        <w:rPr>
          <w:lang w:val="fr-CA"/>
        </w:rPr>
        <w:t>empêcher l</w:t>
      </w:r>
      <w:r w:rsidR="00EA3E31" w:rsidRPr="00E342F1">
        <w:rPr>
          <w:lang w:val="fr-CA"/>
        </w:rPr>
        <w:t>’</w:t>
      </w:r>
      <w:r w:rsidRPr="00E342F1">
        <w:rPr>
          <w:lang w:val="fr-CA"/>
        </w:rPr>
        <w:t>aggravation des obstacles</w:t>
      </w:r>
    </w:p>
    <w:p w14:paraId="2B89B308" w14:textId="596CCFDA" w:rsidR="004336F7" w:rsidRPr="00E342F1" w:rsidRDefault="004336F7" w:rsidP="004336F7">
      <w:pPr>
        <w:pStyle w:val="ListParagraph"/>
        <w:numPr>
          <w:ilvl w:val="0"/>
          <w:numId w:val="49"/>
        </w:numPr>
        <w:rPr>
          <w:lang w:val="fr-CA"/>
        </w:rPr>
      </w:pPr>
      <w:r w:rsidRPr="00E342F1">
        <w:rPr>
          <w:lang w:val="fr-CA"/>
        </w:rPr>
        <w:t>Améliorer l</w:t>
      </w:r>
      <w:r w:rsidR="00EA3E31" w:rsidRPr="00E342F1">
        <w:rPr>
          <w:lang w:val="fr-CA"/>
        </w:rPr>
        <w:t>’</w:t>
      </w:r>
      <w:r w:rsidRPr="00E342F1">
        <w:rPr>
          <w:lang w:val="fr-CA"/>
        </w:rPr>
        <w:t>accessibilité des outils numériques, du contenu, des transactions et des processus médiatisés par ordinateur (utilisation de deux appareils électroniques ou plus pour un processus) pour les personnes handicapées.</w:t>
      </w:r>
    </w:p>
    <w:p w14:paraId="5DF787D9" w14:textId="78A4E789" w:rsidR="00AE70E8" w:rsidRPr="00E342F1" w:rsidRDefault="004336F7" w:rsidP="00AE70E8">
      <w:pPr>
        <w:rPr>
          <w:lang w:val="fr-CA"/>
        </w:rPr>
      </w:pPr>
      <w:r w:rsidRPr="00E342F1">
        <w:rPr>
          <w:lang w:val="fr-CA"/>
        </w:rPr>
        <w:t>L</w:t>
      </w:r>
      <w:r w:rsidR="00EA3E31" w:rsidRPr="00E342F1">
        <w:rPr>
          <w:lang w:val="fr-CA"/>
        </w:rPr>
        <w:t>’</w:t>
      </w:r>
      <w:r w:rsidRPr="00E342F1">
        <w:rPr>
          <w:lang w:val="fr-CA"/>
        </w:rPr>
        <w:t>objectif du RlDN est d</w:t>
      </w:r>
      <w:r w:rsidR="00EA3E31" w:rsidRPr="00E342F1">
        <w:rPr>
          <w:lang w:val="fr-CA"/>
        </w:rPr>
        <w:t>’</w:t>
      </w:r>
      <w:r w:rsidRPr="00E342F1">
        <w:rPr>
          <w:lang w:val="fr-CA"/>
        </w:rPr>
        <w:t>améliorer de manière significative l</w:t>
      </w:r>
      <w:r w:rsidR="00EA3E31" w:rsidRPr="00E342F1">
        <w:rPr>
          <w:lang w:val="fr-CA"/>
        </w:rPr>
        <w:t>’</w:t>
      </w:r>
      <w:r w:rsidRPr="00E342F1">
        <w:rPr>
          <w:lang w:val="fr-CA"/>
        </w:rPr>
        <w:t>inclusion numérique et l</w:t>
      </w:r>
      <w:r w:rsidR="00EA3E31" w:rsidRPr="00E342F1">
        <w:rPr>
          <w:lang w:val="fr-CA"/>
        </w:rPr>
        <w:t>’</w:t>
      </w:r>
      <w:r w:rsidRPr="00E342F1">
        <w:rPr>
          <w:lang w:val="fr-CA"/>
        </w:rPr>
        <w:t>accessibilité aux TIC ; l</w:t>
      </w:r>
      <w:r w:rsidR="00EA3E31" w:rsidRPr="00E342F1">
        <w:rPr>
          <w:lang w:val="fr-CA"/>
        </w:rPr>
        <w:t>’</w:t>
      </w:r>
      <w:r w:rsidRPr="00E342F1">
        <w:rPr>
          <w:lang w:val="fr-CA"/>
        </w:rPr>
        <w:t xml:space="preserve">équipe concevra de manière itérative un système réglementaire qui répondra aux défis identifiés dans les travaux </w:t>
      </w:r>
      <w:r w:rsidR="00501B2B" w:rsidRPr="00E342F1">
        <w:rPr>
          <w:lang w:val="fr-CA"/>
        </w:rPr>
        <w:t>antérieurs.</w:t>
      </w:r>
    </w:p>
    <w:p w14:paraId="7C237BF3" w14:textId="3E9C1768" w:rsidR="00AE70E8" w:rsidRPr="00E342F1" w:rsidRDefault="004336F7" w:rsidP="00A97E61">
      <w:pPr>
        <w:pStyle w:val="Heading2"/>
        <w:rPr>
          <w:lang w:val="fr-CA"/>
        </w:rPr>
      </w:pPr>
      <w:bookmarkStart w:id="8" w:name="_Challenge_statements"/>
      <w:bookmarkStart w:id="9" w:name="_Toc175656416"/>
      <w:bookmarkStart w:id="10" w:name="_Project_Challenges_Statements"/>
      <w:bookmarkStart w:id="11" w:name="_Toc176951790"/>
      <w:bookmarkStart w:id="12" w:name="_Toc177373751"/>
      <w:bookmarkStart w:id="13" w:name="_Toc179379632"/>
      <w:bookmarkEnd w:id="8"/>
      <w:r w:rsidRPr="00E342F1">
        <w:rPr>
          <w:lang w:val="fr-CA"/>
        </w:rPr>
        <w:t xml:space="preserve">Les défis du </w:t>
      </w:r>
      <w:r w:rsidR="00B8581A" w:rsidRPr="00E342F1">
        <w:rPr>
          <w:lang w:val="fr-CA"/>
        </w:rPr>
        <w:t>Projet</w:t>
      </w:r>
      <w:bookmarkEnd w:id="13"/>
      <w:r w:rsidR="00B8581A" w:rsidRPr="00E342F1">
        <w:rPr>
          <w:lang w:val="fr-CA"/>
        </w:rPr>
        <w:t xml:space="preserve"> </w:t>
      </w:r>
      <w:bookmarkEnd w:id="9"/>
      <w:bookmarkEnd w:id="10"/>
      <w:bookmarkEnd w:id="11"/>
      <w:bookmarkEnd w:id="12"/>
    </w:p>
    <w:p w14:paraId="78571D99" w14:textId="08788DF8" w:rsidR="00AE70E8" w:rsidRPr="00E342F1" w:rsidRDefault="004336F7" w:rsidP="00AE70E8">
      <w:pPr>
        <w:rPr>
          <w:lang w:val="fr-CA"/>
        </w:rPr>
      </w:pPr>
      <w:r w:rsidRPr="00E342F1">
        <w:rPr>
          <w:lang w:val="fr-CA"/>
        </w:rPr>
        <w:t>Dans le cadre de nos travaux de recherche et de développement sur les normes d</w:t>
      </w:r>
      <w:r w:rsidR="00EA3E31" w:rsidRPr="00E342F1">
        <w:rPr>
          <w:lang w:val="fr-CA"/>
        </w:rPr>
        <w:t>’</w:t>
      </w:r>
      <w:r w:rsidRPr="00E342F1">
        <w:rPr>
          <w:lang w:val="fr-CA"/>
        </w:rPr>
        <w:t>accessibilité, ainsi que de notre engagement avec la communauté des personnes handicapées dans ces activités, nous avons pris conscience qu</w:t>
      </w:r>
      <w:r w:rsidR="00EA3E31" w:rsidRPr="00E342F1">
        <w:rPr>
          <w:lang w:val="fr-CA"/>
        </w:rPr>
        <w:t>’</w:t>
      </w:r>
      <w:r w:rsidRPr="00E342F1">
        <w:rPr>
          <w:lang w:val="fr-CA"/>
        </w:rPr>
        <w:t>il existait un potentiel de changement dans le processus réglementaire pour le domaine numérique ; cela inclut, sans s</w:t>
      </w:r>
      <w:r w:rsidR="00EA3E31" w:rsidRPr="00E342F1">
        <w:rPr>
          <w:lang w:val="fr-CA"/>
        </w:rPr>
        <w:t>’</w:t>
      </w:r>
      <w:r w:rsidRPr="00E342F1">
        <w:rPr>
          <w:lang w:val="fr-CA"/>
        </w:rPr>
        <w:t>y limiter, la manière dont les normes et les réglementations sont conçues, développées, mises en œuvre et appliquées. C</w:t>
      </w:r>
      <w:r w:rsidR="00EA3E31" w:rsidRPr="00E342F1">
        <w:rPr>
          <w:lang w:val="fr-CA"/>
        </w:rPr>
        <w:t>’</w:t>
      </w:r>
      <w:r w:rsidRPr="00E342F1">
        <w:rPr>
          <w:lang w:val="fr-CA"/>
        </w:rPr>
        <w:t>est pourquoi ce projet a été élaboré pour relever les six défis qui sont apparus. L</w:t>
      </w:r>
      <w:r w:rsidR="00EA3E31" w:rsidRPr="00E342F1">
        <w:rPr>
          <w:lang w:val="fr-CA"/>
        </w:rPr>
        <w:t>’</w:t>
      </w:r>
      <w:r w:rsidRPr="00E342F1">
        <w:rPr>
          <w:lang w:val="fr-CA"/>
        </w:rPr>
        <w:t>objectif est de réimaginer et de repenser les normes d</w:t>
      </w:r>
      <w:r w:rsidR="00EA3E31" w:rsidRPr="00E342F1">
        <w:rPr>
          <w:lang w:val="fr-CA"/>
        </w:rPr>
        <w:t>’</w:t>
      </w:r>
      <w:r w:rsidRPr="00E342F1">
        <w:rPr>
          <w:lang w:val="fr-CA"/>
        </w:rPr>
        <w:t>accessibilité de manière à ce qu</w:t>
      </w:r>
      <w:r w:rsidR="00EA3E31" w:rsidRPr="00E342F1">
        <w:rPr>
          <w:lang w:val="fr-CA"/>
        </w:rPr>
        <w:t>’</w:t>
      </w:r>
      <w:r w:rsidRPr="00E342F1">
        <w:rPr>
          <w:lang w:val="fr-CA"/>
        </w:rPr>
        <w:t>elles</w:t>
      </w:r>
      <w:r w:rsidR="00DC3828" w:rsidRPr="00E342F1">
        <w:rPr>
          <w:lang w:val="fr-CA"/>
        </w:rPr>
        <w:t xml:space="preserve"> :</w:t>
      </w:r>
      <w:r w:rsidR="00AE70E8" w:rsidRPr="00E342F1">
        <w:rPr>
          <w:lang w:val="fr-CA"/>
        </w:rPr>
        <w:t xml:space="preserve">  </w:t>
      </w:r>
    </w:p>
    <w:p w14:paraId="275FE488" w14:textId="1ADF3B25" w:rsidR="001F33C3" w:rsidRPr="00E342F1" w:rsidRDefault="001F33C3" w:rsidP="001F33C3">
      <w:pPr>
        <w:pStyle w:val="ListParagraph"/>
        <w:numPr>
          <w:ilvl w:val="0"/>
          <w:numId w:val="50"/>
        </w:numPr>
        <w:rPr>
          <w:lang w:val="fr-CA"/>
        </w:rPr>
      </w:pPr>
      <w:r w:rsidRPr="00E342F1">
        <w:rPr>
          <w:lang w:val="fr-CA"/>
        </w:rPr>
        <w:t>Répondre à la diversité et à la complexité des besoins en matière d</w:t>
      </w:r>
      <w:r w:rsidR="00EA3E31" w:rsidRPr="00E342F1">
        <w:rPr>
          <w:lang w:val="fr-CA"/>
        </w:rPr>
        <w:t>’</w:t>
      </w:r>
      <w:r w:rsidRPr="00E342F1">
        <w:rPr>
          <w:lang w:val="fr-CA"/>
        </w:rPr>
        <w:t>accessibilité, y compris les besoins des petites minorités et des personnes atypiques.</w:t>
      </w:r>
    </w:p>
    <w:p w14:paraId="24CEF95E" w14:textId="54D4C7E1" w:rsidR="001F33C3" w:rsidRPr="00E342F1" w:rsidRDefault="001F33C3" w:rsidP="001F33C3">
      <w:pPr>
        <w:pStyle w:val="ListParagraph"/>
        <w:numPr>
          <w:ilvl w:val="0"/>
          <w:numId w:val="50"/>
        </w:numPr>
        <w:rPr>
          <w:lang w:val="fr-CA"/>
        </w:rPr>
      </w:pPr>
      <w:r w:rsidRPr="00E342F1">
        <w:rPr>
          <w:lang w:val="fr-CA"/>
        </w:rPr>
        <w:t>Sont adaptés au rythme exponentiel de l</w:t>
      </w:r>
      <w:r w:rsidR="00EA3E31" w:rsidRPr="00E342F1">
        <w:rPr>
          <w:lang w:val="fr-CA"/>
        </w:rPr>
        <w:t>’</w:t>
      </w:r>
      <w:r w:rsidRPr="00E342F1">
        <w:rPr>
          <w:lang w:val="fr-CA"/>
        </w:rPr>
        <w:t>évolution des TIC et conçus pour prévenir de manière proactive l</w:t>
      </w:r>
      <w:r w:rsidR="00EA3E31" w:rsidRPr="00E342F1">
        <w:rPr>
          <w:lang w:val="fr-CA"/>
        </w:rPr>
        <w:t>’</w:t>
      </w:r>
      <w:r w:rsidRPr="00E342F1">
        <w:rPr>
          <w:lang w:val="fr-CA"/>
        </w:rPr>
        <w:t>apparition d</w:t>
      </w:r>
      <w:r w:rsidR="00EA3E31" w:rsidRPr="00E342F1">
        <w:rPr>
          <w:lang w:val="fr-CA"/>
        </w:rPr>
        <w:t>’</w:t>
      </w:r>
      <w:r w:rsidRPr="00E342F1">
        <w:rPr>
          <w:lang w:val="fr-CA"/>
        </w:rPr>
        <w:t>obstacles.</w:t>
      </w:r>
    </w:p>
    <w:p w14:paraId="33415B53" w14:textId="266FFE0C" w:rsidR="001F33C3" w:rsidRPr="00E342F1" w:rsidRDefault="00501B2B" w:rsidP="001F33C3">
      <w:pPr>
        <w:pStyle w:val="ListParagraph"/>
        <w:numPr>
          <w:ilvl w:val="0"/>
          <w:numId w:val="50"/>
        </w:numPr>
        <w:rPr>
          <w:lang w:val="fr-CA"/>
        </w:rPr>
      </w:pPr>
      <w:r w:rsidRPr="00E342F1">
        <w:rPr>
          <w:lang w:val="fr-CA"/>
        </w:rPr>
        <w:t>Soutiennent</w:t>
      </w:r>
      <w:r w:rsidR="001F33C3" w:rsidRPr="00E342F1">
        <w:rPr>
          <w:lang w:val="fr-CA"/>
        </w:rPr>
        <w:t xml:space="preserve"> et exigent des approches intégrées de l</w:t>
      </w:r>
      <w:r w:rsidR="00EA3E31" w:rsidRPr="00E342F1">
        <w:rPr>
          <w:lang w:val="fr-CA"/>
        </w:rPr>
        <w:t>’</w:t>
      </w:r>
      <w:r w:rsidR="001F33C3" w:rsidRPr="00E342F1">
        <w:rPr>
          <w:lang w:val="fr-CA"/>
        </w:rPr>
        <w:t>accessibilité plutôt que des approches séparées, afin de favoriser l</w:t>
      </w:r>
      <w:r w:rsidR="00EA3E31" w:rsidRPr="00E342F1">
        <w:rPr>
          <w:lang w:val="fr-CA"/>
        </w:rPr>
        <w:t>’</w:t>
      </w:r>
      <w:r w:rsidR="001F33C3" w:rsidRPr="00E342F1">
        <w:rPr>
          <w:lang w:val="fr-CA"/>
        </w:rPr>
        <w:t>interopérabilité et les avantages pour tous les utilisateurs</w:t>
      </w:r>
    </w:p>
    <w:p w14:paraId="6D594043" w14:textId="2461872E" w:rsidR="001F33C3" w:rsidRPr="00E342F1" w:rsidRDefault="00501B2B" w:rsidP="001F33C3">
      <w:pPr>
        <w:pStyle w:val="ListParagraph"/>
        <w:numPr>
          <w:ilvl w:val="0"/>
          <w:numId w:val="50"/>
        </w:numPr>
        <w:rPr>
          <w:lang w:val="fr-CA"/>
        </w:rPr>
      </w:pPr>
      <w:r w:rsidRPr="00E342F1">
        <w:rPr>
          <w:lang w:val="fr-CA"/>
        </w:rPr>
        <w:t>Soutiennent</w:t>
      </w:r>
      <w:r w:rsidR="001F33C3" w:rsidRPr="00E342F1">
        <w:rPr>
          <w:lang w:val="fr-CA"/>
        </w:rPr>
        <w:t xml:space="preserve"> l</w:t>
      </w:r>
      <w:r w:rsidR="00EA3E31" w:rsidRPr="00E342F1">
        <w:rPr>
          <w:lang w:val="fr-CA"/>
        </w:rPr>
        <w:t>’</w:t>
      </w:r>
      <w:r w:rsidR="001F33C3" w:rsidRPr="00E342F1">
        <w:rPr>
          <w:lang w:val="fr-CA"/>
        </w:rPr>
        <w:t>innovation en matière d</w:t>
      </w:r>
      <w:r w:rsidR="00EA3E31" w:rsidRPr="00E342F1">
        <w:rPr>
          <w:lang w:val="fr-CA"/>
        </w:rPr>
        <w:t>’</w:t>
      </w:r>
      <w:r w:rsidR="001F33C3" w:rsidRPr="00E342F1">
        <w:rPr>
          <w:lang w:val="fr-CA"/>
        </w:rPr>
        <w:t>accessibilité au lieu de la limiter</w:t>
      </w:r>
    </w:p>
    <w:p w14:paraId="140344A0" w14:textId="63123088" w:rsidR="001F33C3" w:rsidRPr="00E342F1" w:rsidRDefault="001F33C3" w:rsidP="001F33C3">
      <w:pPr>
        <w:pStyle w:val="ListParagraph"/>
        <w:numPr>
          <w:ilvl w:val="0"/>
          <w:numId w:val="50"/>
        </w:numPr>
        <w:rPr>
          <w:lang w:val="fr-CA"/>
        </w:rPr>
      </w:pPr>
      <w:r w:rsidRPr="00E342F1">
        <w:rPr>
          <w:lang w:val="fr-CA"/>
        </w:rPr>
        <w:t>Ne pas créer d</w:t>
      </w:r>
      <w:r w:rsidR="00EA3E31" w:rsidRPr="00E342F1">
        <w:rPr>
          <w:lang w:val="fr-CA"/>
        </w:rPr>
        <w:t>’</w:t>
      </w:r>
      <w:r w:rsidRPr="00E342F1">
        <w:rPr>
          <w:lang w:val="fr-CA"/>
        </w:rPr>
        <w:t>incitations à la perpétuation du problème</w:t>
      </w:r>
    </w:p>
    <w:p w14:paraId="5C6C7262" w14:textId="6D0F7122" w:rsidR="001F33C3" w:rsidRPr="00E342F1" w:rsidRDefault="001F33C3" w:rsidP="001F33C3">
      <w:pPr>
        <w:pStyle w:val="ListParagraph"/>
        <w:numPr>
          <w:ilvl w:val="0"/>
          <w:numId w:val="50"/>
        </w:numPr>
        <w:rPr>
          <w:lang w:val="fr-CA"/>
        </w:rPr>
      </w:pPr>
      <w:r w:rsidRPr="00E342F1">
        <w:rPr>
          <w:lang w:val="fr-CA"/>
        </w:rPr>
        <w:t>Impliquer et responsabiliser les personnes handicapées et leurs communautés pour qu</w:t>
      </w:r>
      <w:r w:rsidR="00EA3E31" w:rsidRPr="00E342F1">
        <w:rPr>
          <w:lang w:val="fr-CA"/>
        </w:rPr>
        <w:t>’</w:t>
      </w:r>
      <w:r w:rsidRPr="00E342F1">
        <w:rPr>
          <w:lang w:val="fr-CA"/>
        </w:rPr>
        <w:t>elles façonnent les exigences réglementaires, informent sur les méthodes de respect des exigences, identifient les lacunes réglementaires et affinent en permanence le système réglementaire.</w:t>
      </w:r>
    </w:p>
    <w:p w14:paraId="6960237B" w14:textId="4EDCDA35" w:rsidR="00AE70E8" w:rsidRPr="00E342F1" w:rsidRDefault="001F33C3" w:rsidP="00AE70E8">
      <w:pPr>
        <w:rPr>
          <w:lang w:val="fr-CA"/>
        </w:rPr>
      </w:pPr>
      <w:r w:rsidRPr="00E342F1">
        <w:rPr>
          <w:lang w:val="fr-CA"/>
        </w:rPr>
        <w:t>Ces six défis sont relevés, en partie, par une série d</w:t>
      </w:r>
      <w:r w:rsidR="00EA3E31" w:rsidRPr="00E342F1">
        <w:rPr>
          <w:lang w:val="fr-CA"/>
        </w:rPr>
        <w:t>’</w:t>
      </w:r>
      <w:r w:rsidRPr="00E342F1">
        <w:rPr>
          <w:lang w:val="fr-CA"/>
        </w:rPr>
        <w:t xml:space="preserve">activités de recherche en co-conception avec des experts ayant une expérience vécue du </w:t>
      </w:r>
      <w:r w:rsidR="00501B2B" w:rsidRPr="00E342F1">
        <w:rPr>
          <w:lang w:val="fr-CA"/>
        </w:rPr>
        <w:t>handicap.</w:t>
      </w:r>
      <w:r w:rsidR="00AE70E8" w:rsidRPr="00E342F1">
        <w:rPr>
          <w:lang w:val="fr-CA"/>
        </w:rPr>
        <w:t xml:space="preserve"> </w:t>
      </w:r>
    </w:p>
    <w:p w14:paraId="1F82D6AA" w14:textId="6A5B2F56" w:rsidR="001F33C3" w:rsidRPr="00E342F1" w:rsidRDefault="001F33C3" w:rsidP="00916EEE">
      <w:pPr>
        <w:pStyle w:val="Heading1"/>
        <w:numPr>
          <w:ilvl w:val="0"/>
          <w:numId w:val="32"/>
        </w:numPr>
        <w:rPr>
          <w:lang w:val="fr-CA"/>
        </w:rPr>
      </w:pPr>
      <w:bookmarkStart w:id="14" w:name="_Toc176951791"/>
      <w:bookmarkStart w:id="15" w:name="_Toc177373752"/>
      <w:bookmarkStart w:id="16" w:name="_Toc179379633"/>
      <w:r w:rsidRPr="00E342F1">
        <w:rPr>
          <w:lang w:val="fr-CA"/>
        </w:rPr>
        <w:t>Co-recherche : Obstacles et régu</w:t>
      </w:r>
      <w:bookmarkEnd w:id="14"/>
      <w:bookmarkEnd w:id="15"/>
      <w:r w:rsidRPr="00E342F1">
        <w:rPr>
          <w:lang w:val="fr-CA"/>
        </w:rPr>
        <w:t>lations</w:t>
      </w:r>
      <w:bookmarkEnd w:id="16"/>
    </w:p>
    <w:p w14:paraId="6F57F424" w14:textId="5FA4BC3B" w:rsidR="00AE70E8" w:rsidRPr="00E342F1" w:rsidRDefault="00170AA3" w:rsidP="00AE70E8">
      <w:pPr>
        <w:rPr>
          <w:lang w:val="fr-CA"/>
        </w:rPr>
      </w:pPr>
      <w:r w:rsidRPr="00E342F1">
        <w:rPr>
          <w:lang w:val="fr-CA"/>
        </w:rPr>
        <w:t>L</w:t>
      </w:r>
      <w:r w:rsidR="00EA3E31" w:rsidRPr="00E342F1">
        <w:rPr>
          <w:lang w:val="fr-CA"/>
        </w:rPr>
        <w:t>’</w:t>
      </w:r>
      <w:r w:rsidRPr="00E342F1">
        <w:rPr>
          <w:lang w:val="fr-CA"/>
        </w:rPr>
        <w:t>objectif des normes d</w:t>
      </w:r>
      <w:r w:rsidR="00EA3E31" w:rsidRPr="00E342F1">
        <w:rPr>
          <w:lang w:val="fr-CA"/>
        </w:rPr>
        <w:t>’</w:t>
      </w:r>
      <w:r w:rsidRPr="00E342F1">
        <w:rPr>
          <w:lang w:val="fr-CA"/>
        </w:rPr>
        <w:t xml:space="preserve">accessibilité pour la technologie numérique est de garantir que tout le monde, y compris les personnes handicapées, puisse utiliser les produits et les services. </w:t>
      </w:r>
      <w:r w:rsidR="001F33C3" w:rsidRPr="00E342F1">
        <w:rPr>
          <w:lang w:val="fr-CA"/>
        </w:rPr>
        <w:t>Ces normes sont appliquées à diverses plateformes numériques, y compris les sites Web, les logiciels, les kiosques bancaires et gouvernementaux et les applications mobiles. Un exemple est le CAN/ASC - EN 301 549:2024 du Canada, une norme volontaire pour les organisations qui s</w:t>
      </w:r>
      <w:r w:rsidR="00EA3E31" w:rsidRPr="00E342F1">
        <w:rPr>
          <w:lang w:val="fr-CA"/>
        </w:rPr>
        <w:t>’</w:t>
      </w:r>
      <w:r w:rsidR="001F33C3" w:rsidRPr="00E342F1">
        <w:rPr>
          <w:lang w:val="fr-CA"/>
        </w:rPr>
        <w:t>applique à toutes les entités relevant de la compétence fédérale. La norme établit les exigences relatives à l</w:t>
      </w:r>
      <w:r w:rsidR="00EA3E31" w:rsidRPr="00E342F1">
        <w:rPr>
          <w:lang w:val="fr-CA"/>
        </w:rPr>
        <w:t>’</w:t>
      </w:r>
      <w:r w:rsidR="001F33C3" w:rsidRPr="00E342F1">
        <w:rPr>
          <w:lang w:val="fr-CA"/>
        </w:rPr>
        <w:t>accessibilité des produits et services de technologie de l</w:t>
      </w:r>
      <w:r w:rsidR="00EA3E31" w:rsidRPr="00E342F1">
        <w:rPr>
          <w:lang w:val="fr-CA"/>
        </w:rPr>
        <w:t>’</w:t>
      </w:r>
      <w:r w:rsidR="001F33C3" w:rsidRPr="00E342F1">
        <w:rPr>
          <w:lang w:val="fr-CA"/>
        </w:rPr>
        <w:t xml:space="preserve">information et des communications </w:t>
      </w:r>
      <w:r w:rsidR="00AE70E8" w:rsidRPr="00E342F1">
        <w:rPr>
          <w:lang w:val="fr-CA"/>
        </w:rPr>
        <w:t>(</w:t>
      </w:r>
      <w:hyperlink r:id="rId19" w:history="1">
        <w:r w:rsidR="001F33C3" w:rsidRPr="00E342F1">
          <w:rPr>
            <w:rStyle w:val="Hyperlink"/>
            <w:lang w:val="fr-CA"/>
          </w:rPr>
          <w:t>https://accessibilite.canada.ca/en-301-549-exigences-daccessibilite-pour-les-produits-et-services-tic</w:t>
        </w:r>
      </w:hyperlink>
      <w:r w:rsidR="00AE70E8" w:rsidRPr="00E342F1">
        <w:rPr>
          <w:lang w:val="fr-CA"/>
        </w:rPr>
        <w:t xml:space="preserve">). </w:t>
      </w:r>
    </w:p>
    <w:p w14:paraId="5C7DE5AA" w14:textId="62062AA9" w:rsidR="001F33C3" w:rsidRPr="00E342F1" w:rsidRDefault="001F33C3" w:rsidP="001F33C3">
      <w:pPr>
        <w:rPr>
          <w:lang w:val="fr-CA"/>
        </w:rPr>
      </w:pPr>
      <w:r w:rsidRPr="00E342F1">
        <w:rPr>
          <w:lang w:val="fr-CA"/>
        </w:rPr>
        <w:t>Si les normes d</w:t>
      </w:r>
      <w:r w:rsidR="00EA3E31" w:rsidRPr="00E342F1">
        <w:rPr>
          <w:lang w:val="fr-CA"/>
        </w:rPr>
        <w:t>’</w:t>
      </w:r>
      <w:r w:rsidRPr="00E342F1">
        <w:rPr>
          <w:lang w:val="fr-CA"/>
        </w:rPr>
        <w:t>accessibilité visent à rendre la technologie numérique accessible à tous, leur application et leur mise en œuvre peuvent être incohérentes et ne pas suivre l</w:t>
      </w:r>
      <w:r w:rsidR="00EA3E31" w:rsidRPr="00E342F1">
        <w:rPr>
          <w:lang w:val="fr-CA"/>
        </w:rPr>
        <w:t>’</w:t>
      </w:r>
      <w:r w:rsidRPr="00E342F1">
        <w:rPr>
          <w:lang w:val="fr-CA"/>
        </w:rPr>
        <w:t>évolution des technologies émergentes. Les technologies émergentes posent de nouveaux défis en matière de normes d</w:t>
      </w:r>
      <w:r w:rsidR="00EA3E31" w:rsidRPr="00E342F1">
        <w:rPr>
          <w:lang w:val="fr-CA"/>
        </w:rPr>
        <w:t>’</w:t>
      </w:r>
      <w:r w:rsidRPr="00E342F1">
        <w:rPr>
          <w:lang w:val="fr-CA"/>
        </w:rPr>
        <w:t>accessibilité, car les progrès technologiques peuvent aller plus vite que l</w:t>
      </w:r>
      <w:r w:rsidR="00EA3E31" w:rsidRPr="00E342F1">
        <w:rPr>
          <w:lang w:val="fr-CA"/>
        </w:rPr>
        <w:t>’</w:t>
      </w:r>
      <w:r w:rsidRPr="00E342F1">
        <w:rPr>
          <w:lang w:val="fr-CA"/>
        </w:rPr>
        <w:t>élaboration de nouvelles normes et lignes directrices, ce qui rend ces technologies inaccessibles à de nombreuses personnes. Les technologies émergentes et innovantes peuvent également modifier les exigences que les individus souhaitent pour permettre l</w:t>
      </w:r>
      <w:r w:rsidR="00EA3E31" w:rsidRPr="00E342F1">
        <w:rPr>
          <w:lang w:val="fr-CA"/>
        </w:rPr>
        <w:t>’</w:t>
      </w:r>
      <w:r w:rsidRPr="00E342F1">
        <w:rPr>
          <w:lang w:val="fr-CA"/>
        </w:rPr>
        <w:t>accessibilité. Les normes qui ne peuvent pas être adaptées facilement laissent ceux qui s</w:t>
      </w:r>
      <w:r w:rsidR="00EA3E31" w:rsidRPr="00E342F1">
        <w:rPr>
          <w:lang w:val="fr-CA"/>
        </w:rPr>
        <w:t>’</w:t>
      </w:r>
      <w:r w:rsidRPr="00E342F1">
        <w:rPr>
          <w:lang w:val="fr-CA"/>
        </w:rPr>
        <w:t>y conforment et ceux à qui elles sont destinées ancrés dans des technologies plus anciennes. Nous avons entrepris d</w:t>
      </w:r>
      <w:r w:rsidR="00EA3E31" w:rsidRPr="00E342F1">
        <w:rPr>
          <w:lang w:val="fr-CA"/>
        </w:rPr>
        <w:t>’</w:t>
      </w:r>
      <w:r w:rsidRPr="00E342F1">
        <w:rPr>
          <w:lang w:val="fr-CA"/>
        </w:rPr>
        <w:t>examiner les obstacles et les réglementations en matière d</w:t>
      </w:r>
      <w:r w:rsidR="00EA3E31" w:rsidRPr="00E342F1">
        <w:rPr>
          <w:lang w:val="fr-CA"/>
        </w:rPr>
        <w:t>’</w:t>
      </w:r>
      <w:r w:rsidRPr="00E342F1">
        <w:rPr>
          <w:lang w:val="fr-CA"/>
        </w:rPr>
        <w:t xml:space="preserve">accessibilité avec des membres de la communauté des personnes handicapées. </w:t>
      </w:r>
    </w:p>
    <w:p w14:paraId="64E093CE" w14:textId="5D8CEDB5" w:rsidR="001F33C3" w:rsidRPr="00E342F1" w:rsidRDefault="001F33C3" w:rsidP="001F33C3">
      <w:pPr>
        <w:rPr>
          <w:lang w:val="fr-CA"/>
        </w:rPr>
      </w:pPr>
      <w:r w:rsidRPr="00E342F1">
        <w:rPr>
          <w:lang w:val="fr-CA"/>
        </w:rPr>
        <w:t>Entre avril et mai 2024, l</w:t>
      </w:r>
      <w:r w:rsidR="00EA3E31" w:rsidRPr="00E342F1">
        <w:rPr>
          <w:lang w:val="fr-CA"/>
        </w:rPr>
        <w:t>’</w:t>
      </w:r>
      <w:r w:rsidRPr="00E342F1">
        <w:rPr>
          <w:lang w:val="fr-CA"/>
        </w:rPr>
        <w:t>équipe du RlDN a mené des recherches avec des personnes ayant une expérience vécue du handicap sur les façons dont les normes d</w:t>
      </w:r>
      <w:r w:rsidR="00EA3E31" w:rsidRPr="00E342F1">
        <w:rPr>
          <w:lang w:val="fr-CA"/>
        </w:rPr>
        <w:t>’</w:t>
      </w:r>
      <w:r w:rsidRPr="00E342F1">
        <w:rPr>
          <w:lang w:val="fr-CA"/>
        </w:rPr>
        <w:t>accessibilité pour la technologie numérique ont fonctionné, ont échoué ou sont susceptibles d</w:t>
      </w:r>
      <w:r w:rsidR="00EA3E31" w:rsidRPr="00E342F1">
        <w:rPr>
          <w:lang w:val="fr-CA"/>
        </w:rPr>
        <w:t>’</w:t>
      </w:r>
      <w:r w:rsidRPr="00E342F1">
        <w:rPr>
          <w:lang w:val="fr-CA"/>
        </w:rPr>
        <w:t xml:space="preserve">échouer, ainsi que sur la manière dont elles peuvent être améliorées. </w:t>
      </w:r>
    </w:p>
    <w:p w14:paraId="09F3627B" w14:textId="77777777" w:rsidR="001F33C3" w:rsidRPr="00E342F1" w:rsidRDefault="001F33C3" w:rsidP="001F33C3">
      <w:pPr>
        <w:pStyle w:val="Heading2"/>
        <w:tabs>
          <w:tab w:val="num" w:pos="1440"/>
        </w:tabs>
        <w:rPr>
          <w:lang w:val="fr-CA"/>
        </w:rPr>
      </w:pPr>
      <w:bookmarkStart w:id="17" w:name="_Toc176951792"/>
      <w:bookmarkStart w:id="18" w:name="_Toc177373753"/>
      <w:bookmarkStart w:id="19" w:name="_Toc179379634"/>
      <w:r w:rsidRPr="00E342F1">
        <w:rPr>
          <w:lang w:val="fr-CA"/>
        </w:rPr>
        <w:t>Questions de co-recherche</w:t>
      </w:r>
      <w:bookmarkEnd w:id="17"/>
      <w:bookmarkEnd w:id="18"/>
      <w:bookmarkEnd w:id="19"/>
    </w:p>
    <w:p w14:paraId="2945329C" w14:textId="1EF8F7AB" w:rsidR="00AE70E8" w:rsidRPr="00E342F1" w:rsidRDefault="00195767" w:rsidP="00AE70E8">
      <w:pPr>
        <w:rPr>
          <w:lang w:val="fr-CA"/>
        </w:rPr>
      </w:pPr>
      <w:r w:rsidRPr="00E342F1">
        <w:rPr>
          <w:lang w:val="fr-CA"/>
        </w:rPr>
        <w:t>Nous avons créé trois questions portant sur les six défis. Ces questions ont été utilisées pour stimuler la réflexion, le partage et les discussions qui ont eu lieu au cours des activités de recherche conjointe. Les questions et notre intention de les créer sont décrites dans les sections suivantes</w:t>
      </w:r>
      <w:r w:rsidR="00AB77D6" w:rsidRPr="00E342F1">
        <w:rPr>
          <w:lang w:val="fr-CA"/>
        </w:rPr>
        <w:t xml:space="preserve"> :</w:t>
      </w:r>
      <w:r w:rsidR="00AE70E8" w:rsidRPr="00E342F1">
        <w:rPr>
          <w:lang w:val="fr-CA"/>
        </w:rPr>
        <w:t xml:space="preserve"> </w:t>
      </w:r>
    </w:p>
    <w:p w14:paraId="6A6259CF" w14:textId="1F65902E" w:rsidR="00195767" w:rsidRPr="00E342F1" w:rsidRDefault="00195767" w:rsidP="00FA392F">
      <w:pPr>
        <w:pStyle w:val="ListParagraph"/>
        <w:numPr>
          <w:ilvl w:val="0"/>
          <w:numId w:val="59"/>
        </w:numPr>
        <w:rPr>
          <w:lang w:val="fr-CA"/>
        </w:rPr>
      </w:pPr>
      <w:r w:rsidRPr="00E342F1">
        <w:rPr>
          <w:lang w:val="fr-CA"/>
        </w:rPr>
        <w:t>Quels sont les problèmes d</w:t>
      </w:r>
      <w:r w:rsidR="00EA3E31" w:rsidRPr="00E342F1">
        <w:rPr>
          <w:lang w:val="fr-CA"/>
        </w:rPr>
        <w:t>’</w:t>
      </w:r>
      <w:r w:rsidRPr="00E342F1">
        <w:rPr>
          <w:lang w:val="fr-CA"/>
        </w:rPr>
        <w:t>accessibilité spécifiques que vous avez rencontrés lors de l</w:t>
      </w:r>
      <w:r w:rsidR="00EA3E31" w:rsidRPr="00E342F1">
        <w:rPr>
          <w:lang w:val="fr-CA"/>
        </w:rPr>
        <w:t>’</w:t>
      </w:r>
      <w:r w:rsidRPr="00E342F1">
        <w:rPr>
          <w:lang w:val="fr-CA"/>
        </w:rPr>
        <w:t>utilisation d</w:t>
      </w:r>
      <w:r w:rsidR="00EA3E31" w:rsidRPr="00E342F1">
        <w:rPr>
          <w:lang w:val="fr-CA"/>
        </w:rPr>
        <w:t>’</w:t>
      </w:r>
      <w:r w:rsidRPr="00E342F1">
        <w:rPr>
          <w:lang w:val="fr-CA"/>
        </w:rPr>
        <w:t>outils ou de systèmes numériques ?</w:t>
      </w:r>
    </w:p>
    <w:p w14:paraId="207E1BDE" w14:textId="73D4B8B9" w:rsidR="00195767" w:rsidRPr="00E342F1" w:rsidRDefault="00195767" w:rsidP="00195767">
      <w:pPr>
        <w:rPr>
          <w:lang w:val="fr-CA"/>
        </w:rPr>
      </w:pPr>
      <w:bookmarkStart w:id="20" w:name="_Toc175656424"/>
      <w:bookmarkStart w:id="21" w:name="OLE_LINK6"/>
      <w:r w:rsidRPr="00E342F1">
        <w:rPr>
          <w:lang w:val="fr-CA"/>
        </w:rPr>
        <w:t>Les personnes handicapées ont des besoins plus variés que les personnes non handicapées. Les réglementations ont tendance à simplifier et à généraliser ces besoins. Cette simplification conduit à une pensée unique (comme toutes les personnes aveugles lisent le braille - ce n</w:t>
      </w:r>
      <w:r w:rsidR="00EA3E31" w:rsidRPr="00E342F1">
        <w:rPr>
          <w:lang w:val="fr-CA"/>
        </w:rPr>
        <w:t>’</w:t>
      </w:r>
      <w:r w:rsidRPr="00E342F1">
        <w:rPr>
          <w:lang w:val="fr-CA"/>
        </w:rPr>
        <w:t>est pas le cas). Elle peut également limiter la capacité des systèmes numériques à s</w:t>
      </w:r>
      <w:r w:rsidR="00EA3E31" w:rsidRPr="00E342F1">
        <w:rPr>
          <w:lang w:val="fr-CA"/>
        </w:rPr>
        <w:t>’</w:t>
      </w:r>
      <w:r w:rsidRPr="00E342F1">
        <w:rPr>
          <w:lang w:val="fr-CA"/>
        </w:rPr>
        <w:t>adapter aux besoins individuels. Si nous connaissons les types de problèmes d</w:t>
      </w:r>
      <w:r w:rsidR="00EA3E31" w:rsidRPr="00E342F1">
        <w:rPr>
          <w:lang w:val="fr-CA"/>
        </w:rPr>
        <w:t>’</w:t>
      </w:r>
      <w:r w:rsidRPr="00E342F1">
        <w:rPr>
          <w:lang w:val="fr-CA"/>
        </w:rPr>
        <w:t>accessibilité que vous avez rencontrés, cela peut nous aider à comprendre où les normes peuvent échouer.</w:t>
      </w:r>
    </w:p>
    <w:p w14:paraId="20FFDBBB" w14:textId="31631043" w:rsidR="00195767" w:rsidRPr="00E342F1" w:rsidRDefault="00195767" w:rsidP="00195767">
      <w:pPr>
        <w:rPr>
          <w:lang w:val="fr-CA"/>
        </w:rPr>
      </w:pPr>
      <w:r w:rsidRPr="00E342F1">
        <w:rPr>
          <w:lang w:val="fr-CA"/>
        </w:rPr>
        <w:t>Nous partons des obstacles identifiés par les personnes handicapées lors de l</w:t>
      </w:r>
      <w:r w:rsidR="00EA3E31" w:rsidRPr="00E342F1">
        <w:rPr>
          <w:lang w:val="fr-CA"/>
        </w:rPr>
        <w:t>’</w:t>
      </w:r>
      <w:r w:rsidRPr="00E342F1">
        <w:rPr>
          <w:lang w:val="fr-CA"/>
        </w:rPr>
        <w:t>utilisation des technologies pour comprendre comment les normes peuvent être défaillantes ou inadéquates. Notre objectif est d</w:t>
      </w:r>
      <w:r w:rsidR="00EA3E31" w:rsidRPr="00E342F1">
        <w:rPr>
          <w:lang w:val="fr-CA"/>
        </w:rPr>
        <w:t>’</w:t>
      </w:r>
      <w:r w:rsidRPr="00E342F1">
        <w:rPr>
          <w:lang w:val="fr-CA"/>
        </w:rPr>
        <w:t>étudier les moyens d</w:t>
      </w:r>
      <w:r w:rsidR="00EA3E31" w:rsidRPr="00E342F1">
        <w:rPr>
          <w:lang w:val="fr-CA"/>
        </w:rPr>
        <w:t>’</w:t>
      </w:r>
      <w:r w:rsidRPr="00E342F1">
        <w:rPr>
          <w:lang w:val="fr-CA"/>
        </w:rPr>
        <w:t>améliorer les normes d</w:t>
      </w:r>
      <w:r w:rsidR="00EA3E31" w:rsidRPr="00E342F1">
        <w:rPr>
          <w:lang w:val="fr-CA"/>
        </w:rPr>
        <w:t>’</w:t>
      </w:r>
      <w:r w:rsidRPr="00E342F1">
        <w:rPr>
          <w:lang w:val="fr-CA"/>
        </w:rPr>
        <w:t xml:space="preserve">accessibilité pour les technologies en les repensant et en essayant de nouvelles approches pour les rédiger, les mettre en œuvre, les faire respecter, les contrôler et les mettre à jour. </w:t>
      </w:r>
    </w:p>
    <w:bookmarkEnd w:id="20"/>
    <w:bookmarkEnd w:id="21"/>
    <w:p w14:paraId="0DEED6B0" w14:textId="6439D520" w:rsidR="00195767" w:rsidRPr="00E342F1" w:rsidRDefault="00195767" w:rsidP="00FA392F">
      <w:pPr>
        <w:pStyle w:val="ListParagraph"/>
        <w:numPr>
          <w:ilvl w:val="0"/>
          <w:numId w:val="59"/>
        </w:numPr>
        <w:rPr>
          <w:lang w:val="fr-CA"/>
        </w:rPr>
      </w:pPr>
      <w:r w:rsidRPr="00E342F1">
        <w:rPr>
          <w:lang w:val="fr-CA"/>
        </w:rPr>
        <w:t>Selon vous, quelles règles ou réglementations auraient dû être mises en place lors du développement de la technologie pour s</w:t>
      </w:r>
      <w:r w:rsidR="00EA3E31" w:rsidRPr="00E342F1">
        <w:rPr>
          <w:lang w:val="fr-CA"/>
        </w:rPr>
        <w:t>’</w:t>
      </w:r>
      <w:r w:rsidRPr="00E342F1">
        <w:rPr>
          <w:lang w:val="fr-CA"/>
        </w:rPr>
        <w:t>assurer qu</w:t>
      </w:r>
      <w:r w:rsidR="00EA3E31" w:rsidRPr="00E342F1">
        <w:rPr>
          <w:lang w:val="fr-CA"/>
        </w:rPr>
        <w:t>’</w:t>
      </w:r>
      <w:r w:rsidRPr="00E342F1">
        <w:rPr>
          <w:lang w:val="fr-CA"/>
        </w:rPr>
        <w:t>elle était conçue en tenant compte de vos besoins et de l</w:t>
      </w:r>
      <w:r w:rsidR="00EA3E31" w:rsidRPr="00E342F1">
        <w:rPr>
          <w:lang w:val="fr-CA"/>
        </w:rPr>
        <w:t>’</w:t>
      </w:r>
      <w:r w:rsidRPr="00E342F1">
        <w:rPr>
          <w:lang w:val="fr-CA"/>
        </w:rPr>
        <w:t>accessibilité ?</w:t>
      </w:r>
    </w:p>
    <w:p w14:paraId="37086BC5" w14:textId="602913B5" w:rsidR="00195767" w:rsidRPr="00E342F1" w:rsidRDefault="00195767" w:rsidP="00195767">
      <w:pPr>
        <w:rPr>
          <w:lang w:val="fr-CA"/>
        </w:rPr>
      </w:pPr>
      <w:r w:rsidRPr="00E342F1">
        <w:rPr>
          <w:lang w:val="fr-CA"/>
        </w:rPr>
        <w:t>La technologie évoluant rapidement, les normes et les réglementations doivent être révisées pour suivre le rythme. Malheureusement, la conformité à l</w:t>
      </w:r>
      <w:r w:rsidR="00EA3E31" w:rsidRPr="00E342F1">
        <w:rPr>
          <w:lang w:val="fr-CA"/>
        </w:rPr>
        <w:t>’</w:t>
      </w:r>
      <w:r w:rsidRPr="00E342F1">
        <w:rPr>
          <w:lang w:val="fr-CA"/>
        </w:rPr>
        <w:t>accessibilité peut parfois être sacrifiée à la vitesse et à la nouveauté. Notre défi est de donner la priorité à l</w:t>
      </w:r>
      <w:r w:rsidR="00EA3E31" w:rsidRPr="00E342F1">
        <w:rPr>
          <w:lang w:val="fr-CA"/>
        </w:rPr>
        <w:t>’</w:t>
      </w:r>
      <w:r w:rsidRPr="00E342F1">
        <w:rPr>
          <w:lang w:val="fr-CA"/>
        </w:rPr>
        <w:t>accessibilité dans ce paysage numérique en constante évolution et d</w:t>
      </w:r>
      <w:r w:rsidR="00EA3E31" w:rsidRPr="00E342F1">
        <w:rPr>
          <w:lang w:val="fr-CA"/>
        </w:rPr>
        <w:t>’</w:t>
      </w:r>
      <w:r w:rsidRPr="00E342F1">
        <w:rPr>
          <w:lang w:val="fr-CA"/>
        </w:rPr>
        <w:t>empêcher l</w:t>
      </w:r>
      <w:r w:rsidR="00EA3E31" w:rsidRPr="00E342F1">
        <w:rPr>
          <w:lang w:val="fr-CA"/>
        </w:rPr>
        <w:t>’</w:t>
      </w:r>
      <w:r w:rsidRPr="00E342F1">
        <w:rPr>
          <w:lang w:val="fr-CA"/>
        </w:rPr>
        <w:t>apparition de nouveaux obstacles.</w:t>
      </w:r>
    </w:p>
    <w:p w14:paraId="784F9473" w14:textId="3D999804" w:rsidR="00AE70E8" w:rsidRPr="00E342F1" w:rsidRDefault="00195767" w:rsidP="00AE70E8">
      <w:pPr>
        <w:rPr>
          <w:lang w:val="fr-CA"/>
        </w:rPr>
      </w:pPr>
      <w:r w:rsidRPr="00E342F1">
        <w:rPr>
          <w:lang w:val="fr-CA"/>
        </w:rPr>
        <w:t>Dans cette question, nous adoptons une approche différente pour comprendre comment les normes d</w:t>
      </w:r>
      <w:r w:rsidR="00EA3E31" w:rsidRPr="00E342F1">
        <w:rPr>
          <w:lang w:val="fr-CA"/>
        </w:rPr>
        <w:t>’</w:t>
      </w:r>
      <w:r w:rsidRPr="00E342F1">
        <w:rPr>
          <w:lang w:val="fr-CA"/>
        </w:rPr>
        <w:t>accessibilité pour la technologie peuvent présenter des lacunes ou être défaillantes. Nous adoptons une approche de type « J</w:t>
      </w:r>
      <w:r w:rsidR="00EA3E31" w:rsidRPr="00E342F1">
        <w:rPr>
          <w:lang w:val="fr-CA"/>
        </w:rPr>
        <w:t>’</w:t>
      </w:r>
      <w:r w:rsidRPr="00E342F1">
        <w:rPr>
          <w:lang w:val="fr-CA"/>
        </w:rPr>
        <w:t>aurais aimé », dans laquelle les personnes handicapées réfléchissent à ce qu</w:t>
      </w:r>
      <w:r w:rsidR="00EA3E31" w:rsidRPr="00E342F1">
        <w:rPr>
          <w:lang w:val="fr-CA"/>
        </w:rPr>
        <w:t>’</w:t>
      </w:r>
      <w:r w:rsidRPr="00E342F1">
        <w:rPr>
          <w:lang w:val="fr-CA"/>
        </w:rPr>
        <w:t>elles auraient aimé voir mis en place lorsque la technologie qu</w:t>
      </w:r>
      <w:r w:rsidR="00EA3E31" w:rsidRPr="00E342F1">
        <w:rPr>
          <w:lang w:val="fr-CA"/>
        </w:rPr>
        <w:t>’</w:t>
      </w:r>
      <w:r w:rsidRPr="00E342F1">
        <w:rPr>
          <w:lang w:val="fr-CA"/>
        </w:rPr>
        <w:t>elles utilisent a été développée. Notre objectif est d</w:t>
      </w:r>
      <w:r w:rsidR="00EA3E31" w:rsidRPr="00E342F1">
        <w:rPr>
          <w:lang w:val="fr-CA"/>
        </w:rPr>
        <w:t>’</w:t>
      </w:r>
      <w:r w:rsidRPr="00E342F1">
        <w:rPr>
          <w:lang w:val="fr-CA"/>
        </w:rPr>
        <w:t>étudier les moyens d</w:t>
      </w:r>
      <w:r w:rsidR="00EA3E31" w:rsidRPr="00E342F1">
        <w:rPr>
          <w:lang w:val="fr-CA"/>
        </w:rPr>
        <w:t>’</w:t>
      </w:r>
      <w:r w:rsidRPr="00E342F1">
        <w:rPr>
          <w:lang w:val="fr-CA"/>
        </w:rPr>
        <w:t>améliorer les normes d</w:t>
      </w:r>
      <w:r w:rsidR="00EA3E31" w:rsidRPr="00E342F1">
        <w:rPr>
          <w:lang w:val="fr-CA"/>
        </w:rPr>
        <w:t>’</w:t>
      </w:r>
      <w:r w:rsidRPr="00E342F1">
        <w:rPr>
          <w:lang w:val="fr-CA"/>
        </w:rPr>
        <w:t>accessibilité pour les technologies en les repensant et en essayant de nouvelles approches sur la façon dont elles sont rédigées, mises en œuvre, appliquées, contrôlées et mises à jour</w:t>
      </w:r>
      <w:r w:rsidR="00AE70E8" w:rsidRPr="00E342F1">
        <w:rPr>
          <w:lang w:val="fr-CA"/>
        </w:rPr>
        <w:t xml:space="preserve">. </w:t>
      </w:r>
    </w:p>
    <w:p w14:paraId="56422AA8" w14:textId="436B6438" w:rsidR="00195767" w:rsidRPr="00E342F1" w:rsidRDefault="00195767" w:rsidP="00FA392F">
      <w:pPr>
        <w:pStyle w:val="ListParagraph"/>
        <w:numPr>
          <w:ilvl w:val="0"/>
          <w:numId w:val="59"/>
        </w:numPr>
        <w:rPr>
          <w:lang w:val="fr-CA"/>
        </w:rPr>
      </w:pPr>
      <w:r w:rsidRPr="00E342F1">
        <w:rPr>
          <w:lang w:val="fr-CA"/>
        </w:rPr>
        <w:t>Voyez-vous des problèmes liés à des règles visant à rendre les choses accessibles qui ne disent pas comment le faire ?</w:t>
      </w:r>
    </w:p>
    <w:p w14:paraId="5DC8E688" w14:textId="2FD557E5" w:rsidR="00195767" w:rsidRPr="00E342F1" w:rsidRDefault="00195767" w:rsidP="00195767">
      <w:pPr>
        <w:rPr>
          <w:lang w:val="fr-CA"/>
        </w:rPr>
      </w:pPr>
      <w:r w:rsidRPr="00E342F1">
        <w:rPr>
          <w:lang w:val="fr-CA"/>
        </w:rPr>
        <w:t>Les nouvelles idées profitent aux personnes handicapées. Mais parfois, les règles d</w:t>
      </w:r>
      <w:r w:rsidR="00EA3E31" w:rsidRPr="00E342F1">
        <w:rPr>
          <w:lang w:val="fr-CA"/>
        </w:rPr>
        <w:t>’</w:t>
      </w:r>
      <w:r w:rsidRPr="00E342F1">
        <w:rPr>
          <w:lang w:val="fr-CA"/>
        </w:rPr>
        <w:t>accessibilité peuvent empêcher l</w:t>
      </w:r>
      <w:r w:rsidR="00EA3E31" w:rsidRPr="00E342F1">
        <w:rPr>
          <w:lang w:val="fr-CA"/>
        </w:rPr>
        <w:t>’</w:t>
      </w:r>
      <w:r w:rsidRPr="00E342F1">
        <w:rPr>
          <w:lang w:val="fr-CA"/>
        </w:rPr>
        <w:t>émergence d</w:t>
      </w:r>
      <w:r w:rsidR="00EA3E31" w:rsidRPr="00E342F1">
        <w:rPr>
          <w:lang w:val="fr-CA"/>
        </w:rPr>
        <w:t>’</w:t>
      </w:r>
      <w:r w:rsidRPr="00E342F1">
        <w:rPr>
          <w:lang w:val="fr-CA"/>
        </w:rPr>
        <w:t>idées nouvelles et utiles. Nous voulons des règles qui précisent ce qui doit être accessible, mais nous voulons aussi que les créateurs trouvent la meilleure façon de le faire.</w:t>
      </w:r>
    </w:p>
    <w:p w14:paraId="542B252B" w14:textId="63505C3F" w:rsidR="00AE70E8" w:rsidRPr="00E342F1" w:rsidRDefault="00195767" w:rsidP="00195767">
      <w:pPr>
        <w:rPr>
          <w:lang w:val="fr-CA"/>
        </w:rPr>
      </w:pPr>
      <w:r w:rsidRPr="00E342F1">
        <w:rPr>
          <w:lang w:val="fr-CA"/>
        </w:rPr>
        <w:t>Nous voulons comprendre les avantages et les risques des normes basées sur les performances. Nous avons demandé aux personnes handicapées de réfléchir à la manière dont cette approche pourrait ne pas leur convenir. Nous nous demandions si les membres de la communauté étaient préoccupés par cette approche. Ont-ils confiance dans une approche qui ne semble pas comporter de listes de contrôle ou d</w:t>
      </w:r>
      <w:r w:rsidR="00EA3E31" w:rsidRPr="00E342F1">
        <w:rPr>
          <w:lang w:val="fr-CA"/>
        </w:rPr>
        <w:t>’</w:t>
      </w:r>
      <w:r w:rsidRPr="00E342F1">
        <w:rPr>
          <w:lang w:val="fr-CA"/>
        </w:rPr>
        <w:t>instructions normatives pour réaliser l</w:t>
      </w:r>
      <w:r w:rsidR="00EA3E31" w:rsidRPr="00E342F1">
        <w:rPr>
          <w:lang w:val="fr-CA"/>
        </w:rPr>
        <w:t>’</w:t>
      </w:r>
      <w:r w:rsidRPr="00E342F1">
        <w:rPr>
          <w:lang w:val="fr-CA"/>
        </w:rPr>
        <w:t>accessibilité ?</w:t>
      </w:r>
      <w:r w:rsidR="00AE70E8" w:rsidRPr="00E342F1">
        <w:rPr>
          <w:lang w:val="fr-CA"/>
        </w:rPr>
        <w:t xml:space="preserve"> </w:t>
      </w:r>
    </w:p>
    <w:p w14:paraId="579D10D2" w14:textId="77777777" w:rsidR="00195767" w:rsidRPr="00E342F1" w:rsidRDefault="00195767" w:rsidP="00195767">
      <w:pPr>
        <w:pStyle w:val="Heading2"/>
        <w:tabs>
          <w:tab w:val="num" w:pos="1440"/>
        </w:tabs>
        <w:rPr>
          <w:lang w:val="fr-CA"/>
        </w:rPr>
      </w:pPr>
      <w:bookmarkStart w:id="22" w:name="_Toc176951793"/>
      <w:bookmarkStart w:id="23" w:name="_Toc177373754"/>
      <w:bookmarkStart w:id="24" w:name="OLE_LINK34"/>
      <w:bookmarkStart w:id="25" w:name="_Toc179379635"/>
      <w:r w:rsidRPr="00E342F1">
        <w:rPr>
          <w:lang w:val="fr-CA"/>
        </w:rPr>
        <w:t>Co-chercheurs</w:t>
      </w:r>
      <w:bookmarkEnd w:id="22"/>
      <w:bookmarkEnd w:id="23"/>
      <w:bookmarkEnd w:id="25"/>
    </w:p>
    <w:bookmarkEnd w:id="24"/>
    <w:p w14:paraId="74ECF75A" w14:textId="03D3ED98" w:rsidR="00195767" w:rsidRPr="00E342F1" w:rsidRDefault="00195767">
      <w:pPr>
        <w:rPr>
          <w:lang w:val="fr-CA"/>
        </w:rPr>
      </w:pPr>
      <w:r w:rsidRPr="00E342F1">
        <w:rPr>
          <w:lang w:val="fr-CA"/>
        </w:rPr>
        <w:t>Nous avons recruté des co-chercheurs de notre communauté et de notre liste de co-recherche. Nous avons identifié 16 co-chercheurs sur 149 candidats qui fourniraient une variété de besoins d</w:t>
      </w:r>
      <w:r w:rsidR="00EA3E31" w:rsidRPr="00E342F1">
        <w:rPr>
          <w:lang w:val="fr-CA"/>
        </w:rPr>
        <w:t>’</w:t>
      </w:r>
      <w:r w:rsidRPr="00E342F1">
        <w:rPr>
          <w:lang w:val="fr-CA"/>
        </w:rPr>
        <w:t>accès, d</w:t>
      </w:r>
      <w:r w:rsidR="00EA3E31" w:rsidRPr="00E342F1">
        <w:rPr>
          <w:lang w:val="fr-CA"/>
        </w:rPr>
        <w:t>’</w:t>
      </w:r>
      <w:r w:rsidRPr="00E342F1">
        <w:rPr>
          <w:lang w:val="fr-CA"/>
        </w:rPr>
        <w:t>expériences, d</w:t>
      </w:r>
      <w:r w:rsidR="00EA3E31" w:rsidRPr="00E342F1">
        <w:rPr>
          <w:lang w:val="fr-CA"/>
        </w:rPr>
        <w:t>’</w:t>
      </w:r>
      <w:r w:rsidRPr="00E342F1">
        <w:rPr>
          <w:lang w:val="fr-CA"/>
        </w:rPr>
        <w:t>expériences linguistiques, de langues, de régions et d</w:t>
      </w:r>
      <w:r w:rsidR="00EA3E31" w:rsidRPr="00E342F1">
        <w:rPr>
          <w:lang w:val="fr-CA"/>
        </w:rPr>
        <w:t>’</w:t>
      </w:r>
      <w:r w:rsidRPr="00E342F1">
        <w:rPr>
          <w:lang w:val="fr-CA"/>
        </w:rPr>
        <w:t xml:space="preserve">âges. Les co-chercheurs ont été rémunérés 250 $ CAD pour leur expertise. </w:t>
      </w:r>
    </w:p>
    <w:p w14:paraId="225E87F3" w14:textId="77777777" w:rsidR="00195767" w:rsidRPr="00E342F1" w:rsidRDefault="00195767" w:rsidP="00195767">
      <w:pPr>
        <w:pStyle w:val="Heading2"/>
        <w:tabs>
          <w:tab w:val="num" w:pos="1440"/>
        </w:tabs>
        <w:rPr>
          <w:lang w:val="fr-CA"/>
        </w:rPr>
      </w:pPr>
      <w:bookmarkStart w:id="26" w:name="_Toc179379636"/>
      <w:r w:rsidRPr="00E342F1">
        <w:rPr>
          <w:lang w:val="fr-CA"/>
        </w:rPr>
        <w:t>Activités de co-recherche</w:t>
      </w:r>
      <w:bookmarkEnd w:id="26"/>
    </w:p>
    <w:p w14:paraId="325FCF5D" w14:textId="1555C5CB" w:rsidR="00AE70E8" w:rsidRPr="00E342F1" w:rsidRDefault="00195767" w:rsidP="006958DF">
      <w:pPr>
        <w:rPr>
          <w:lang w:val="fr-CA"/>
        </w:rPr>
      </w:pPr>
      <w:r w:rsidRPr="00E342F1">
        <w:rPr>
          <w:lang w:val="fr-CA"/>
        </w:rPr>
        <w:t>Les activités de recherche conjointe étaient des activités en ligne synchrones et asynchrones. Le processus a été divisé en trois sessions</w:t>
      </w:r>
      <w:r w:rsidR="00AB77D6" w:rsidRPr="00E342F1">
        <w:rPr>
          <w:lang w:val="fr-CA"/>
        </w:rPr>
        <w:t xml:space="preserve"> :</w:t>
      </w:r>
    </w:p>
    <w:p w14:paraId="2F42378F" w14:textId="03FB170F" w:rsidR="00195767" w:rsidRPr="00E342F1" w:rsidRDefault="00195767" w:rsidP="00FA392F">
      <w:pPr>
        <w:pStyle w:val="ListParagraph"/>
        <w:numPr>
          <w:ilvl w:val="0"/>
          <w:numId w:val="55"/>
        </w:numPr>
        <w:rPr>
          <w:lang w:val="fr-CA"/>
        </w:rPr>
      </w:pPr>
      <w:bookmarkStart w:id="27" w:name="_Toc175656418"/>
      <w:bookmarkStart w:id="28" w:name="_Toc177373756"/>
      <w:r w:rsidRPr="00E342F1">
        <w:rPr>
          <w:lang w:val="fr-CA"/>
        </w:rPr>
        <w:t>Réflexion et partage : activités asynchrones via le système de gestion de l</w:t>
      </w:r>
      <w:r w:rsidR="00EA3E31" w:rsidRPr="00E342F1">
        <w:rPr>
          <w:lang w:val="fr-CA"/>
        </w:rPr>
        <w:t>’</w:t>
      </w:r>
      <w:r w:rsidRPr="00E342F1">
        <w:rPr>
          <w:lang w:val="fr-CA"/>
        </w:rPr>
        <w:t>apprentissage Canvas (LMS)</w:t>
      </w:r>
    </w:p>
    <w:p w14:paraId="1A5A32E8" w14:textId="4F3F2C61" w:rsidR="00195767" w:rsidRPr="00E342F1" w:rsidRDefault="00195767" w:rsidP="00FA392F">
      <w:pPr>
        <w:pStyle w:val="ListParagraph"/>
        <w:numPr>
          <w:ilvl w:val="0"/>
          <w:numId w:val="55"/>
        </w:numPr>
        <w:rPr>
          <w:lang w:val="fr-CA"/>
        </w:rPr>
      </w:pPr>
      <w:r w:rsidRPr="00E342F1">
        <w:rPr>
          <w:lang w:val="fr-CA"/>
        </w:rPr>
        <w:t>Discussion : activités synchrones en ligne via le logiciel de communication vidéo Zoom</w:t>
      </w:r>
    </w:p>
    <w:p w14:paraId="115FAC7A" w14:textId="181FEAD1" w:rsidR="00195767" w:rsidRPr="00E342F1" w:rsidRDefault="00195767" w:rsidP="00FA392F">
      <w:pPr>
        <w:pStyle w:val="ListParagraph"/>
        <w:numPr>
          <w:ilvl w:val="0"/>
          <w:numId w:val="55"/>
        </w:numPr>
        <w:rPr>
          <w:lang w:val="fr-CA"/>
        </w:rPr>
      </w:pPr>
      <w:r w:rsidRPr="00E342F1">
        <w:rPr>
          <w:lang w:val="fr-CA"/>
        </w:rPr>
        <w:t>Analyse : activités asynchrones via le système de gestion de l</w:t>
      </w:r>
      <w:r w:rsidR="00EA3E31" w:rsidRPr="00E342F1">
        <w:rPr>
          <w:lang w:val="fr-CA"/>
        </w:rPr>
        <w:t>’</w:t>
      </w:r>
      <w:r w:rsidRPr="00E342F1">
        <w:rPr>
          <w:lang w:val="fr-CA"/>
        </w:rPr>
        <w:t>apprentissage Canvas pour que les co-chercheurs examinent les contributions et l</w:t>
      </w:r>
      <w:r w:rsidR="00EA3E31" w:rsidRPr="00E342F1">
        <w:rPr>
          <w:lang w:val="fr-CA"/>
        </w:rPr>
        <w:t>’</w:t>
      </w:r>
      <w:r w:rsidRPr="00E342F1">
        <w:rPr>
          <w:lang w:val="fr-CA"/>
        </w:rPr>
        <w:t>analyse des sessions 1 et 2.</w:t>
      </w:r>
    </w:p>
    <w:p w14:paraId="38B4446C" w14:textId="77777777" w:rsidR="00195767" w:rsidRPr="00E342F1" w:rsidRDefault="00195767">
      <w:pPr>
        <w:rPr>
          <w:lang w:val="fr-CA"/>
        </w:rPr>
      </w:pPr>
      <w:r w:rsidRPr="00E342F1">
        <w:rPr>
          <w:lang w:val="fr-CA"/>
        </w:rPr>
        <w:t xml:space="preserve">Chaque session est décrite plus en détail dans les sections suivantes. </w:t>
      </w:r>
    </w:p>
    <w:p w14:paraId="114F8DA4" w14:textId="6A7F7D1F" w:rsidR="00195767" w:rsidRPr="00E342F1" w:rsidRDefault="00195767" w:rsidP="00195767">
      <w:pPr>
        <w:pStyle w:val="Heading3"/>
        <w:tabs>
          <w:tab w:val="num" w:pos="2160"/>
        </w:tabs>
        <w:rPr>
          <w:lang w:val="fr-CA"/>
        </w:rPr>
      </w:pPr>
      <w:bookmarkStart w:id="29" w:name="_Toc179379637"/>
      <w:bookmarkEnd w:id="27"/>
      <w:bookmarkEnd w:id="28"/>
      <w:r w:rsidRPr="00E342F1">
        <w:rPr>
          <w:lang w:val="fr-CA"/>
        </w:rPr>
        <w:t>S</w:t>
      </w:r>
      <w:r w:rsidR="00FA392F" w:rsidRPr="00E342F1">
        <w:rPr>
          <w:lang w:val="fr-CA"/>
        </w:rPr>
        <w:t>ession</w:t>
      </w:r>
      <w:r w:rsidRPr="00E342F1">
        <w:rPr>
          <w:lang w:val="fr-CA"/>
        </w:rPr>
        <w:t xml:space="preserve"> 1 : Réflexion et partage</w:t>
      </w:r>
      <w:bookmarkEnd w:id="29"/>
      <w:r w:rsidRPr="00E342F1">
        <w:rPr>
          <w:lang w:val="fr-CA"/>
        </w:rPr>
        <w:t xml:space="preserve"> </w:t>
      </w:r>
    </w:p>
    <w:p w14:paraId="2115E193" w14:textId="71610700" w:rsidR="00AE70E8" w:rsidRPr="00E342F1" w:rsidRDefault="00FA392F" w:rsidP="006958DF">
      <w:pPr>
        <w:rPr>
          <w:lang w:val="fr-CA"/>
        </w:rPr>
      </w:pPr>
      <w:r w:rsidRPr="00E342F1">
        <w:rPr>
          <w:lang w:val="fr-CA"/>
        </w:rPr>
        <w:t>Au cours de la première semaine, les co-chercheurs ont rejoint la communauté Canvas du RlDN. Nous avons utilisé le forum de discussion de Canvas pour un échange d</w:t>
      </w:r>
      <w:r w:rsidR="00EA3E31" w:rsidRPr="00E342F1">
        <w:rPr>
          <w:lang w:val="fr-CA"/>
        </w:rPr>
        <w:t>’</w:t>
      </w:r>
      <w:r w:rsidRPr="00E342F1">
        <w:rPr>
          <w:lang w:val="fr-CA"/>
        </w:rPr>
        <w:t>idées asynchrone, où les co-chercheurs ont répondu à des questions sur les barrières numériques et les réglementations qui n</w:t>
      </w:r>
      <w:r w:rsidR="00EA3E31" w:rsidRPr="00E342F1">
        <w:rPr>
          <w:lang w:val="fr-CA"/>
        </w:rPr>
        <w:t>’</w:t>
      </w:r>
      <w:r w:rsidRPr="00E342F1">
        <w:rPr>
          <w:lang w:val="fr-CA"/>
        </w:rPr>
        <w:t>étaient pas prescriptives sur la manière d</w:t>
      </w:r>
      <w:r w:rsidR="00EA3E31" w:rsidRPr="00E342F1">
        <w:rPr>
          <w:lang w:val="fr-CA"/>
        </w:rPr>
        <w:t>’</w:t>
      </w:r>
      <w:r w:rsidRPr="00E342F1">
        <w:rPr>
          <w:lang w:val="fr-CA"/>
        </w:rPr>
        <w:t>atteindre l</w:t>
      </w:r>
      <w:r w:rsidR="00EA3E31" w:rsidRPr="00E342F1">
        <w:rPr>
          <w:lang w:val="fr-CA"/>
        </w:rPr>
        <w:t>’</w:t>
      </w:r>
      <w:r w:rsidRPr="00E342F1">
        <w:rPr>
          <w:lang w:val="fr-CA"/>
        </w:rPr>
        <w:t>accessibilité. Il y avait trois domaines de discussion</w:t>
      </w:r>
      <w:r w:rsidR="00AB77D6" w:rsidRPr="00E342F1">
        <w:rPr>
          <w:lang w:val="fr-CA"/>
        </w:rPr>
        <w:t xml:space="preserve"> :</w:t>
      </w:r>
    </w:p>
    <w:p w14:paraId="39DD7E9E" w14:textId="5E0FC9BF" w:rsidR="00FA392F" w:rsidRPr="00E342F1" w:rsidRDefault="00FA392F" w:rsidP="00FA392F">
      <w:pPr>
        <w:pStyle w:val="ListParagraph"/>
        <w:numPr>
          <w:ilvl w:val="0"/>
          <w:numId w:val="58"/>
        </w:numPr>
        <w:rPr>
          <w:lang w:val="fr-CA"/>
        </w:rPr>
      </w:pPr>
      <w:r w:rsidRPr="00E342F1">
        <w:rPr>
          <w:lang w:val="fr-CA"/>
        </w:rPr>
        <w:t>Normes flexibles : Quels problèmes spécifiques avez-vous rencontrés lors de l</w:t>
      </w:r>
      <w:r w:rsidR="00EA3E31" w:rsidRPr="00E342F1">
        <w:rPr>
          <w:lang w:val="fr-CA"/>
        </w:rPr>
        <w:t>’</w:t>
      </w:r>
      <w:r w:rsidRPr="00E342F1">
        <w:rPr>
          <w:lang w:val="fr-CA"/>
        </w:rPr>
        <w:t>utilisation d</w:t>
      </w:r>
      <w:r w:rsidR="00EA3E31" w:rsidRPr="00E342F1">
        <w:rPr>
          <w:lang w:val="fr-CA"/>
        </w:rPr>
        <w:t>’</w:t>
      </w:r>
      <w:r w:rsidRPr="00E342F1">
        <w:rPr>
          <w:lang w:val="fr-CA"/>
        </w:rPr>
        <w:t>outils ou de systèmes numériques tels que des ordinateurs, des objets avec des écrans et des boutons ou des applications sur le téléphone ?</w:t>
      </w:r>
    </w:p>
    <w:p w14:paraId="014F3BB5" w14:textId="1E613525" w:rsidR="00FA392F" w:rsidRPr="00E342F1" w:rsidRDefault="00FA392F" w:rsidP="00FA392F">
      <w:pPr>
        <w:pStyle w:val="ListParagraph"/>
        <w:numPr>
          <w:ilvl w:val="0"/>
          <w:numId w:val="58"/>
        </w:numPr>
        <w:rPr>
          <w:lang w:val="fr-CA"/>
        </w:rPr>
      </w:pPr>
      <w:r w:rsidRPr="00E342F1">
        <w:rPr>
          <w:lang w:val="fr-CA"/>
        </w:rPr>
        <w:t>Inclusion et accessibilité : Pensez à de nouvelles technologies ou applications qui n</w:t>
      </w:r>
      <w:r w:rsidR="00EA3E31" w:rsidRPr="00E342F1">
        <w:rPr>
          <w:lang w:val="fr-CA"/>
        </w:rPr>
        <w:t>’</w:t>
      </w:r>
      <w:r w:rsidRPr="00E342F1">
        <w:rPr>
          <w:lang w:val="fr-CA"/>
        </w:rPr>
        <w:t>ont pas bien fonctionné pour vous. Quelles règles auraient dû être mises en place pour les rendre plus accessibles ?</w:t>
      </w:r>
    </w:p>
    <w:p w14:paraId="57B24D18" w14:textId="503303A3" w:rsidR="00FA392F" w:rsidRPr="00E342F1" w:rsidRDefault="00FA392F" w:rsidP="00FA392F">
      <w:pPr>
        <w:pStyle w:val="ListParagraph"/>
        <w:numPr>
          <w:ilvl w:val="0"/>
          <w:numId w:val="58"/>
        </w:numPr>
        <w:rPr>
          <w:lang w:val="fr-CA"/>
        </w:rPr>
      </w:pPr>
      <w:r w:rsidRPr="00E342F1">
        <w:rPr>
          <w:lang w:val="fr-CA"/>
        </w:rPr>
        <w:t>Soutenir l</w:t>
      </w:r>
      <w:r w:rsidR="00EA3E31" w:rsidRPr="00E342F1">
        <w:rPr>
          <w:lang w:val="fr-CA"/>
        </w:rPr>
        <w:t>’</w:t>
      </w:r>
      <w:r w:rsidRPr="00E342F1">
        <w:rPr>
          <w:lang w:val="fr-CA"/>
        </w:rPr>
        <w:t>innovation : Voyez-vous des problèmes liés à des règles visant à rendre les choses accessibles qui ne disent pas comment le faire ?</w:t>
      </w:r>
    </w:p>
    <w:p w14:paraId="766CAAEC" w14:textId="3CD3BF77" w:rsidR="009A61E3" w:rsidRPr="00E342F1" w:rsidRDefault="003A6D7F" w:rsidP="00FA392F">
      <w:pPr>
        <w:pStyle w:val="Heading3"/>
        <w:rPr>
          <w:lang w:val="fr-CA"/>
        </w:rPr>
      </w:pPr>
      <w:bookmarkStart w:id="30" w:name="_Toc179379638"/>
      <w:r w:rsidRPr="00E342F1">
        <w:rPr>
          <w:lang w:val="fr-CA"/>
        </w:rPr>
        <w:t>Session 2</w:t>
      </w:r>
      <w:r w:rsidR="00AB77D6" w:rsidRPr="00E342F1">
        <w:rPr>
          <w:lang w:val="fr-CA"/>
        </w:rPr>
        <w:t xml:space="preserve"> :</w:t>
      </w:r>
      <w:r w:rsidRPr="00E342F1">
        <w:rPr>
          <w:lang w:val="fr-CA"/>
        </w:rPr>
        <w:t xml:space="preserve"> Discussi</w:t>
      </w:r>
      <w:r w:rsidR="00FA392F" w:rsidRPr="00E342F1">
        <w:rPr>
          <w:lang w:val="fr-CA"/>
        </w:rPr>
        <w:t>on</w:t>
      </w:r>
      <w:bookmarkEnd w:id="30"/>
    </w:p>
    <w:p w14:paraId="470CA717" w14:textId="0BF7D6D0" w:rsidR="00FA392F" w:rsidRPr="00E342F1" w:rsidRDefault="00FA392F">
      <w:pPr>
        <w:rPr>
          <w:lang w:val="fr-CA"/>
        </w:rPr>
      </w:pPr>
      <w:bookmarkStart w:id="31" w:name="_Toc175656420"/>
      <w:bookmarkStart w:id="32" w:name="_Toc177373758"/>
      <w:r w:rsidRPr="00E342F1">
        <w:rPr>
          <w:lang w:val="fr-CA"/>
        </w:rPr>
        <w:t>L</w:t>
      </w:r>
      <w:r w:rsidR="00EA3E31" w:rsidRPr="00E342F1">
        <w:rPr>
          <w:lang w:val="fr-CA"/>
        </w:rPr>
        <w:t>’</w:t>
      </w:r>
      <w:r w:rsidRPr="00E342F1">
        <w:rPr>
          <w:lang w:val="fr-CA"/>
        </w:rPr>
        <w:t>approche d</w:t>
      </w:r>
      <w:r w:rsidR="00EA3E31" w:rsidRPr="00E342F1">
        <w:rPr>
          <w:lang w:val="fr-CA"/>
        </w:rPr>
        <w:t>’</w:t>
      </w:r>
      <w:r w:rsidRPr="00E342F1">
        <w:rPr>
          <w:lang w:val="fr-CA"/>
        </w:rPr>
        <w:t>un format 1-2-4-All consistait à commencer les activités avec de petits groupes et à augmenter progressivement la taille du groupe jusqu</w:t>
      </w:r>
      <w:r w:rsidR="00EA3E31" w:rsidRPr="00E342F1">
        <w:rPr>
          <w:lang w:val="fr-CA"/>
        </w:rPr>
        <w:t>’</w:t>
      </w:r>
      <w:r w:rsidRPr="00E342F1">
        <w:rPr>
          <w:lang w:val="fr-CA"/>
        </w:rPr>
        <w:t>à ce que tout le monde soit ensemble, en construisant une réflexion et des idées au fur et à mesure que le groupe grandissait. Pour cette co-conception, nous avons demandé aux co-chercheurs de réfléchir individuellement aux trois questions de discussion individuellement et de documenter leurs pensées sur Canvas. Nous nous sommes ensuite rencontrés de manière synchrone sur Zoom et dans les salles de discussion Zoom pour que les co-chercheurs partagent leurs pensées par paires, en groupes de quatre et, enfin, tous ensemble dans un groupe d</w:t>
      </w:r>
      <w:r w:rsidR="00EA3E31" w:rsidRPr="00E342F1">
        <w:rPr>
          <w:lang w:val="fr-CA"/>
        </w:rPr>
        <w:t>’</w:t>
      </w:r>
      <w:r w:rsidRPr="00E342F1">
        <w:rPr>
          <w:lang w:val="fr-CA"/>
        </w:rPr>
        <w:t>environ 16 co-chercheurs. Au cours des séances synchrones, les animateurs ont pris des notes pour recueillir de l</w:t>
      </w:r>
      <w:r w:rsidR="00EA3E31" w:rsidRPr="00E342F1">
        <w:rPr>
          <w:lang w:val="fr-CA"/>
        </w:rPr>
        <w:t>’</w:t>
      </w:r>
      <w:r w:rsidRPr="00E342F1">
        <w:rPr>
          <w:lang w:val="fr-CA"/>
        </w:rPr>
        <w:t xml:space="preserve">information supplémentaire et des idées en évolution. </w:t>
      </w:r>
    </w:p>
    <w:p w14:paraId="4022A607" w14:textId="17625185" w:rsidR="00AE70E8" w:rsidRPr="00E342F1" w:rsidRDefault="00AE70E8" w:rsidP="00FA392F">
      <w:pPr>
        <w:pStyle w:val="Heading3"/>
        <w:rPr>
          <w:lang w:val="fr-CA"/>
        </w:rPr>
      </w:pPr>
      <w:bookmarkStart w:id="33" w:name="_Toc179379639"/>
      <w:r w:rsidRPr="00E342F1">
        <w:rPr>
          <w:lang w:val="fr-CA"/>
        </w:rPr>
        <w:t>Session 3</w:t>
      </w:r>
      <w:r w:rsidR="00AB77D6" w:rsidRPr="00E342F1">
        <w:rPr>
          <w:lang w:val="fr-CA"/>
        </w:rPr>
        <w:t xml:space="preserve"> :</w:t>
      </w:r>
      <w:r w:rsidRPr="00E342F1">
        <w:rPr>
          <w:lang w:val="fr-CA"/>
        </w:rPr>
        <w:t xml:space="preserve"> </w:t>
      </w:r>
      <w:bookmarkEnd w:id="31"/>
      <w:bookmarkEnd w:id="32"/>
      <w:r w:rsidR="00FA392F" w:rsidRPr="00E342F1">
        <w:rPr>
          <w:lang w:val="fr-CA"/>
        </w:rPr>
        <w:t>Analyse et examen</w:t>
      </w:r>
      <w:bookmarkEnd w:id="33"/>
    </w:p>
    <w:p w14:paraId="0C482819" w14:textId="30B91E99" w:rsidR="00AE70E8" w:rsidRPr="00E342F1" w:rsidRDefault="00B901E4" w:rsidP="00AE70E8">
      <w:pPr>
        <w:rPr>
          <w:lang w:val="fr-CA"/>
        </w:rPr>
      </w:pPr>
      <w:r w:rsidRPr="00E342F1">
        <w:rPr>
          <w:lang w:val="fr-CA"/>
        </w:rPr>
        <w:t>Les activités asynchrones et synchrones ont produit un grand nombre de notes et de réponses écrites. L</w:t>
      </w:r>
      <w:r w:rsidR="00EA3E31" w:rsidRPr="00E342F1">
        <w:rPr>
          <w:lang w:val="fr-CA"/>
        </w:rPr>
        <w:t>’</w:t>
      </w:r>
      <w:r w:rsidRPr="00E342F1">
        <w:rPr>
          <w:lang w:val="fr-CA"/>
        </w:rPr>
        <w:t>équipe du RlDN a résumé ces textes pour les organiser en thèmes et en recommandations. Lors de la dernière session, les co-chercheurs ont examiné et commenté les documents suivants</w:t>
      </w:r>
      <w:r w:rsidR="00AB77D6" w:rsidRPr="00E342F1">
        <w:rPr>
          <w:lang w:val="fr-CA"/>
        </w:rPr>
        <w:t xml:space="preserve"> :</w:t>
      </w:r>
    </w:p>
    <w:p w14:paraId="2A6582BD" w14:textId="48589E6B" w:rsidR="00B901E4" w:rsidRPr="00E342F1" w:rsidRDefault="00B901E4" w:rsidP="00B901E4">
      <w:pPr>
        <w:pStyle w:val="ListParagraph"/>
        <w:numPr>
          <w:ilvl w:val="0"/>
          <w:numId w:val="61"/>
        </w:numPr>
        <w:rPr>
          <w:lang w:val="fr-CA"/>
        </w:rPr>
      </w:pPr>
      <w:r w:rsidRPr="00E342F1">
        <w:rPr>
          <w:lang w:val="fr-CA"/>
        </w:rPr>
        <w:t>Résume les contributions de tous les co-chercheurs des séances 1 et 2 de l</w:t>
      </w:r>
      <w:r w:rsidR="00EA3E31" w:rsidRPr="00E342F1">
        <w:rPr>
          <w:lang w:val="fr-CA"/>
        </w:rPr>
        <w:t>’</w:t>
      </w:r>
      <w:r w:rsidRPr="00E342F1">
        <w:rPr>
          <w:lang w:val="fr-CA"/>
        </w:rPr>
        <w:t xml:space="preserve">équipe. </w:t>
      </w:r>
    </w:p>
    <w:p w14:paraId="135544A2" w14:textId="1F488C9D" w:rsidR="00B901E4" w:rsidRPr="00E342F1" w:rsidRDefault="00B901E4" w:rsidP="00B901E4">
      <w:pPr>
        <w:pStyle w:val="ListParagraph"/>
        <w:numPr>
          <w:ilvl w:val="0"/>
          <w:numId w:val="61"/>
        </w:numPr>
        <w:rPr>
          <w:lang w:val="fr-CA"/>
        </w:rPr>
      </w:pPr>
      <w:r w:rsidRPr="00E342F1">
        <w:rPr>
          <w:lang w:val="fr-CA"/>
        </w:rPr>
        <w:t>Ébauche de recommandations pour les Normes d</w:t>
      </w:r>
      <w:r w:rsidR="00EA3E31" w:rsidRPr="00E342F1">
        <w:rPr>
          <w:lang w:val="fr-CA"/>
        </w:rPr>
        <w:t>’</w:t>
      </w:r>
      <w:r w:rsidRPr="00E342F1">
        <w:rPr>
          <w:lang w:val="fr-CA"/>
        </w:rPr>
        <w:t>accessibilité Du Canada (SPC) créées par l</w:t>
      </w:r>
      <w:r w:rsidR="00EA3E31" w:rsidRPr="00E342F1">
        <w:rPr>
          <w:lang w:val="fr-CA"/>
        </w:rPr>
        <w:t>’</w:t>
      </w:r>
      <w:r w:rsidRPr="00E342F1">
        <w:rPr>
          <w:lang w:val="fr-CA"/>
        </w:rPr>
        <w:t xml:space="preserve">équipe du CRDI à partir de contributions de chercheurs. Une version en langage clair des recommandations a également été fournie. </w:t>
      </w:r>
    </w:p>
    <w:p w14:paraId="6205BD52" w14:textId="72212E68" w:rsidR="00B901E4" w:rsidRPr="00E342F1" w:rsidRDefault="00B901E4">
      <w:pPr>
        <w:rPr>
          <w:lang w:val="fr-CA"/>
        </w:rPr>
      </w:pPr>
      <w:bookmarkStart w:id="34" w:name="_Toc175656430"/>
      <w:bookmarkStart w:id="35" w:name="_Toc176951795"/>
      <w:bookmarkStart w:id="36" w:name="_Toc177373759"/>
      <w:bookmarkStart w:id="37" w:name="OLE_LINK4"/>
      <w:bookmarkStart w:id="38" w:name="OLE_LINK9"/>
      <w:r w:rsidRPr="00E342F1">
        <w:rPr>
          <w:lang w:val="fr-CA"/>
        </w:rPr>
        <w:t>Les tâches ont pris la forme d</w:t>
      </w:r>
      <w:r w:rsidR="00EA3E31" w:rsidRPr="00E342F1">
        <w:rPr>
          <w:lang w:val="fr-CA"/>
        </w:rPr>
        <w:t>’</w:t>
      </w:r>
      <w:r w:rsidRPr="00E342F1">
        <w:rPr>
          <w:lang w:val="fr-CA"/>
        </w:rPr>
        <w:t>une enquête. Chaque section comportait une introduction qui rappelait aux chercheurs la question discutée et la raison pour laquelle elle avait été posée. Ensuite, chaque thème a été présenté un à la fois, avec un champ de réponse. Les co-chercheurs ont été invités à examiner si leur point de vue était inclus et représenté avec précision. Si ce n</w:t>
      </w:r>
      <w:r w:rsidR="00EA3E31" w:rsidRPr="00E342F1">
        <w:rPr>
          <w:lang w:val="fr-CA"/>
        </w:rPr>
        <w:t>’</w:t>
      </w:r>
      <w:r w:rsidRPr="00E342F1">
        <w:rPr>
          <w:lang w:val="fr-CA"/>
        </w:rPr>
        <w:t>est pas le cas, nous leur avons demandé de nous faire savoir ce qui, selon eux, devrait changer ou être ajouté dans la zone de réponse.</w:t>
      </w:r>
    </w:p>
    <w:p w14:paraId="593772D2" w14:textId="77777777" w:rsidR="00B901E4" w:rsidRPr="00E342F1" w:rsidRDefault="00B901E4" w:rsidP="00B901E4">
      <w:pPr>
        <w:pStyle w:val="Heading2"/>
        <w:tabs>
          <w:tab w:val="num" w:pos="360"/>
          <w:tab w:val="num" w:pos="1440"/>
        </w:tabs>
        <w:rPr>
          <w:lang w:val="fr-CA"/>
        </w:rPr>
      </w:pPr>
      <w:bookmarkStart w:id="39" w:name="_Toc179379640"/>
      <w:bookmarkEnd w:id="34"/>
      <w:bookmarkEnd w:id="35"/>
      <w:bookmarkEnd w:id="36"/>
      <w:r w:rsidRPr="00E342F1">
        <w:rPr>
          <w:lang w:val="fr-CA"/>
        </w:rPr>
        <w:t>Résultats de la co-recherche</w:t>
      </w:r>
      <w:bookmarkEnd w:id="39"/>
    </w:p>
    <w:p w14:paraId="77A764F9" w14:textId="1E1AC6B7" w:rsidR="00466A2F" w:rsidRPr="00E342F1" w:rsidRDefault="00466A2F" w:rsidP="00466A2F">
      <w:pPr>
        <w:rPr>
          <w:lang w:val="fr-CA"/>
        </w:rPr>
      </w:pPr>
      <w:r w:rsidRPr="00E342F1">
        <w:rPr>
          <w:lang w:val="fr-CA"/>
        </w:rPr>
        <w:t>Plus de vingt thèmes ont émergé du contenu des discussions générées par les co-chercheurs. Nous avons organisé ces thèmes en fonction des six principaux défis du projet. Chacun de ces six défis met en évidence un domaine critique dans lequel les efforts en matière d</w:t>
      </w:r>
      <w:r w:rsidR="00EA3E31" w:rsidRPr="00E342F1">
        <w:rPr>
          <w:lang w:val="fr-CA"/>
        </w:rPr>
        <w:t>’</w:t>
      </w:r>
      <w:r w:rsidRPr="00E342F1">
        <w:rPr>
          <w:lang w:val="fr-CA"/>
        </w:rPr>
        <w:t>accessibilité doivent être concentrés afin de garantir un environnement numérique inclusif et adaptatif pour les personnes handicapées. Par souci de simplicité, nous avons réduit les défis à des énoncés, mais la description complète peut être consultée à la section 1.2 :</w:t>
      </w:r>
    </w:p>
    <w:p w14:paraId="06CBACF5" w14:textId="1097AA66" w:rsidR="00466A2F" w:rsidRPr="00E342F1" w:rsidRDefault="00466A2F" w:rsidP="00466A2F">
      <w:pPr>
        <w:pStyle w:val="ListParagraph"/>
        <w:numPr>
          <w:ilvl w:val="0"/>
          <w:numId w:val="62"/>
        </w:numPr>
        <w:rPr>
          <w:lang w:val="fr-CA"/>
        </w:rPr>
      </w:pPr>
      <w:r w:rsidRPr="00E342F1">
        <w:rPr>
          <w:lang w:val="fr-CA"/>
        </w:rPr>
        <w:t>Répondre à des besoins d</w:t>
      </w:r>
      <w:r w:rsidR="00EA3E31" w:rsidRPr="00E342F1">
        <w:rPr>
          <w:lang w:val="fr-CA"/>
        </w:rPr>
        <w:t>’</w:t>
      </w:r>
      <w:r w:rsidRPr="00E342F1">
        <w:rPr>
          <w:lang w:val="fr-CA"/>
        </w:rPr>
        <w:t>accessibilité divers et complexes</w:t>
      </w:r>
    </w:p>
    <w:p w14:paraId="4EB6D7B8" w14:textId="5DE3D80E" w:rsidR="00466A2F" w:rsidRPr="00E342F1" w:rsidRDefault="00466A2F" w:rsidP="00466A2F">
      <w:pPr>
        <w:pStyle w:val="ListParagraph"/>
        <w:numPr>
          <w:ilvl w:val="0"/>
          <w:numId w:val="62"/>
        </w:numPr>
        <w:rPr>
          <w:lang w:val="fr-CA"/>
        </w:rPr>
      </w:pPr>
      <w:r w:rsidRPr="00E342F1">
        <w:rPr>
          <w:lang w:val="fr-CA"/>
        </w:rPr>
        <w:t>Suivre l</w:t>
      </w:r>
      <w:r w:rsidR="00EA3E31" w:rsidRPr="00E342F1">
        <w:rPr>
          <w:lang w:val="fr-CA"/>
        </w:rPr>
        <w:t>’</w:t>
      </w:r>
      <w:r w:rsidRPr="00E342F1">
        <w:rPr>
          <w:lang w:val="fr-CA"/>
        </w:rPr>
        <w:t>évolution rapide des technologies et prévenir l</w:t>
      </w:r>
      <w:r w:rsidR="00EA3E31" w:rsidRPr="00E342F1">
        <w:rPr>
          <w:lang w:val="fr-CA"/>
        </w:rPr>
        <w:t>’</w:t>
      </w:r>
      <w:r w:rsidRPr="00E342F1">
        <w:rPr>
          <w:lang w:val="fr-CA"/>
        </w:rPr>
        <w:t>apparition de nouveaux obstacles</w:t>
      </w:r>
    </w:p>
    <w:p w14:paraId="577E87D5" w14:textId="38103A40" w:rsidR="00466A2F" w:rsidRPr="00E342F1" w:rsidRDefault="00466A2F" w:rsidP="00466A2F">
      <w:pPr>
        <w:pStyle w:val="ListParagraph"/>
        <w:numPr>
          <w:ilvl w:val="0"/>
          <w:numId w:val="62"/>
        </w:numPr>
        <w:rPr>
          <w:lang w:val="fr-CA"/>
        </w:rPr>
      </w:pPr>
      <w:r w:rsidRPr="00E342F1">
        <w:rPr>
          <w:lang w:val="fr-CA"/>
        </w:rPr>
        <w:t>Favoriser l</w:t>
      </w:r>
      <w:r w:rsidR="00EA3E31" w:rsidRPr="00E342F1">
        <w:rPr>
          <w:lang w:val="fr-CA"/>
        </w:rPr>
        <w:t>’</w:t>
      </w:r>
      <w:r w:rsidRPr="00E342F1">
        <w:rPr>
          <w:lang w:val="fr-CA"/>
        </w:rPr>
        <w:t>intégration et l</w:t>
      </w:r>
      <w:r w:rsidR="00EA3E31" w:rsidRPr="00E342F1">
        <w:rPr>
          <w:lang w:val="fr-CA"/>
        </w:rPr>
        <w:t>’</w:t>
      </w:r>
      <w:r w:rsidRPr="00E342F1">
        <w:rPr>
          <w:lang w:val="fr-CA"/>
        </w:rPr>
        <w:t>interopérabilité des systèmes numériques</w:t>
      </w:r>
    </w:p>
    <w:p w14:paraId="2C2DD5FD" w14:textId="270272C6" w:rsidR="00466A2F" w:rsidRPr="00E342F1" w:rsidRDefault="00466A2F" w:rsidP="00466A2F">
      <w:pPr>
        <w:pStyle w:val="ListParagraph"/>
        <w:numPr>
          <w:ilvl w:val="0"/>
          <w:numId w:val="62"/>
        </w:numPr>
        <w:rPr>
          <w:lang w:val="fr-CA"/>
        </w:rPr>
      </w:pPr>
      <w:r w:rsidRPr="00E342F1">
        <w:rPr>
          <w:lang w:val="fr-CA"/>
        </w:rPr>
        <w:t>Favoriser l</w:t>
      </w:r>
      <w:r w:rsidR="00EA3E31" w:rsidRPr="00E342F1">
        <w:rPr>
          <w:lang w:val="fr-CA"/>
        </w:rPr>
        <w:t>’</w:t>
      </w:r>
      <w:r w:rsidRPr="00E342F1">
        <w:rPr>
          <w:lang w:val="fr-CA"/>
        </w:rPr>
        <w:t>innovation en matière d</w:t>
      </w:r>
      <w:r w:rsidR="00EA3E31" w:rsidRPr="00E342F1">
        <w:rPr>
          <w:lang w:val="fr-CA"/>
        </w:rPr>
        <w:t>’</w:t>
      </w:r>
      <w:r w:rsidRPr="00E342F1">
        <w:rPr>
          <w:lang w:val="fr-CA"/>
        </w:rPr>
        <w:t>accessibilité</w:t>
      </w:r>
    </w:p>
    <w:p w14:paraId="75771C0E" w14:textId="44E65BF5" w:rsidR="00466A2F" w:rsidRPr="00E342F1" w:rsidRDefault="00466A2F" w:rsidP="00466A2F">
      <w:pPr>
        <w:pStyle w:val="ListParagraph"/>
        <w:numPr>
          <w:ilvl w:val="0"/>
          <w:numId w:val="62"/>
        </w:numPr>
        <w:rPr>
          <w:lang w:val="fr-CA"/>
        </w:rPr>
      </w:pPr>
      <w:r w:rsidRPr="00E342F1">
        <w:rPr>
          <w:lang w:val="fr-CA"/>
        </w:rPr>
        <w:t>Supprimer les éléments dissuasifs pour la mise en conformité avec les règles d</w:t>
      </w:r>
      <w:r w:rsidR="00EA3E31" w:rsidRPr="00E342F1">
        <w:rPr>
          <w:lang w:val="fr-CA"/>
        </w:rPr>
        <w:t>’</w:t>
      </w:r>
      <w:r w:rsidRPr="00E342F1">
        <w:rPr>
          <w:lang w:val="fr-CA"/>
        </w:rPr>
        <w:t>accessibilité</w:t>
      </w:r>
    </w:p>
    <w:p w14:paraId="757C3A6C" w14:textId="64E8E6AB" w:rsidR="00466A2F" w:rsidRPr="00E342F1" w:rsidRDefault="00466A2F" w:rsidP="00466A2F">
      <w:pPr>
        <w:pStyle w:val="ListParagraph"/>
        <w:numPr>
          <w:ilvl w:val="0"/>
          <w:numId w:val="62"/>
        </w:numPr>
        <w:rPr>
          <w:lang w:val="fr-CA"/>
        </w:rPr>
      </w:pPr>
      <w:r w:rsidRPr="00E342F1">
        <w:rPr>
          <w:lang w:val="fr-CA"/>
        </w:rPr>
        <w:t>Renforcer l</w:t>
      </w:r>
      <w:r w:rsidR="00EA3E31" w:rsidRPr="00E342F1">
        <w:rPr>
          <w:lang w:val="fr-CA"/>
        </w:rPr>
        <w:t>’</w:t>
      </w:r>
      <w:r w:rsidRPr="00E342F1">
        <w:rPr>
          <w:lang w:val="fr-CA"/>
        </w:rPr>
        <w:t>autonomie des personnes handicapées</w:t>
      </w:r>
    </w:p>
    <w:p w14:paraId="473F35B8" w14:textId="3EC123FE" w:rsidR="00AE70E8" w:rsidRPr="00E342F1" w:rsidRDefault="00466A2F" w:rsidP="00733FF7">
      <w:pPr>
        <w:rPr>
          <w:lang w:val="fr-CA"/>
        </w:rPr>
      </w:pPr>
      <w:r w:rsidRPr="00E342F1">
        <w:rPr>
          <w:lang w:val="fr-CA"/>
        </w:rPr>
        <w:t>En alignant ces thèmes sur les défis, nous visons à offrir une voie claire pour développer des stratégies et des solutions efficaces qui peuvent être mises en œuvre pour surmonter les obstacles auxquels sont confrontées les personnes handicapées dans le monde numérique</w:t>
      </w:r>
      <w:r w:rsidR="00AE70E8" w:rsidRPr="00E342F1">
        <w:rPr>
          <w:lang w:val="fr-CA"/>
        </w:rPr>
        <w:t>.</w:t>
      </w:r>
    </w:p>
    <w:p w14:paraId="2B90365D" w14:textId="75FFCC33" w:rsidR="00466A2F" w:rsidRPr="00E342F1" w:rsidRDefault="00466A2F" w:rsidP="00466A2F">
      <w:pPr>
        <w:pStyle w:val="Heading3"/>
        <w:tabs>
          <w:tab w:val="num" w:pos="360"/>
          <w:tab w:val="num" w:pos="2160"/>
        </w:tabs>
        <w:rPr>
          <w:lang w:val="fr-CA"/>
        </w:rPr>
      </w:pPr>
      <w:bookmarkStart w:id="40" w:name="_Toc175656431"/>
      <w:bookmarkStart w:id="41" w:name="_Toc176951796"/>
      <w:bookmarkStart w:id="42" w:name="_Toc177373760"/>
      <w:bookmarkStart w:id="43" w:name="OLE_LINK1"/>
      <w:bookmarkStart w:id="44" w:name="_Toc179379641"/>
      <w:r w:rsidRPr="00E342F1">
        <w:rPr>
          <w:lang w:val="fr-CA"/>
        </w:rPr>
        <w:t>Répondre à des besoins d</w:t>
      </w:r>
      <w:r w:rsidR="00EA3E31" w:rsidRPr="00E342F1">
        <w:rPr>
          <w:lang w:val="fr-CA"/>
        </w:rPr>
        <w:t>’</w:t>
      </w:r>
      <w:r w:rsidRPr="00E342F1">
        <w:rPr>
          <w:lang w:val="fr-CA"/>
        </w:rPr>
        <w:t>accessibilité divers et complexes</w:t>
      </w:r>
      <w:bookmarkEnd w:id="40"/>
      <w:bookmarkEnd w:id="41"/>
      <w:bookmarkEnd w:id="42"/>
      <w:bookmarkEnd w:id="44"/>
    </w:p>
    <w:bookmarkEnd w:id="43"/>
    <w:p w14:paraId="211567ED" w14:textId="7DC776F5" w:rsidR="00AE70E8" w:rsidRPr="00E342F1" w:rsidRDefault="00466A2F" w:rsidP="00733FF7">
      <w:pPr>
        <w:rPr>
          <w:lang w:val="fr-CA"/>
        </w:rPr>
      </w:pPr>
      <w:r w:rsidRPr="00E342F1">
        <w:rPr>
          <w:lang w:val="fr-CA"/>
        </w:rPr>
        <w:t>Les personnes handicapées sont beaucoup plus diversifiées que les personnes non handicapées. Les règlements et les normes d</w:t>
      </w:r>
      <w:r w:rsidR="00EA3E31" w:rsidRPr="00E342F1">
        <w:rPr>
          <w:lang w:val="fr-CA"/>
        </w:rPr>
        <w:t>’</w:t>
      </w:r>
      <w:r w:rsidRPr="00E342F1">
        <w:rPr>
          <w:lang w:val="fr-CA"/>
        </w:rPr>
        <w:t>accessibilité sont conçus pour être simples et, ce faisant, réduire l</w:t>
      </w:r>
      <w:r w:rsidR="00EA3E31" w:rsidRPr="00E342F1">
        <w:rPr>
          <w:lang w:val="fr-CA"/>
        </w:rPr>
        <w:t>’</w:t>
      </w:r>
      <w:r w:rsidRPr="00E342F1">
        <w:rPr>
          <w:lang w:val="fr-CA"/>
        </w:rPr>
        <w:t>éventail des besoins satisfaits. Les normes réductrices donnent l</w:t>
      </w:r>
      <w:r w:rsidR="00EA3E31" w:rsidRPr="00E342F1">
        <w:rPr>
          <w:lang w:val="fr-CA"/>
        </w:rPr>
        <w:t>’</w:t>
      </w:r>
      <w:r w:rsidRPr="00E342F1">
        <w:rPr>
          <w:lang w:val="fr-CA"/>
        </w:rPr>
        <w:t>impression que ce groupe de personnes le plus diversifié a un seul ensemble de besoins, et que tout le monde y a accès lorsque la liste de contrôle des besoins est satisfaite. Cette approche marginalise davantage les personnes dont les besoins ne sont pas inclus et réduit les choix pour tous. Les normes d</w:t>
      </w:r>
      <w:r w:rsidR="00EA3E31" w:rsidRPr="00E342F1">
        <w:rPr>
          <w:lang w:val="fr-CA"/>
        </w:rPr>
        <w:t>’</w:t>
      </w:r>
      <w:r w:rsidRPr="00E342F1">
        <w:rPr>
          <w:lang w:val="fr-CA"/>
        </w:rPr>
        <w:t>accessibilité actuelles peuvent restreindre le potentiel des systèmes numériques à résoudre le spectre des différences individuelles en adoptant par défaut une conception unique</w:t>
      </w:r>
      <w:r w:rsidR="00AE70E8" w:rsidRPr="00E342F1">
        <w:rPr>
          <w:lang w:val="fr-CA"/>
        </w:rPr>
        <w:t>.</w:t>
      </w:r>
    </w:p>
    <w:p w14:paraId="15F5083A" w14:textId="6A640B72" w:rsidR="00466A2F" w:rsidRPr="00E342F1" w:rsidRDefault="00466A2F" w:rsidP="00466A2F">
      <w:pPr>
        <w:pStyle w:val="Heading4"/>
        <w:tabs>
          <w:tab w:val="num" w:pos="360"/>
          <w:tab w:val="num" w:pos="2880"/>
        </w:tabs>
        <w:rPr>
          <w:lang w:val="fr-CA"/>
        </w:rPr>
      </w:pPr>
      <w:bookmarkStart w:id="45" w:name="_Toc176951797"/>
      <w:bookmarkStart w:id="46" w:name="_Toc177373761"/>
      <w:bookmarkStart w:id="47" w:name="_Toc179379642"/>
      <w:r w:rsidRPr="00E342F1">
        <w:rPr>
          <w:lang w:val="fr-CA"/>
        </w:rPr>
        <w:t>Participation des personnes ayant une expérience vécue de l</w:t>
      </w:r>
      <w:r w:rsidR="00EA3E31" w:rsidRPr="00E342F1">
        <w:rPr>
          <w:lang w:val="fr-CA"/>
        </w:rPr>
        <w:t>’</w:t>
      </w:r>
      <w:r w:rsidRPr="00E342F1">
        <w:rPr>
          <w:lang w:val="fr-CA"/>
        </w:rPr>
        <w:t>incapacité tout au long du cycle de développement technologique</w:t>
      </w:r>
      <w:bookmarkEnd w:id="47"/>
      <w:r w:rsidRPr="00E342F1">
        <w:rPr>
          <w:lang w:val="fr-CA"/>
        </w:rPr>
        <w:t xml:space="preserve"> </w:t>
      </w:r>
      <w:bookmarkEnd w:id="45"/>
      <w:bookmarkEnd w:id="46"/>
    </w:p>
    <w:p w14:paraId="4652F46D" w14:textId="02D685DD" w:rsidR="00AE70E8" w:rsidRPr="00E342F1" w:rsidRDefault="00466A2F" w:rsidP="00733FF7">
      <w:pPr>
        <w:rPr>
          <w:lang w:val="fr-CA"/>
        </w:rPr>
      </w:pPr>
      <w:r w:rsidRPr="00E342F1">
        <w:rPr>
          <w:lang w:val="fr-CA"/>
        </w:rPr>
        <w:t>Les développeurs devraient impliquer activement les personnes handicapées tout au long du processus de développement afin de favoriser l</w:t>
      </w:r>
      <w:r w:rsidR="00EA3E31" w:rsidRPr="00E342F1">
        <w:rPr>
          <w:lang w:val="fr-CA"/>
        </w:rPr>
        <w:t>’</w:t>
      </w:r>
      <w:r w:rsidRPr="00E342F1">
        <w:rPr>
          <w:lang w:val="fr-CA"/>
        </w:rPr>
        <w:t>inclusion. Les co-chercheurs ont exprimé le souhait de collaborer directement avec les développeurs afin de garantir que les produits répondent effectivement à leurs besoins</w:t>
      </w:r>
      <w:r w:rsidR="00AE70E8" w:rsidRPr="00E342F1">
        <w:rPr>
          <w:lang w:val="fr-CA"/>
        </w:rPr>
        <w:t>.</w:t>
      </w:r>
    </w:p>
    <w:p w14:paraId="7777C160" w14:textId="13618E37"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48428087" w14:textId="61149637" w:rsidR="00AE70E8" w:rsidRPr="00E342F1" w:rsidRDefault="003C75A4" w:rsidP="00FA392F">
      <w:pPr>
        <w:pStyle w:val="ListParagraph"/>
        <w:numPr>
          <w:ilvl w:val="0"/>
          <w:numId w:val="41"/>
        </w:numPr>
        <w:rPr>
          <w:lang w:val="fr-CA"/>
        </w:rPr>
      </w:pPr>
      <w:r w:rsidRPr="00E342F1">
        <w:rPr>
          <w:lang w:val="fr-CA"/>
        </w:rPr>
        <w:t>Veillez à ce que l</w:t>
      </w:r>
      <w:r w:rsidR="00EA3E31" w:rsidRPr="00E342F1">
        <w:rPr>
          <w:lang w:val="fr-CA"/>
        </w:rPr>
        <w:t>’</w:t>
      </w:r>
      <w:r w:rsidRPr="00E342F1">
        <w:rPr>
          <w:lang w:val="fr-CA"/>
        </w:rPr>
        <w:t>accessibilité soit intégrée de manière transparente dans le processus de conception et de développement à chaque étape, avec l</w:t>
      </w:r>
      <w:r w:rsidR="00EA3E31" w:rsidRPr="00E342F1">
        <w:rPr>
          <w:lang w:val="fr-CA"/>
        </w:rPr>
        <w:t>’</w:t>
      </w:r>
      <w:r w:rsidRPr="00E342F1">
        <w:rPr>
          <w:lang w:val="fr-CA"/>
        </w:rPr>
        <w:t>aide d</w:t>
      </w:r>
      <w:r w:rsidR="00EA3E31" w:rsidRPr="00E342F1">
        <w:rPr>
          <w:lang w:val="fr-CA"/>
        </w:rPr>
        <w:t>’</w:t>
      </w:r>
      <w:r w:rsidRPr="00E342F1">
        <w:rPr>
          <w:lang w:val="fr-CA"/>
        </w:rPr>
        <w:t>experts ayant une expérience de première main.</w:t>
      </w:r>
    </w:p>
    <w:p w14:paraId="60DDDB0C" w14:textId="0AFAD300" w:rsidR="003C75A4" w:rsidRPr="00E342F1" w:rsidRDefault="003C75A4" w:rsidP="003C75A4">
      <w:pPr>
        <w:pStyle w:val="Heading4"/>
        <w:tabs>
          <w:tab w:val="num" w:pos="360"/>
          <w:tab w:val="num" w:pos="2880"/>
        </w:tabs>
        <w:rPr>
          <w:lang w:val="fr-CA"/>
        </w:rPr>
      </w:pPr>
      <w:bookmarkStart w:id="48" w:name="_Toc176951798"/>
      <w:bookmarkStart w:id="49" w:name="_Toc177373762"/>
      <w:bookmarkStart w:id="50" w:name="_Toc179379643"/>
      <w:r w:rsidRPr="00E342F1">
        <w:rPr>
          <w:lang w:val="fr-CA"/>
        </w:rPr>
        <w:t>Mettre l</w:t>
      </w:r>
      <w:r w:rsidR="00EA3E31" w:rsidRPr="00E342F1">
        <w:rPr>
          <w:lang w:val="fr-CA"/>
        </w:rPr>
        <w:t>’</w:t>
      </w:r>
      <w:r w:rsidRPr="00E342F1">
        <w:rPr>
          <w:lang w:val="fr-CA"/>
        </w:rPr>
        <w:t>accent sur l</w:t>
      </w:r>
      <w:r w:rsidR="00EA3E31" w:rsidRPr="00E342F1">
        <w:rPr>
          <w:lang w:val="fr-CA"/>
        </w:rPr>
        <w:t>’</w:t>
      </w:r>
      <w:r w:rsidRPr="00E342F1">
        <w:rPr>
          <w:lang w:val="fr-CA"/>
        </w:rPr>
        <w:t>aspect humain de l</w:t>
      </w:r>
      <w:r w:rsidR="00EA3E31" w:rsidRPr="00E342F1">
        <w:rPr>
          <w:lang w:val="fr-CA"/>
        </w:rPr>
        <w:t>’</w:t>
      </w:r>
      <w:r w:rsidRPr="00E342F1">
        <w:rPr>
          <w:lang w:val="fr-CA"/>
        </w:rPr>
        <w:t>accessibilité</w:t>
      </w:r>
      <w:bookmarkEnd w:id="48"/>
      <w:bookmarkEnd w:id="49"/>
      <w:bookmarkEnd w:id="50"/>
    </w:p>
    <w:p w14:paraId="3B4B68AD" w14:textId="05D9D3F0" w:rsidR="00B414CA" w:rsidRPr="00E342F1" w:rsidRDefault="00B414CA">
      <w:pPr>
        <w:rPr>
          <w:lang w:val="fr-CA"/>
        </w:rPr>
      </w:pPr>
      <w:r w:rsidRPr="00E342F1">
        <w:rPr>
          <w:lang w:val="fr-CA"/>
        </w:rPr>
        <w:t>Ce thème met l</w:t>
      </w:r>
      <w:r w:rsidR="00EA3E31" w:rsidRPr="00E342F1">
        <w:rPr>
          <w:lang w:val="fr-CA"/>
        </w:rPr>
        <w:t>’</w:t>
      </w:r>
      <w:r w:rsidRPr="00E342F1">
        <w:rPr>
          <w:lang w:val="fr-CA"/>
        </w:rPr>
        <w:t>accent sur l</w:t>
      </w:r>
      <w:r w:rsidR="00EA3E31" w:rsidRPr="00E342F1">
        <w:rPr>
          <w:lang w:val="fr-CA"/>
        </w:rPr>
        <w:t>’</w:t>
      </w:r>
      <w:r w:rsidRPr="00E342F1">
        <w:rPr>
          <w:lang w:val="fr-CA"/>
        </w:rPr>
        <w:t>humanisation de l</w:t>
      </w:r>
      <w:r w:rsidR="00EA3E31" w:rsidRPr="00E342F1">
        <w:rPr>
          <w:lang w:val="fr-CA"/>
        </w:rPr>
        <w:t>’</w:t>
      </w:r>
      <w:r w:rsidRPr="00E342F1">
        <w:rPr>
          <w:lang w:val="fr-CA"/>
        </w:rPr>
        <w:t>accessibilité afin de promouvoir l</w:t>
      </w:r>
      <w:r w:rsidR="00EA3E31" w:rsidRPr="00E342F1">
        <w:rPr>
          <w:lang w:val="fr-CA"/>
        </w:rPr>
        <w:t>’</w:t>
      </w:r>
      <w:r w:rsidRPr="00E342F1">
        <w:rPr>
          <w:lang w:val="fr-CA"/>
        </w:rPr>
        <w:t>empathie et la compréhension parmi les développeurs et les intervenants et de répondre aux idées fausses courantes sur les personnes handicapées. En comprenant l</w:t>
      </w:r>
      <w:r w:rsidR="00EA3E31" w:rsidRPr="00E342F1">
        <w:rPr>
          <w:lang w:val="fr-CA"/>
        </w:rPr>
        <w:t>’</w:t>
      </w:r>
      <w:r w:rsidRPr="00E342F1">
        <w:rPr>
          <w:lang w:val="fr-CA"/>
        </w:rPr>
        <w:t>impact réel de l</w:t>
      </w:r>
      <w:r w:rsidR="00EA3E31" w:rsidRPr="00E342F1">
        <w:rPr>
          <w:lang w:val="fr-CA"/>
        </w:rPr>
        <w:t>’</w:t>
      </w:r>
      <w:r w:rsidRPr="00E342F1">
        <w:rPr>
          <w:lang w:val="fr-CA"/>
        </w:rPr>
        <w:t>accessibilité et de l</w:t>
      </w:r>
      <w:r w:rsidR="00EA3E31" w:rsidRPr="00E342F1">
        <w:rPr>
          <w:lang w:val="fr-CA"/>
        </w:rPr>
        <w:t>’</w:t>
      </w:r>
      <w:r w:rsidRPr="00E342F1">
        <w:rPr>
          <w:lang w:val="fr-CA"/>
        </w:rPr>
        <w:t>inaccessibilité, les concepteurs et les développeurs peuvent créer des solutions numériques qui répondent vraiment à divers besoins.</w:t>
      </w:r>
    </w:p>
    <w:p w14:paraId="3EC36C1D" w14:textId="3C16CEE0" w:rsidR="00B414CA" w:rsidRPr="00E342F1" w:rsidRDefault="00466A2F" w:rsidP="00B414CA">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bookmarkStart w:id="51" w:name="_Toc176951799"/>
      <w:bookmarkStart w:id="52" w:name="_Toc177373763"/>
    </w:p>
    <w:p w14:paraId="7BC3ED46" w14:textId="77777777" w:rsidR="00B414CA" w:rsidRPr="00E342F1" w:rsidRDefault="00B414CA" w:rsidP="00B414CA">
      <w:pPr>
        <w:pStyle w:val="ListParagraph"/>
        <w:numPr>
          <w:ilvl w:val="0"/>
          <w:numId w:val="64"/>
        </w:numPr>
        <w:rPr>
          <w:lang w:val="fr-CA"/>
        </w:rPr>
      </w:pPr>
      <w:r w:rsidRPr="00E342F1">
        <w:rPr>
          <w:lang w:val="fr-CA"/>
        </w:rPr>
        <w:t xml:space="preserve">Donner la priorité aux principes de conception inclusive. </w:t>
      </w:r>
    </w:p>
    <w:p w14:paraId="4101BD2E" w14:textId="4CD61B0E" w:rsidR="00B414CA" w:rsidRPr="00E342F1" w:rsidRDefault="00B414CA" w:rsidP="00B414CA">
      <w:pPr>
        <w:pStyle w:val="ListParagraph"/>
        <w:numPr>
          <w:ilvl w:val="0"/>
          <w:numId w:val="64"/>
        </w:numPr>
        <w:rPr>
          <w:lang w:val="fr-CA"/>
        </w:rPr>
      </w:pPr>
      <w:r w:rsidRPr="00E342F1">
        <w:rPr>
          <w:lang w:val="fr-CA"/>
        </w:rPr>
        <w:t>Mettre en œuvre des programmes de formation qui favorisent l</w:t>
      </w:r>
      <w:r w:rsidR="00EA3E31" w:rsidRPr="00E342F1">
        <w:rPr>
          <w:lang w:val="fr-CA"/>
        </w:rPr>
        <w:t>’</w:t>
      </w:r>
      <w:r w:rsidRPr="00E342F1">
        <w:rPr>
          <w:lang w:val="fr-CA"/>
        </w:rPr>
        <w:t>empathie et la compréhension parmi les développeurs et les parties prenantes.</w:t>
      </w:r>
    </w:p>
    <w:p w14:paraId="1CF15EF6" w14:textId="126FB483" w:rsidR="00B414CA" w:rsidRPr="00E342F1" w:rsidRDefault="00B414CA" w:rsidP="00B414CA">
      <w:pPr>
        <w:pStyle w:val="ListParagraph"/>
        <w:numPr>
          <w:ilvl w:val="0"/>
          <w:numId w:val="64"/>
        </w:numPr>
        <w:rPr>
          <w:lang w:val="fr-CA"/>
        </w:rPr>
      </w:pPr>
      <w:r w:rsidRPr="00E342F1">
        <w:rPr>
          <w:lang w:val="fr-CA"/>
        </w:rPr>
        <w:t>Encourager une approche de l</w:t>
      </w:r>
      <w:r w:rsidR="00EA3E31" w:rsidRPr="00E342F1">
        <w:rPr>
          <w:lang w:val="fr-CA"/>
        </w:rPr>
        <w:t>’</w:t>
      </w:r>
      <w:r w:rsidRPr="00E342F1">
        <w:rPr>
          <w:lang w:val="fr-CA"/>
        </w:rPr>
        <w:t>accessibilité centrée sur l</w:t>
      </w:r>
      <w:r w:rsidR="00EA3E31" w:rsidRPr="00E342F1">
        <w:rPr>
          <w:lang w:val="fr-CA"/>
        </w:rPr>
        <w:t>’</w:t>
      </w:r>
      <w:r w:rsidRPr="00E342F1">
        <w:rPr>
          <w:lang w:val="fr-CA"/>
        </w:rPr>
        <w:t>être humain.</w:t>
      </w:r>
    </w:p>
    <w:p w14:paraId="56480ECF" w14:textId="29A7944F" w:rsidR="00B414CA" w:rsidRPr="00E342F1" w:rsidRDefault="00B414CA" w:rsidP="00B414CA">
      <w:pPr>
        <w:pStyle w:val="ListParagraph"/>
        <w:numPr>
          <w:ilvl w:val="0"/>
          <w:numId w:val="64"/>
        </w:numPr>
        <w:rPr>
          <w:lang w:val="fr-CA"/>
        </w:rPr>
      </w:pPr>
      <w:r w:rsidRPr="00E342F1">
        <w:rPr>
          <w:lang w:val="fr-CA"/>
        </w:rPr>
        <w:t>Impliquer les personnes handicapées dès le début du processus de conception et de développement des technologies.</w:t>
      </w:r>
    </w:p>
    <w:p w14:paraId="3A688A79" w14:textId="290D272A" w:rsidR="00AE70E8" w:rsidRPr="00E342F1" w:rsidRDefault="00E342F1" w:rsidP="00FA392F">
      <w:pPr>
        <w:pStyle w:val="Heading4"/>
        <w:rPr>
          <w:lang w:val="fr-CA"/>
        </w:rPr>
      </w:pPr>
      <w:bookmarkStart w:id="53" w:name="_Toc179379644"/>
      <w:bookmarkEnd w:id="51"/>
      <w:bookmarkEnd w:id="52"/>
      <w:r w:rsidRPr="00E342F1">
        <w:rPr>
          <w:lang w:val="fr-CA"/>
        </w:rPr>
        <w:t>Conceptions et interfaces flexibles et personnalisables</w:t>
      </w:r>
      <w:bookmarkEnd w:id="53"/>
      <w:r w:rsidR="00AE70E8" w:rsidRPr="00E342F1">
        <w:rPr>
          <w:lang w:val="fr-CA"/>
        </w:rPr>
        <w:t xml:space="preserve"> </w:t>
      </w:r>
    </w:p>
    <w:p w14:paraId="76173C58" w14:textId="3583A7DD" w:rsidR="00B414CA" w:rsidRPr="00E342F1" w:rsidRDefault="00B414CA" w:rsidP="00733FF7">
      <w:pPr>
        <w:rPr>
          <w:lang w:val="fr-CA"/>
        </w:rPr>
      </w:pPr>
      <w:r w:rsidRPr="00E342F1">
        <w:rPr>
          <w:lang w:val="fr-CA"/>
        </w:rPr>
        <w:t>Les besoins des personnes handicapées en matière d</w:t>
      </w:r>
      <w:r w:rsidR="00EA3E31" w:rsidRPr="00E342F1">
        <w:rPr>
          <w:lang w:val="fr-CA"/>
        </w:rPr>
        <w:t>’</w:t>
      </w:r>
      <w:r w:rsidRPr="00E342F1">
        <w:rPr>
          <w:lang w:val="fr-CA"/>
        </w:rPr>
        <w:t>accès peuvent ne pas correspondre à des listes de contrôle préconçues. Les besoins peuvent également varier en fonction du contexte ou de la nature épisodique d</w:t>
      </w:r>
      <w:r w:rsidR="00EA3E31" w:rsidRPr="00E342F1">
        <w:rPr>
          <w:lang w:val="fr-CA"/>
        </w:rPr>
        <w:t>’</w:t>
      </w:r>
      <w:r w:rsidRPr="00E342F1">
        <w:rPr>
          <w:lang w:val="fr-CA"/>
        </w:rPr>
        <w:t>un handicap. Le concept de « pleine accessibilité » et le respect de ce concept sont déterminés par l</w:t>
      </w:r>
      <w:r w:rsidR="00EA3E31" w:rsidRPr="00E342F1">
        <w:rPr>
          <w:lang w:val="fr-CA"/>
        </w:rPr>
        <w:t>’</w:t>
      </w:r>
      <w:r w:rsidRPr="00E342F1">
        <w:rPr>
          <w:lang w:val="fr-CA"/>
        </w:rPr>
        <w:t>individu.</w:t>
      </w:r>
    </w:p>
    <w:p w14:paraId="1059D920" w14:textId="1513C9AE"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43B4357C" w14:textId="436A96D7" w:rsidR="00B414CA" w:rsidRPr="00E342F1" w:rsidRDefault="00B414CA" w:rsidP="00081EA0">
      <w:pPr>
        <w:pStyle w:val="ListParagraph"/>
        <w:numPr>
          <w:ilvl w:val="0"/>
          <w:numId w:val="84"/>
        </w:numPr>
        <w:rPr>
          <w:lang w:val="fr-CA"/>
        </w:rPr>
      </w:pPr>
      <w:bookmarkStart w:id="54" w:name="_Toc176951800"/>
      <w:bookmarkStart w:id="55" w:name="_Toc177373764"/>
      <w:r w:rsidRPr="00E342F1">
        <w:rPr>
          <w:lang w:val="fr-CA"/>
        </w:rPr>
        <w:t>Développer une technologie adaptable avec des interfaces personnalisables pour répondre aux besoins fluctuants des personnes souffrant de handicaps variés et invisibles.</w:t>
      </w:r>
    </w:p>
    <w:p w14:paraId="73749D73" w14:textId="126DCFA7" w:rsidR="00B414CA" w:rsidRPr="00E342F1" w:rsidRDefault="00B414CA" w:rsidP="00081EA0">
      <w:pPr>
        <w:pStyle w:val="ListParagraph"/>
        <w:numPr>
          <w:ilvl w:val="0"/>
          <w:numId w:val="84"/>
        </w:numPr>
        <w:rPr>
          <w:lang w:val="fr-CA"/>
        </w:rPr>
      </w:pPr>
      <w:r w:rsidRPr="00E342F1">
        <w:rPr>
          <w:lang w:val="fr-CA"/>
        </w:rPr>
        <w:t>Éviter les définitions de « pleinement accessible » qui ne tiennent pas compte de la diversité des handicaps et de la nature individualisée des besoins d</w:t>
      </w:r>
      <w:r w:rsidR="00EA3E31" w:rsidRPr="00E342F1">
        <w:rPr>
          <w:lang w:val="fr-CA"/>
        </w:rPr>
        <w:t>’</w:t>
      </w:r>
      <w:r w:rsidRPr="00E342F1">
        <w:rPr>
          <w:lang w:val="fr-CA"/>
        </w:rPr>
        <w:t>accès.</w:t>
      </w:r>
    </w:p>
    <w:p w14:paraId="201228CB" w14:textId="77777777" w:rsidR="00B414CA" w:rsidRPr="00E342F1" w:rsidRDefault="00B414CA" w:rsidP="00B414CA">
      <w:pPr>
        <w:pStyle w:val="Heading4"/>
        <w:tabs>
          <w:tab w:val="num" w:pos="360"/>
          <w:tab w:val="num" w:pos="2880"/>
        </w:tabs>
        <w:rPr>
          <w:lang w:val="fr-CA"/>
        </w:rPr>
      </w:pPr>
      <w:bookmarkStart w:id="56" w:name="_Toc179379645"/>
      <w:bookmarkEnd w:id="54"/>
      <w:bookmarkEnd w:id="55"/>
      <w:r w:rsidRPr="00E342F1">
        <w:rPr>
          <w:lang w:val="fr-CA"/>
        </w:rPr>
        <w:t>Accent sur les normes</w:t>
      </w:r>
      <w:bookmarkEnd w:id="56"/>
    </w:p>
    <w:p w14:paraId="7DAA14A4" w14:textId="5FA7917D" w:rsidR="00AE70E8" w:rsidRPr="00E342F1" w:rsidRDefault="00B414CA" w:rsidP="00733FF7">
      <w:pPr>
        <w:rPr>
          <w:lang w:val="fr-CA"/>
        </w:rPr>
      </w:pPr>
      <w:r w:rsidRPr="00E342F1">
        <w:rPr>
          <w:lang w:val="fr-CA"/>
        </w:rPr>
        <w:t>Ce thème souligne que les efforts en matière d</w:t>
      </w:r>
      <w:r w:rsidR="00EA3E31" w:rsidRPr="00E342F1">
        <w:rPr>
          <w:lang w:val="fr-CA"/>
        </w:rPr>
        <w:t>’</w:t>
      </w:r>
      <w:r w:rsidRPr="00E342F1">
        <w:rPr>
          <w:lang w:val="fr-CA"/>
        </w:rPr>
        <w:t>accessibilité devraient se concentrer sur la garantie d</w:t>
      </w:r>
      <w:r w:rsidR="00EA3E31" w:rsidRPr="00E342F1">
        <w:rPr>
          <w:lang w:val="fr-CA"/>
        </w:rPr>
        <w:t>’</w:t>
      </w:r>
      <w:r w:rsidRPr="00E342F1">
        <w:rPr>
          <w:lang w:val="fr-CA"/>
        </w:rPr>
        <w:t>une expérience positive et inclusive, et pas seulement sur le respect des exigences minimales, et devraient couvrir toutes les interfaces et inclure des ressources éducatives</w:t>
      </w:r>
      <w:r w:rsidR="00AE70E8" w:rsidRPr="00E342F1">
        <w:rPr>
          <w:lang w:val="fr-CA"/>
        </w:rPr>
        <w:t xml:space="preserve">. </w:t>
      </w:r>
    </w:p>
    <w:p w14:paraId="00E6C8A6" w14:textId="5B88AE56"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7C118F06" w14:textId="045D93D5" w:rsidR="00B414CA" w:rsidRPr="00E342F1" w:rsidRDefault="00B414CA" w:rsidP="00B414CA">
      <w:pPr>
        <w:pStyle w:val="ListParagraph"/>
        <w:numPr>
          <w:ilvl w:val="0"/>
          <w:numId w:val="66"/>
        </w:numPr>
        <w:rPr>
          <w:lang w:val="fr-CA"/>
        </w:rPr>
      </w:pPr>
      <w:bookmarkStart w:id="57" w:name="_Toc176951801"/>
      <w:bookmarkStart w:id="58" w:name="_Toc177373765"/>
      <w:r w:rsidRPr="00E342F1">
        <w:rPr>
          <w:lang w:val="fr-CA"/>
        </w:rPr>
        <w:t>Concentrez-vous sur la création d</w:t>
      </w:r>
      <w:r w:rsidR="00EA3E31" w:rsidRPr="00E342F1">
        <w:rPr>
          <w:lang w:val="fr-CA"/>
        </w:rPr>
        <w:t>’</w:t>
      </w:r>
      <w:r w:rsidRPr="00E342F1">
        <w:rPr>
          <w:lang w:val="fr-CA"/>
        </w:rPr>
        <w:t>outils numériques qui sont conviviaux et efficaces et qui vont au-delà des niveaux minimaux de conformité aux normes.</w:t>
      </w:r>
    </w:p>
    <w:p w14:paraId="48A8DFD4" w14:textId="2038CC5B" w:rsidR="00B414CA" w:rsidRPr="00E342F1" w:rsidRDefault="00B414CA" w:rsidP="00B414CA">
      <w:pPr>
        <w:pStyle w:val="ListParagraph"/>
        <w:numPr>
          <w:ilvl w:val="0"/>
          <w:numId w:val="66"/>
        </w:numPr>
        <w:rPr>
          <w:lang w:val="fr-CA"/>
        </w:rPr>
      </w:pPr>
      <w:r w:rsidRPr="00E342F1">
        <w:rPr>
          <w:lang w:val="fr-CA"/>
        </w:rPr>
        <w:t>Établir des normes à l</w:t>
      </w:r>
      <w:r w:rsidR="00EA3E31" w:rsidRPr="00E342F1">
        <w:rPr>
          <w:lang w:val="fr-CA"/>
        </w:rPr>
        <w:t>’</w:t>
      </w:r>
      <w:r w:rsidRPr="00E342F1">
        <w:rPr>
          <w:lang w:val="fr-CA"/>
        </w:rPr>
        <w:t>échelle de l</w:t>
      </w:r>
      <w:r w:rsidR="00EA3E31" w:rsidRPr="00E342F1">
        <w:rPr>
          <w:lang w:val="fr-CA"/>
        </w:rPr>
        <w:t>’</w:t>
      </w:r>
      <w:r w:rsidRPr="00E342F1">
        <w:rPr>
          <w:lang w:val="fr-CA"/>
        </w:rPr>
        <w:t>industrie pour le sous-titrage et la conception d</w:t>
      </w:r>
      <w:r w:rsidR="00EA3E31" w:rsidRPr="00E342F1">
        <w:rPr>
          <w:lang w:val="fr-CA"/>
        </w:rPr>
        <w:t>’</w:t>
      </w:r>
      <w:r w:rsidRPr="00E342F1">
        <w:rPr>
          <w:lang w:val="fr-CA"/>
        </w:rPr>
        <w:t>interfaces.</w:t>
      </w:r>
    </w:p>
    <w:p w14:paraId="119FA228" w14:textId="77777777" w:rsidR="00B414CA" w:rsidRPr="00E342F1" w:rsidRDefault="00B414CA" w:rsidP="00B414CA">
      <w:pPr>
        <w:pStyle w:val="ListParagraph"/>
        <w:numPr>
          <w:ilvl w:val="0"/>
          <w:numId w:val="66"/>
        </w:numPr>
        <w:rPr>
          <w:lang w:val="fr-CA"/>
        </w:rPr>
      </w:pPr>
      <w:r w:rsidRPr="00E342F1">
        <w:rPr>
          <w:lang w:val="fr-CA"/>
        </w:rPr>
        <w:t>Sensibiliser les développeurs.</w:t>
      </w:r>
    </w:p>
    <w:p w14:paraId="4D0B5349" w14:textId="32562DA9" w:rsidR="000F5A79" w:rsidRPr="00E342F1" w:rsidRDefault="000F5A79" w:rsidP="000F5A79">
      <w:pPr>
        <w:pStyle w:val="Heading4"/>
        <w:tabs>
          <w:tab w:val="num" w:pos="360"/>
          <w:tab w:val="num" w:pos="2880"/>
        </w:tabs>
        <w:rPr>
          <w:lang w:val="fr-CA"/>
        </w:rPr>
      </w:pPr>
      <w:bookmarkStart w:id="59" w:name="_Toc179379646"/>
      <w:bookmarkEnd w:id="57"/>
      <w:bookmarkEnd w:id="58"/>
      <w:r w:rsidRPr="00E342F1">
        <w:rPr>
          <w:lang w:val="fr-CA"/>
        </w:rPr>
        <w:t>Problèmes d</w:t>
      </w:r>
      <w:r w:rsidR="00EA3E31" w:rsidRPr="00E342F1">
        <w:rPr>
          <w:lang w:val="fr-CA"/>
        </w:rPr>
        <w:t>’</w:t>
      </w:r>
      <w:r w:rsidRPr="00E342F1">
        <w:rPr>
          <w:lang w:val="fr-CA"/>
        </w:rPr>
        <w:t>application et d</w:t>
      </w:r>
      <w:r w:rsidR="00EA3E31" w:rsidRPr="00E342F1">
        <w:rPr>
          <w:lang w:val="fr-CA"/>
        </w:rPr>
        <w:t>’</w:t>
      </w:r>
      <w:r w:rsidRPr="00E342F1">
        <w:rPr>
          <w:lang w:val="fr-CA"/>
        </w:rPr>
        <w:t>accessibilité du Web</w:t>
      </w:r>
      <w:bookmarkEnd w:id="59"/>
    </w:p>
    <w:p w14:paraId="43A01888" w14:textId="76156055" w:rsidR="000F5A79" w:rsidRPr="00E342F1" w:rsidRDefault="000F5A79" w:rsidP="00733FF7">
      <w:pPr>
        <w:rPr>
          <w:lang w:val="fr-CA"/>
        </w:rPr>
      </w:pPr>
      <w:r w:rsidRPr="00E342F1">
        <w:rPr>
          <w:lang w:val="fr-CA"/>
        </w:rPr>
        <w:t>Bien que les lignes directrices pour l</w:t>
      </w:r>
      <w:r w:rsidR="00EA3E31" w:rsidRPr="00E342F1">
        <w:rPr>
          <w:lang w:val="fr-CA"/>
        </w:rPr>
        <w:t>’</w:t>
      </w:r>
      <w:r w:rsidRPr="00E342F1">
        <w:rPr>
          <w:lang w:val="fr-CA"/>
        </w:rPr>
        <w:t>accessibilité des contenus web (WCAG) soient en place depuis des décennies, l</w:t>
      </w:r>
      <w:r w:rsidR="00EA3E31" w:rsidRPr="00E342F1">
        <w:rPr>
          <w:lang w:val="fr-CA"/>
        </w:rPr>
        <w:t>’</w:t>
      </w:r>
      <w:r w:rsidRPr="00E342F1">
        <w:rPr>
          <w:lang w:val="fr-CA"/>
        </w:rPr>
        <w:t>accessibilité du web reste un problème. En outre, les mises à jour des applications et des sites web peuvent « casser » l</w:t>
      </w:r>
      <w:r w:rsidR="00EA3E31" w:rsidRPr="00E342F1">
        <w:rPr>
          <w:lang w:val="fr-CA"/>
        </w:rPr>
        <w:t>’</w:t>
      </w:r>
      <w:r w:rsidRPr="00E342F1">
        <w:rPr>
          <w:lang w:val="fr-CA"/>
        </w:rPr>
        <w:t>accessibilité. Les co-chercheurs ont identifié des problèmes tels que les délais d</w:t>
      </w:r>
      <w:r w:rsidR="00EA3E31" w:rsidRPr="00E342F1">
        <w:rPr>
          <w:lang w:val="fr-CA"/>
        </w:rPr>
        <w:t>’</w:t>
      </w:r>
      <w:r w:rsidRPr="00E342F1">
        <w:rPr>
          <w:lang w:val="fr-CA"/>
        </w:rPr>
        <w:t>attente des formulaires, la mauvaise gestion des erreurs et le manque d</w:t>
      </w:r>
      <w:r w:rsidR="00EA3E31" w:rsidRPr="00E342F1">
        <w:rPr>
          <w:lang w:val="fr-CA"/>
        </w:rPr>
        <w:t>’</w:t>
      </w:r>
      <w:r w:rsidRPr="00E342F1">
        <w:rPr>
          <w:lang w:val="fr-CA"/>
        </w:rPr>
        <w:t>application des normes. Les mesures à prendre concernent des approches visant à améliorer les problèmes auxquels les co-chercheurs sont confrontés dans leur vie de tous les jours.</w:t>
      </w:r>
    </w:p>
    <w:p w14:paraId="68048A8D" w14:textId="613DBBC5"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6D22146E" w14:textId="313A8E7F" w:rsidR="000F5A79" w:rsidRPr="00E342F1" w:rsidRDefault="000F5A79" w:rsidP="000F5A79">
      <w:pPr>
        <w:pStyle w:val="ListParagraph"/>
        <w:numPr>
          <w:ilvl w:val="0"/>
          <w:numId w:val="67"/>
        </w:numPr>
        <w:rPr>
          <w:lang w:val="fr-CA"/>
        </w:rPr>
      </w:pPr>
      <w:bookmarkStart w:id="60" w:name="_Toc176951802"/>
      <w:bookmarkStart w:id="61" w:name="_Toc177373766"/>
      <w:r w:rsidRPr="00E342F1">
        <w:rPr>
          <w:lang w:val="fr-CA"/>
        </w:rPr>
        <w:t>Améliorer l</w:t>
      </w:r>
      <w:r w:rsidR="00EA3E31" w:rsidRPr="00E342F1">
        <w:rPr>
          <w:lang w:val="fr-CA"/>
        </w:rPr>
        <w:t>’</w:t>
      </w:r>
      <w:r w:rsidRPr="00E342F1">
        <w:rPr>
          <w:lang w:val="fr-CA"/>
        </w:rPr>
        <w:t>application des normes d</w:t>
      </w:r>
      <w:r w:rsidR="00EA3E31" w:rsidRPr="00E342F1">
        <w:rPr>
          <w:lang w:val="fr-CA"/>
        </w:rPr>
        <w:t>’</w:t>
      </w:r>
      <w:r w:rsidRPr="00E342F1">
        <w:rPr>
          <w:lang w:val="fr-CA"/>
        </w:rPr>
        <w:t>accessibilité.</w:t>
      </w:r>
    </w:p>
    <w:p w14:paraId="0B93F8DE" w14:textId="05611EF8" w:rsidR="000F5A79" w:rsidRPr="00E342F1" w:rsidRDefault="000F5A79" w:rsidP="000F5A79">
      <w:pPr>
        <w:pStyle w:val="ListParagraph"/>
        <w:numPr>
          <w:ilvl w:val="0"/>
          <w:numId w:val="67"/>
        </w:numPr>
        <w:rPr>
          <w:lang w:val="fr-CA"/>
        </w:rPr>
      </w:pPr>
      <w:r w:rsidRPr="00E342F1">
        <w:rPr>
          <w:lang w:val="fr-CA"/>
        </w:rPr>
        <w:t>Offrir une formation abordable sur l</w:t>
      </w:r>
      <w:r w:rsidR="00EA3E31" w:rsidRPr="00E342F1">
        <w:rPr>
          <w:lang w:val="fr-CA"/>
        </w:rPr>
        <w:t>’</w:t>
      </w:r>
      <w:r w:rsidRPr="00E342F1">
        <w:rPr>
          <w:lang w:val="fr-CA"/>
        </w:rPr>
        <w:t xml:space="preserve">accessibilité du Web. </w:t>
      </w:r>
    </w:p>
    <w:p w14:paraId="5147D6A7" w14:textId="32C4DA95" w:rsidR="000F5A79" w:rsidRPr="00E342F1" w:rsidRDefault="000F5A79" w:rsidP="000F5A79">
      <w:pPr>
        <w:pStyle w:val="ListParagraph"/>
        <w:numPr>
          <w:ilvl w:val="0"/>
          <w:numId w:val="67"/>
        </w:numPr>
        <w:rPr>
          <w:lang w:val="fr-CA"/>
        </w:rPr>
      </w:pPr>
      <w:r w:rsidRPr="00E342F1">
        <w:rPr>
          <w:lang w:val="fr-CA"/>
        </w:rPr>
        <w:t>Optimisez les sites Web pour les lecteurs d</w:t>
      </w:r>
      <w:r w:rsidR="00EA3E31" w:rsidRPr="00E342F1">
        <w:rPr>
          <w:lang w:val="fr-CA"/>
        </w:rPr>
        <w:t>’</w:t>
      </w:r>
      <w:r w:rsidRPr="00E342F1">
        <w:rPr>
          <w:lang w:val="fr-CA"/>
        </w:rPr>
        <w:t>écran.</w:t>
      </w:r>
    </w:p>
    <w:p w14:paraId="5E3B6BFE" w14:textId="03D5A50D" w:rsidR="000F5A79" w:rsidRPr="00E342F1" w:rsidRDefault="000F5A79" w:rsidP="000F5A79">
      <w:pPr>
        <w:pStyle w:val="ListParagraph"/>
        <w:numPr>
          <w:ilvl w:val="0"/>
          <w:numId w:val="67"/>
        </w:numPr>
        <w:rPr>
          <w:lang w:val="fr-CA"/>
        </w:rPr>
      </w:pPr>
      <w:r w:rsidRPr="00E342F1">
        <w:rPr>
          <w:lang w:val="fr-CA"/>
        </w:rPr>
        <w:t>Réaliser régulièrement des audits d</w:t>
      </w:r>
      <w:r w:rsidR="00EA3E31" w:rsidRPr="00E342F1">
        <w:rPr>
          <w:lang w:val="fr-CA"/>
        </w:rPr>
        <w:t>’</w:t>
      </w:r>
      <w:r w:rsidRPr="00E342F1">
        <w:rPr>
          <w:lang w:val="fr-CA"/>
        </w:rPr>
        <w:t xml:space="preserve">accessibilité. </w:t>
      </w:r>
    </w:p>
    <w:p w14:paraId="2F8577CA" w14:textId="7B5B915D" w:rsidR="000F5A79" w:rsidRPr="00E342F1" w:rsidRDefault="000F5A79" w:rsidP="000F5A79">
      <w:pPr>
        <w:pStyle w:val="ListParagraph"/>
        <w:numPr>
          <w:ilvl w:val="0"/>
          <w:numId w:val="67"/>
        </w:numPr>
        <w:rPr>
          <w:lang w:val="fr-CA"/>
        </w:rPr>
      </w:pPr>
      <w:r w:rsidRPr="00E342F1">
        <w:rPr>
          <w:lang w:val="fr-CA"/>
        </w:rPr>
        <w:t>S</w:t>
      </w:r>
      <w:r w:rsidR="00EA3E31" w:rsidRPr="00E342F1">
        <w:rPr>
          <w:lang w:val="fr-CA"/>
        </w:rPr>
        <w:t>’</w:t>
      </w:r>
      <w:r w:rsidRPr="00E342F1">
        <w:rPr>
          <w:lang w:val="fr-CA"/>
        </w:rPr>
        <w:t>assurer que l</w:t>
      </w:r>
      <w:r w:rsidR="00EA3E31" w:rsidRPr="00E342F1">
        <w:rPr>
          <w:lang w:val="fr-CA"/>
        </w:rPr>
        <w:t>’</w:t>
      </w:r>
      <w:r w:rsidRPr="00E342F1">
        <w:rPr>
          <w:lang w:val="fr-CA"/>
        </w:rPr>
        <w:t>accessibilité est maintenue dans les mises à jour, tester les mises à jour avec les utilisateurs handicapés et élaborer des lignes directrices obligatoires pour les mises à jour.</w:t>
      </w:r>
    </w:p>
    <w:p w14:paraId="05591C8F" w14:textId="77777777" w:rsidR="000F5A79" w:rsidRPr="00E342F1" w:rsidRDefault="000F5A79" w:rsidP="000F5A79">
      <w:pPr>
        <w:pStyle w:val="Heading4"/>
        <w:tabs>
          <w:tab w:val="num" w:pos="360"/>
          <w:tab w:val="num" w:pos="2880"/>
        </w:tabs>
        <w:rPr>
          <w:lang w:val="fr-CA"/>
        </w:rPr>
      </w:pPr>
      <w:bookmarkStart w:id="62" w:name="_Toc179379647"/>
      <w:bookmarkEnd w:id="60"/>
      <w:bookmarkEnd w:id="61"/>
      <w:r w:rsidRPr="00E342F1">
        <w:rPr>
          <w:lang w:val="fr-CA"/>
        </w:rPr>
        <w:t>Défis de sous-titrage en direct</w:t>
      </w:r>
      <w:bookmarkEnd w:id="62"/>
    </w:p>
    <w:p w14:paraId="58049204" w14:textId="1CF9AC84" w:rsidR="00AE70E8" w:rsidRPr="00E342F1" w:rsidRDefault="000F5A79" w:rsidP="00733FF7">
      <w:pPr>
        <w:rPr>
          <w:lang w:val="fr-CA"/>
        </w:rPr>
      </w:pPr>
      <w:r w:rsidRPr="00E342F1">
        <w:rPr>
          <w:lang w:val="fr-CA"/>
        </w:rPr>
        <w:t>Ce thème aborde l</w:t>
      </w:r>
      <w:r w:rsidR="00EA3E31" w:rsidRPr="00E342F1">
        <w:rPr>
          <w:lang w:val="fr-CA"/>
        </w:rPr>
        <w:t>’</w:t>
      </w:r>
      <w:r w:rsidRPr="00E342F1">
        <w:rPr>
          <w:lang w:val="fr-CA"/>
        </w:rPr>
        <w:t>importance du sous-titrage en direct et les défis connexes, tels que l</w:t>
      </w:r>
      <w:r w:rsidR="00EA3E31" w:rsidRPr="00E342F1">
        <w:rPr>
          <w:lang w:val="fr-CA"/>
        </w:rPr>
        <w:t>’</w:t>
      </w:r>
      <w:r w:rsidRPr="00E342F1">
        <w:rPr>
          <w:lang w:val="fr-CA"/>
        </w:rPr>
        <w:t>exactitude et la disponibilité</w:t>
      </w:r>
      <w:r w:rsidR="00AE70E8" w:rsidRPr="00E342F1">
        <w:rPr>
          <w:lang w:val="fr-CA"/>
        </w:rPr>
        <w:t>.</w:t>
      </w:r>
    </w:p>
    <w:p w14:paraId="42627BB8" w14:textId="36E50926"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4C76B9FE" w14:textId="77777777" w:rsidR="000F5A79" w:rsidRPr="00E342F1" w:rsidRDefault="000F5A79" w:rsidP="000F5A79">
      <w:pPr>
        <w:pStyle w:val="ListParagraph"/>
        <w:numPr>
          <w:ilvl w:val="0"/>
          <w:numId w:val="67"/>
        </w:numPr>
        <w:rPr>
          <w:lang w:val="fr-CA"/>
        </w:rPr>
      </w:pPr>
      <w:bookmarkStart w:id="63" w:name="_Toc176951803"/>
      <w:bookmarkStart w:id="64" w:name="_Toc177373767"/>
      <w:r w:rsidRPr="00E342F1">
        <w:rPr>
          <w:lang w:val="fr-CA"/>
        </w:rPr>
        <w:t>Garantir un accès total aux sous-titres en direct, améliorer la formation à la précision et soutenir les politiques de sous-titrage dans les espaces publics.</w:t>
      </w:r>
    </w:p>
    <w:p w14:paraId="60CE848F" w14:textId="034379A3" w:rsidR="000F5A79" w:rsidRPr="00E342F1" w:rsidRDefault="000F5A79" w:rsidP="000F5A79">
      <w:pPr>
        <w:pStyle w:val="ListParagraph"/>
        <w:numPr>
          <w:ilvl w:val="0"/>
          <w:numId w:val="67"/>
        </w:numPr>
        <w:rPr>
          <w:lang w:val="fr-CA"/>
        </w:rPr>
      </w:pPr>
      <w:r w:rsidRPr="00E342F1">
        <w:rPr>
          <w:lang w:val="fr-CA"/>
        </w:rPr>
        <w:t>Établir des normes de sous-titrage à l</w:t>
      </w:r>
      <w:r w:rsidR="00EA3E31" w:rsidRPr="00E342F1">
        <w:rPr>
          <w:lang w:val="fr-CA"/>
        </w:rPr>
        <w:t>’</w:t>
      </w:r>
      <w:r w:rsidRPr="00E342F1">
        <w:rPr>
          <w:lang w:val="fr-CA"/>
        </w:rPr>
        <w:t>échelle de l</w:t>
      </w:r>
      <w:r w:rsidR="00EA3E31" w:rsidRPr="00E342F1">
        <w:rPr>
          <w:lang w:val="fr-CA"/>
        </w:rPr>
        <w:t>’</w:t>
      </w:r>
      <w:r w:rsidRPr="00E342F1">
        <w:rPr>
          <w:lang w:val="fr-CA"/>
        </w:rPr>
        <w:t>industrie, soutenir l</w:t>
      </w:r>
      <w:r w:rsidR="00EA3E31" w:rsidRPr="00E342F1">
        <w:rPr>
          <w:lang w:val="fr-CA"/>
        </w:rPr>
        <w:t>’</w:t>
      </w:r>
      <w:r w:rsidRPr="00E342F1">
        <w:rPr>
          <w:lang w:val="fr-CA"/>
        </w:rPr>
        <w:t>intégration de l</w:t>
      </w:r>
      <w:r w:rsidR="00EA3E31" w:rsidRPr="00E342F1">
        <w:rPr>
          <w:lang w:val="fr-CA"/>
        </w:rPr>
        <w:t>’</w:t>
      </w:r>
      <w:r w:rsidRPr="00E342F1">
        <w:rPr>
          <w:lang w:val="fr-CA"/>
        </w:rPr>
        <w:t>QSL et ASL par des mesures incitatives, et fournir des instructions claires et des options de révision des sous-titres.</w:t>
      </w:r>
    </w:p>
    <w:p w14:paraId="178AB1CF" w14:textId="5533273A" w:rsidR="00AE70E8" w:rsidRPr="00E342F1" w:rsidRDefault="00040DCB" w:rsidP="00FA392F">
      <w:pPr>
        <w:pStyle w:val="Heading4"/>
        <w:rPr>
          <w:lang w:val="fr-CA"/>
        </w:rPr>
      </w:pPr>
      <w:bookmarkStart w:id="65" w:name="_Toc179379648"/>
      <w:r w:rsidRPr="00040DCB">
        <w:rPr>
          <w:lang w:val="fr-CA"/>
        </w:rPr>
        <w:t>Outils d'aide génériques</w:t>
      </w:r>
      <w:bookmarkEnd w:id="63"/>
      <w:bookmarkEnd w:id="64"/>
      <w:bookmarkEnd w:id="65"/>
    </w:p>
    <w:p w14:paraId="3ED41B2E" w14:textId="6DFCCAA3" w:rsidR="00AE70E8" w:rsidRPr="00E342F1" w:rsidRDefault="008D0D99" w:rsidP="00733FF7">
      <w:pPr>
        <w:rPr>
          <w:lang w:val="fr-CA"/>
        </w:rPr>
      </w:pPr>
      <w:r w:rsidRPr="008D0D99">
        <w:rPr>
          <w:lang w:val="fr-CA"/>
        </w:rPr>
        <w:t>Les co-chercheurs ont exprimé leur frustration face aux outils d'aide génériques et aux instructions qui ne répondent pas à leurs besoins ou questions spécifiques</w:t>
      </w:r>
      <w:r w:rsidR="00AE70E8" w:rsidRPr="00E342F1">
        <w:rPr>
          <w:lang w:val="fr-CA"/>
        </w:rPr>
        <w:t>.</w:t>
      </w:r>
    </w:p>
    <w:p w14:paraId="6A238A67" w14:textId="1AB23378"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14D2EB73" w14:textId="77777777" w:rsidR="0082148D" w:rsidRDefault="0082148D" w:rsidP="00FA392F">
      <w:pPr>
        <w:pStyle w:val="ListParagraph"/>
        <w:numPr>
          <w:ilvl w:val="0"/>
          <w:numId w:val="41"/>
        </w:numPr>
        <w:rPr>
          <w:lang w:val="fr-CA"/>
        </w:rPr>
      </w:pPr>
      <w:r w:rsidRPr="0082148D">
        <w:rPr>
          <w:lang w:val="fr-CA"/>
        </w:rPr>
        <w:t>Outils d'aide personnalisables sur toutes les plateformes numériques</w:t>
      </w:r>
    </w:p>
    <w:p w14:paraId="45A0A9FA" w14:textId="77777777" w:rsidR="006F00CB" w:rsidRDefault="006F00CB" w:rsidP="006F00CB">
      <w:pPr>
        <w:pStyle w:val="ListParagraph"/>
        <w:numPr>
          <w:ilvl w:val="0"/>
          <w:numId w:val="41"/>
        </w:numPr>
        <w:rPr>
          <w:lang w:val="fr-CA"/>
        </w:rPr>
      </w:pPr>
      <w:r w:rsidRPr="006F00CB">
        <w:rPr>
          <w:lang w:val="fr-CA"/>
        </w:rPr>
        <w:t xml:space="preserve">Amélioration de la sensibilité des écrans tactiles des kiosques. </w:t>
      </w:r>
    </w:p>
    <w:p w14:paraId="048F7C87" w14:textId="5DAA9E88" w:rsidR="006F00CB" w:rsidRPr="006F00CB" w:rsidRDefault="006F00CB" w:rsidP="006F00CB">
      <w:pPr>
        <w:pStyle w:val="ListParagraph"/>
        <w:numPr>
          <w:ilvl w:val="0"/>
          <w:numId w:val="41"/>
        </w:numPr>
        <w:rPr>
          <w:lang w:val="fr-CA"/>
        </w:rPr>
      </w:pPr>
      <w:r w:rsidRPr="006F00CB">
        <w:rPr>
          <w:lang w:val="fr-CA"/>
        </w:rPr>
        <w:t>Guides pas à pas et assistance numérique améliorée.</w:t>
      </w:r>
    </w:p>
    <w:p w14:paraId="2AA3B307" w14:textId="344CE239" w:rsidR="009269D9" w:rsidRPr="00E342F1" w:rsidRDefault="003A6F7D" w:rsidP="00FA392F">
      <w:pPr>
        <w:pStyle w:val="Heading4"/>
        <w:rPr>
          <w:lang w:val="fr-CA"/>
        </w:rPr>
      </w:pPr>
      <w:bookmarkStart w:id="66" w:name="_Toc179379649"/>
      <w:r w:rsidRPr="00E342F1">
        <w:rPr>
          <w:lang w:val="fr-CA"/>
        </w:rPr>
        <w:t>Représentation erronée des symboles</w:t>
      </w:r>
      <w:bookmarkEnd w:id="66"/>
    </w:p>
    <w:p w14:paraId="4C8EFC82" w14:textId="47311352" w:rsidR="00AE70E8" w:rsidRPr="00E342F1" w:rsidRDefault="003A6F7D" w:rsidP="00733FF7">
      <w:pPr>
        <w:rPr>
          <w:lang w:val="fr-CA"/>
        </w:rPr>
      </w:pPr>
      <w:r w:rsidRPr="00E342F1">
        <w:rPr>
          <w:lang w:val="fr-CA"/>
        </w:rPr>
        <w:t>Ce thème répond au besoin d</w:t>
      </w:r>
      <w:r w:rsidR="00EA3E31" w:rsidRPr="00E342F1">
        <w:rPr>
          <w:lang w:val="fr-CA"/>
        </w:rPr>
        <w:t>’</w:t>
      </w:r>
      <w:r w:rsidRPr="00E342F1">
        <w:rPr>
          <w:lang w:val="fr-CA"/>
        </w:rPr>
        <w:t>indices visuels clairs et universellement compréhensibles, en particulier pour les personnes ayant des déficiences cognitives</w:t>
      </w:r>
      <w:r w:rsidR="00AE70E8" w:rsidRPr="00E342F1">
        <w:rPr>
          <w:lang w:val="fr-CA"/>
        </w:rPr>
        <w:t>.</w:t>
      </w:r>
    </w:p>
    <w:p w14:paraId="2479F479" w14:textId="1704F39A"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75A49959" w14:textId="6ED3B083" w:rsidR="00AE70E8" w:rsidRPr="00E342F1" w:rsidRDefault="003A6F7D" w:rsidP="00FA392F">
      <w:pPr>
        <w:pStyle w:val="ListParagraph"/>
        <w:numPr>
          <w:ilvl w:val="0"/>
          <w:numId w:val="41"/>
        </w:numPr>
        <w:rPr>
          <w:lang w:val="fr-CA"/>
        </w:rPr>
      </w:pPr>
      <w:r w:rsidRPr="00E342F1">
        <w:rPr>
          <w:lang w:val="fr-CA"/>
        </w:rPr>
        <w:t>Utilisez des emojis et des symboles clairs et intuitifs qui sont faciles à comprendre</w:t>
      </w:r>
      <w:r w:rsidR="00AE70E8" w:rsidRPr="00E342F1">
        <w:rPr>
          <w:lang w:val="fr-CA"/>
        </w:rPr>
        <w:t>.</w:t>
      </w:r>
    </w:p>
    <w:p w14:paraId="5438B61D" w14:textId="77777777" w:rsidR="003A6F7D" w:rsidRPr="00E342F1" w:rsidRDefault="003A6F7D" w:rsidP="003A6F7D">
      <w:pPr>
        <w:pStyle w:val="Heading4"/>
        <w:tabs>
          <w:tab w:val="num" w:pos="360"/>
          <w:tab w:val="num" w:pos="2880"/>
        </w:tabs>
        <w:rPr>
          <w:lang w:val="fr-CA"/>
        </w:rPr>
      </w:pPr>
      <w:bookmarkStart w:id="67" w:name="_Toc176951805"/>
      <w:bookmarkStart w:id="68" w:name="_Toc177373769"/>
      <w:bookmarkStart w:id="69" w:name="_Toc179379650"/>
      <w:r w:rsidRPr="00E342F1">
        <w:rPr>
          <w:lang w:val="fr-CA"/>
        </w:rPr>
        <w:t>Suggestions de conception</w:t>
      </w:r>
      <w:bookmarkEnd w:id="67"/>
      <w:bookmarkEnd w:id="68"/>
      <w:bookmarkEnd w:id="69"/>
    </w:p>
    <w:p w14:paraId="679C0D72" w14:textId="1DCF141E" w:rsidR="00AE70E8" w:rsidRPr="00E342F1" w:rsidRDefault="003A6F7D" w:rsidP="00733FF7">
      <w:pPr>
        <w:rPr>
          <w:lang w:val="fr-CA"/>
        </w:rPr>
      </w:pPr>
      <w:r w:rsidRPr="00E342F1">
        <w:rPr>
          <w:lang w:val="fr-CA"/>
        </w:rPr>
        <w:t>Ce thème met l</w:t>
      </w:r>
      <w:r w:rsidR="00EA3E31" w:rsidRPr="00E342F1">
        <w:rPr>
          <w:lang w:val="fr-CA"/>
        </w:rPr>
        <w:t>’</w:t>
      </w:r>
      <w:r w:rsidRPr="00E342F1">
        <w:rPr>
          <w:lang w:val="fr-CA"/>
        </w:rPr>
        <w:t>accent sur des solutions spécifiques et pratiques soulevées par les co-chercheurs et reflète les obstacles quotidiens qu</w:t>
      </w:r>
      <w:r w:rsidR="00EA3E31" w:rsidRPr="00E342F1">
        <w:rPr>
          <w:lang w:val="fr-CA"/>
        </w:rPr>
        <w:t>’</w:t>
      </w:r>
      <w:r w:rsidRPr="00E342F1">
        <w:rPr>
          <w:lang w:val="fr-CA"/>
        </w:rPr>
        <w:t>ils rencontrent</w:t>
      </w:r>
      <w:r w:rsidR="00AE70E8" w:rsidRPr="00E342F1">
        <w:rPr>
          <w:lang w:val="fr-CA"/>
        </w:rPr>
        <w:t xml:space="preserve">. </w:t>
      </w:r>
    </w:p>
    <w:p w14:paraId="13C71DC1" w14:textId="4D12C0DD" w:rsidR="00654AD8" w:rsidRPr="00E342F1" w:rsidRDefault="00466A2F" w:rsidP="00654AD8">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bookmarkStart w:id="70" w:name="_Toc175656432"/>
      <w:bookmarkStart w:id="71" w:name="_Toc176951806"/>
      <w:bookmarkStart w:id="72" w:name="_Toc177373770"/>
      <w:bookmarkStart w:id="73" w:name="OLE_LINK3"/>
    </w:p>
    <w:p w14:paraId="107EC3D8" w14:textId="77777777" w:rsidR="00654AD8" w:rsidRPr="00E342F1" w:rsidRDefault="00654AD8" w:rsidP="00654AD8">
      <w:pPr>
        <w:pStyle w:val="ListParagraph"/>
        <w:numPr>
          <w:ilvl w:val="0"/>
          <w:numId w:val="70"/>
        </w:numPr>
        <w:rPr>
          <w:lang w:val="fr-CA"/>
        </w:rPr>
      </w:pPr>
      <w:r w:rsidRPr="00E342F1">
        <w:rPr>
          <w:lang w:val="fr-CA"/>
        </w:rPr>
        <w:t xml:space="preserve">Mettre en place des outils de gestion des mots de passe dotés de fonctions inclusives. </w:t>
      </w:r>
    </w:p>
    <w:p w14:paraId="6CF25A1A" w14:textId="299B9549" w:rsidR="00654AD8" w:rsidRPr="00E342F1" w:rsidRDefault="00654AD8" w:rsidP="00654AD8">
      <w:pPr>
        <w:pStyle w:val="ListParagraph"/>
        <w:numPr>
          <w:ilvl w:val="0"/>
          <w:numId w:val="70"/>
        </w:numPr>
        <w:rPr>
          <w:lang w:val="fr-CA"/>
        </w:rPr>
      </w:pPr>
      <w:r w:rsidRPr="00E342F1">
        <w:rPr>
          <w:lang w:val="fr-CA"/>
        </w:rPr>
        <w:t>Créer des outils d</w:t>
      </w:r>
      <w:r w:rsidR="00EA3E31" w:rsidRPr="00E342F1">
        <w:rPr>
          <w:lang w:val="fr-CA"/>
        </w:rPr>
        <w:t>’</w:t>
      </w:r>
      <w:r w:rsidRPr="00E342F1">
        <w:rPr>
          <w:lang w:val="fr-CA"/>
        </w:rPr>
        <w:t>aide personnalisables.</w:t>
      </w:r>
    </w:p>
    <w:p w14:paraId="7F5BEBCB" w14:textId="77777777" w:rsidR="00654AD8" w:rsidRPr="00E342F1" w:rsidRDefault="00654AD8" w:rsidP="00654AD8">
      <w:pPr>
        <w:pStyle w:val="ListParagraph"/>
        <w:numPr>
          <w:ilvl w:val="0"/>
          <w:numId w:val="70"/>
        </w:numPr>
        <w:rPr>
          <w:lang w:val="fr-CA"/>
        </w:rPr>
      </w:pPr>
      <w:r w:rsidRPr="00E342F1">
        <w:rPr>
          <w:lang w:val="fr-CA"/>
        </w:rPr>
        <w:t xml:space="preserve">Mettre en œuvre des fonctions de sauvegarde automatique dans les formulaires web. </w:t>
      </w:r>
    </w:p>
    <w:p w14:paraId="343CE309" w14:textId="77777777" w:rsidR="00654AD8" w:rsidRPr="00E342F1" w:rsidRDefault="00654AD8" w:rsidP="00654AD8">
      <w:pPr>
        <w:pStyle w:val="ListParagraph"/>
        <w:numPr>
          <w:ilvl w:val="0"/>
          <w:numId w:val="70"/>
        </w:numPr>
        <w:rPr>
          <w:lang w:val="fr-CA"/>
        </w:rPr>
      </w:pPr>
      <w:r w:rsidRPr="00E342F1">
        <w:rPr>
          <w:lang w:val="fr-CA"/>
        </w:rPr>
        <w:t>Concevoir des documents accessibles.</w:t>
      </w:r>
    </w:p>
    <w:p w14:paraId="4B509507" w14:textId="77777777" w:rsidR="00654AD8" w:rsidRPr="00E342F1" w:rsidRDefault="00654AD8" w:rsidP="00654AD8">
      <w:pPr>
        <w:pStyle w:val="ListParagraph"/>
        <w:numPr>
          <w:ilvl w:val="0"/>
          <w:numId w:val="70"/>
        </w:numPr>
        <w:rPr>
          <w:lang w:val="fr-CA"/>
        </w:rPr>
      </w:pPr>
      <w:r w:rsidRPr="00E342F1">
        <w:rPr>
          <w:lang w:val="fr-CA"/>
        </w:rPr>
        <w:t>Fournir une assistance technique aux utilisateurs handicapés.</w:t>
      </w:r>
    </w:p>
    <w:p w14:paraId="2406B6CD" w14:textId="77777777" w:rsidR="00654AD8" w:rsidRPr="00E342F1" w:rsidRDefault="00654AD8" w:rsidP="00654AD8">
      <w:pPr>
        <w:pStyle w:val="ListParagraph"/>
        <w:numPr>
          <w:ilvl w:val="0"/>
          <w:numId w:val="70"/>
        </w:numPr>
        <w:rPr>
          <w:lang w:val="fr-CA"/>
        </w:rPr>
      </w:pPr>
      <w:r w:rsidRPr="00E342F1">
        <w:rPr>
          <w:lang w:val="fr-CA"/>
        </w:rPr>
        <w:t>Concevoir des sites web avec des polices et des contrastes ajustables.</w:t>
      </w:r>
    </w:p>
    <w:p w14:paraId="0E925330" w14:textId="77777777" w:rsidR="00654AD8" w:rsidRPr="00E342F1" w:rsidRDefault="00654AD8" w:rsidP="00654AD8">
      <w:pPr>
        <w:pStyle w:val="ListParagraph"/>
        <w:numPr>
          <w:ilvl w:val="0"/>
          <w:numId w:val="70"/>
        </w:numPr>
        <w:rPr>
          <w:lang w:val="fr-CA"/>
        </w:rPr>
      </w:pPr>
      <w:r w:rsidRPr="00E342F1">
        <w:rPr>
          <w:lang w:val="fr-CA"/>
        </w:rPr>
        <w:t>Autoriser le réglage du volume et la connectivité Bluetooth dans les caisses en libre-service et faire participer les utilisateurs souffrant de troubles du traitement sensoriel à la conception et aux essais.</w:t>
      </w:r>
    </w:p>
    <w:p w14:paraId="18216E4A" w14:textId="174A634B" w:rsidR="00654AD8" w:rsidRPr="00E342F1" w:rsidRDefault="00654AD8" w:rsidP="00654AD8">
      <w:pPr>
        <w:pStyle w:val="ListParagraph"/>
        <w:numPr>
          <w:ilvl w:val="0"/>
          <w:numId w:val="70"/>
        </w:numPr>
        <w:rPr>
          <w:lang w:val="fr-CA"/>
        </w:rPr>
      </w:pPr>
      <w:r w:rsidRPr="00E342F1">
        <w:rPr>
          <w:lang w:val="fr-CA"/>
        </w:rPr>
        <w:t>Concevoir des systèmes de points de vente réglables et fournir des cabines accessibles qui s</w:t>
      </w:r>
      <w:r w:rsidR="00EA3E31" w:rsidRPr="00E342F1">
        <w:rPr>
          <w:lang w:val="fr-CA"/>
        </w:rPr>
        <w:t>’</w:t>
      </w:r>
      <w:r w:rsidRPr="00E342F1">
        <w:rPr>
          <w:lang w:val="fr-CA"/>
        </w:rPr>
        <w:t>adaptent à différentes hauteurs et garantissent l</w:t>
      </w:r>
      <w:r w:rsidR="00EA3E31" w:rsidRPr="00E342F1">
        <w:rPr>
          <w:lang w:val="fr-CA"/>
        </w:rPr>
        <w:t>’</w:t>
      </w:r>
      <w:r w:rsidRPr="00E342F1">
        <w:rPr>
          <w:lang w:val="fr-CA"/>
        </w:rPr>
        <w:t>intimité.</w:t>
      </w:r>
    </w:p>
    <w:p w14:paraId="6FC29DDA" w14:textId="4968AEB6" w:rsidR="00654AD8" w:rsidRPr="00E342F1" w:rsidRDefault="00654AD8" w:rsidP="00654AD8">
      <w:pPr>
        <w:pStyle w:val="Heading3"/>
        <w:tabs>
          <w:tab w:val="num" w:pos="360"/>
          <w:tab w:val="num" w:pos="2160"/>
        </w:tabs>
        <w:rPr>
          <w:lang w:val="fr-CA"/>
        </w:rPr>
      </w:pPr>
      <w:bookmarkStart w:id="74" w:name="_Toc179379651"/>
      <w:bookmarkEnd w:id="70"/>
      <w:bookmarkEnd w:id="71"/>
      <w:bookmarkEnd w:id="72"/>
      <w:bookmarkEnd w:id="73"/>
      <w:r w:rsidRPr="00E342F1">
        <w:rPr>
          <w:lang w:val="fr-CA"/>
        </w:rPr>
        <w:t>Suivre l</w:t>
      </w:r>
      <w:r w:rsidR="00EA3E31" w:rsidRPr="00E342F1">
        <w:rPr>
          <w:lang w:val="fr-CA"/>
        </w:rPr>
        <w:t>’</w:t>
      </w:r>
      <w:r w:rsidRPr="00E342F1">
        <w:rPr>
          <w:lang w:val="fr-CA"/>
        </w:rPr>
        <w:t>évolution rapide de la technologie et empêcher l</w:t>
      </w:r>
      <w:r w:rsidR="00EA3E31" w:rsidRPr="00E342F1">
        <w:rPr>
          <w:lang w:val="fr-CA"/>
        </w:rPr>
        <w:t>’</w:t>
      </w:r>
      <w:r w:rsidRPr="00E342F1">
        <w:rPr>
          <w:lang w:val="fr-CA"/>
        </w:rPr>
        <w:t>apparition de nouveaux obstacles</w:t>
      </w:r>
      <w:bookmarkEnd w:id="74"/>
    </w:p>
    <w:p w14:paraId="6AA60C15" w14:textId="5B771795" w:rsidR="00AE70E8" w:rsidRPr="00E342F1" w:rsidRDefault="00654AD8" w:rsidP="00733FF7">
      <w:pPr>
        <w:rPr>
          <w:lang w:val="fr-CA"/>
        </w:rPr>
      </w:pPr>
      <w:r w:rsidRPr="00E342F1">
        <w:rPr>
          <w:lang w:val="fr-CA"/>
        </w:rPr>
        <w:t>L</w:t>
      </w:r>
      <w:r w:rsidR="00EA3E31" w:rsidRPr="00E342F1">
        <w:rPr>
          <w:lang w:val="fr-CA"/>
        </w:rPr>
        <w:t>’</w:t>
      </w:r>
      <w:r w:rsidRPr="00E342F1">
        <w:rPr>
          <w:lang w:val="fr-CA"/>
        </w:rPr>
        <w:t>évolution rapide de la technologie pose des défis aux règles statiques d</w:t>
      </w:r>
      <w:r w:rsidR="00EA3E31" w:rsidRPr="00E342F1">
        <w:rPr>
          <w:lang w:val="fr-CA"/>
        </w:rPr>
        <w:t>’</w:t>
      </w:r>
      <w:r w:rsidRPr="00E342F1">
        <w:rPr>
          <w:lang w:val="fr-CA"/>
        </w:rPr>
        <w:t>accessibilité. Cette section examine la nécessité d</w:t>
      </w:r>
      <w:r w:rsidR="00EA3E31" w:rsidRPr="00E342F1">
        <w:rPr>
          <w:lang w:val="fr-CA"/>
        </w:rPr>
        <w:t>’</w:t>
      </w:r>
      <w:r w:rsidRPr="00E342F1">
        <w:rPr>
          <w:lang w:val="fr-CA"/>
        </w:rPr>
        <w:t>adopter des règlements et des normes qui s</w:t>
      </w:r>
      <w:r w:rsidR="00EA3E31" w:rsidRPr="00E342F1">
        <w:rPr>
          <w:lang w:val="fr-CA"/>
        </w:rPr>
        <w:t>’</w:t>
      </w:r>
      <w:r w:rsidRPr="00E342F1">
        <w:rPr>
          <w:lang w:val="fr-CA"/>
        </w:rPr>
        <w:t>adaptent au rythme rapide des avancées technologiques et qui empêchent les nouveaux obstacles qui apparaissent de s</w:t>
      </w:r>
      <w:r w:rsidR="00EA3E31" w:rsidRPr="00E342F1">
        <w:rPr>
          <w:lang w:val="fr-CA"/>
        </w:rPr>
        <w:t>’</w:t>
      </w:r>
      <w:r w:rsidRPr="00E342F1">
        <w:rPr>
          <w:lang w:val="fr-CA"/>
        </w:rPr>
        <w:t>enraciner avant qu</w:t>
      </w:r>
      <w:r w:rsidR="00EA3E31" w:rsidRPr="00E342F1">
        <w:rPr>
          <w:lang w:val="fr-CA"/>
        </w:rPr>
        <w:t>’</w:t>
      </w:r>
      <w:r w:rsidRPr="00E342F1">
        <w:rPr>
          <w:lang w:val="fr-CA"/>
        </w:rPr>
        <w:t>on puisse y remédier</w:t>
      </w:r>
      <w:r w:rsidR="00AE70E8" w:rsidRPr="00E342F1">
        <w:rPr>
          <w:lang w:val="fr-CA"/>
        </w:rPr>
        <w:t>.</w:t>
      </w:r>
    </w:p>
    <w:p w14:paraId="2D0E218D" w14:textId="69A4868C" w:rsidR="00654AD8" w:rsidRPr="00E342F1" w:rsidRDefault="00654AD8" w:rsidP="00654AD8">
      <w:pPr>
        <w:pStyle w:val="Heading4"/>
        <w:tabs>
          <w:tab w:val="num" w:pos="360"/>
          <w:tab w:val="num" w:pos="2880"/>
        </w:tabs>
        <w:rPr>
          <w:lang w:val="fr-CA"/>
        </w:rPr>
      </w:pPr>
      <w:bookmarkStart w:id="75" w:name="_Toc176951807"/>
      <w:bookmarkStart w:id="76" w:name="_Toc177373771"/>
      <w:bookmarkStart w:id="77" w:name="_Toc179379652"/>
      <w:r w:rsidRPr="00E342F1">
        <w:rPr>
          <w:lang w:val="fr-CA"/>
        </w:rPr>
        <w:t>Fournir une justification et des stratégies de mise en œuvre pour l</w:t>
      </w:r>
      <w:r w:rsidR="00EA3E31" w:rsidRPr="00E342F1">
        <w:rPr>
          <w:lang w:val="fr-CA"/>
        </w:rPr>
        <w:t>’</w:t>
      </w:r>
      <w:r w:rsidRPr="00E342F1">
        <w:rPr>
          <w:lang w:val="fr-CA"/>
        </w:rPr>
        <w:t>accessibilité</w:t>
      </w:r>
      <w:bookmarkEnd w:id="75"/>
      <w:bookmarkEnd w:id="76"/>
      <w:bookmarkEnd w:id="77"/>
    </w:p>
    <w:p w14:paraId="193A22CB" w14:textId="39FAFAFE" w:rsidR="00AE70E8" w:rsidRPr="00E342F1" w:rsidRDefault="00654AD8" w:rsidP="00733FF7">
      <w:pPr>
        <w:rPr>
          <w:lang w:val="fr-CA"/>
        </w:rPr>
      </w:pPr>
      <w:r w:rsidRPr="00E342F1">
        <w:rPr>
          <w:lang w:val="fr-CA"/>
        </w:rPr>
        <w:t>Malgré la législation sur l</w:t>
      </w:r>
      <w:r w:rsidR="00EA3E31" w:rsidRPr="00E342F1">
        <w:rPr>
          <w:lang w:val="fr-CA"/>
        </w:rPr>
        <w:t>’</w:t>
      </w:r>
      <w:r w:rsidRPr="00E342F1">
        <w:rPr>
          <w:lang w:val="fr-CA"/>
        </w:rPr>
        <w:t>accessibilité, les pratiques ne donnent pas la priorité aux exigences en matière d</w:t>
      </w:r>
      <w:r w:rsidR="00EA3E31" w:rsidRPr="00E342F1">
        <w:rPr>
          <w:lang w:val="fr-CA"/>
        </w:rPr>
        <w:t>’</w:t>
      </w:r>
      <w:r w:rsidRPr="00E342F1">
        <w:rPr>
          <w:lang w:val="fr-CA"/>
        </w:rPr>
        <w:t>accessibilité et le raisonnement qui sous-tend les exigences n</w:t>
      </w:r>
      <w:r w:rsidR="00EA3E31" w:rsidRPr="00E342F1">
        <w:rPr>
          <w:lang w:val="fr-CA"/>
        </w:rPr>
        <w:t>’</w:t>
      </w:r>
      <w:r w:rsidRPr="00E342F1">
        <w:rPr>
          <w:lang w:val="fr-CA"/>
        </w:rPr>
        <w:t>est pas communiqué. Les co-chercheurs visent à mettre l</w:t>
      </w:r>
      <w:r w:rsidR="00EA3E31" w:rsidRPr="00E342F1">
        <w:rPr>
          <w:lang w:val="fr-CA"/>
        </w:rPr>
        <w:t>’</w:t>
      </w:r>
      <w:r w:rsidRPr="00E342F1">
        <w:rPr>
          <w:lang w:val="fr-CA"/>
        </w:rPr>
        <w:t>accent sur la compréhension du « pourquoi » derrière les initiatives d</w:t>
      </w:r>
      <w:r w:rsidR="00EA3E31" w:rsidRPr="00E342F1">
        <w:rPr>
          <w:lang w:val="fr-CA"/>
        </w:rPr>
        <w:t>’</w:t>
      </w:r>
      <w:r w:rsidRPr="00E342F1">
        <w:rPr>
          <w:lang w:val="fr-CA"/>
        </w:rPr>
        <w:t>accessibilité afin de promouvoir une meilleure compréhension et, par conséquent, un engagement</w:t>
      </w:r>
      <w:r w:rsidR="00AE70E8" w:rsidRPr="00E342F1">
        <w:rPr>
          <w:lang w:val="fr-CA"/>
        </w:rPr>
        <w:t>.</w:t>
      </w:r>
    </w:p>
    <w:p w14:paraId="665572A0" w14:textId="6A8BC418"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5530E6CD" w14:textId="17535E02" w:rsidR="00D201A4" w:rsidRPr="00E342F1" w:rsidRDefault="00D201A4" w:rsidP="00D201A4">
      <w:pPr>
        <w:pStyle w:val="ListParagraph"/>
        <w:numPr>
          <w:ilvl w:val="0"/>
          <w:numId w:val="71"/>
        </w:numPr>
        <w:rPr>
          <w:lang w:val="fr-CA"/>
        </w:rPr>
      </w:pPr>
      <w:bookmarkStart w:id="78" w:name="_Toc176951808"/>
      <w:bookmarkStart w:id="79" w:name="_Toc177373772"/>
      <w:r w:rsidRPr="00E342F1">
        <w:rPr>
          <w:lang w:val="fr-CA"/>
        </w:rPr>
        <w:t>Plaider en faveur d</w:t>
      </w:r>
      <w:r w:rsidR="00EA3E31" w:rsidRPr="00E342F1">
        <w:rPr>
          <w:lang w:val="fr-CA"/>
        </w:rPr>
        <w:t>’</w:t>
      </w:r>
      <w:r w:rsidRPr="00E342F1">
        <w:rPr>
          <w:lang w:val="fr-CA"/>
        </w:rPr>
        <w:t>une législation qui s</w:t>
      </w:r>
      <w:r w:rsidR="00EA3E31" w:rsidRPr="00E342F1">
        <w:rPr>
          <w:lang w:val="fr-CA"/>
        </w:rPr>
        <w:t>’</w:t>
      </w:r>
      <w:r w:rsidRPr="00E342F1">
        <w:rPr>
          <w:lang w:val="fr-CA"/>
        </w:rPr>
        <w:t>adapte aux changements technologiques et explique clairement l</w:t>
      </w:r>
      <w:r w:rsidR="00EA3E31" w:rsidRPr="00E342F1">
        <w:rPr>
          <w:lang w:val="fr-CA"/>
        </w:rPr>
        <w:t>’</w:t>
      </w:r>
      <w:r w:rsidRPr="00E342F1">
        <w:rPr>
          <w:lang w:val="fr-CA"/>
        </w:rPr>
        <w:t>importance de l</w:t>
      </w:r>
      <w:r w:rsidR="00EA3E31" w:rsidRPr="00E342F1">
        <w:rPr>
          <w:lang w:val="fr-CA"/>
        </w:rPr>
        <w:t>’</w:t>
      </w:r>
      <w:r w:rsidRPr="00E342F1">
        <w:rPr>
          <w:lang w:val="fr-CA"/>
        </w:rPr>
        <w:t>accessibilité.</w:t>
      </w:r>
    </w:p>
    <w:p w14:paraId="50132748" w14:textId="29B3B520" w:rsidR="00D201A4" w:rsidRPr="00E342F1" w:rsidRDefault="00D201A4" w:rsidP="00D201A4">
      <w:pPr>
        <w:pStyle w:val="ListParagraph"/>
        <w:numPr>
          <w:ilvl w:val="0"/>
          <w:numId w:val="71"/>
        </w:numPr>
        <w:rPr>
          <w:lang w:val="fr-CA"/>
        </w:rPr>
      </w:pPr>
      <w:r w:rsidRPr="00E342F1">
        <w:rPr>
          <w:lang w:val="fr-CA"/>
        </w:rPr>
        <w:t>Accorder la priorité à l</w:t>
      </w:r>
      <w:r w:rsidR="00EA3E31" w:rsidRPr="00E342F1">
        <w:rPr>
          <w:lang w:val="fr-CA"/>
        </w:rPr>
        <w:t>’</w:t>
      </w:r>
      <w:r w:rsidRPr="00E342F1">
        <w:rPr>
          <w:lang w:val="fr-CA"/>
        </w:rPr>
        <w:t>accessibilité dans les contrats d</w:t>
      </w:r>
      <w:r w:rsidR="00EA3E31" w:rsidRPr="00E342F1">
        <w:rPr>
          <w:lang w:val="fr-CA"/>
        </w:rPr>
        <w:t>’</w:t>
      </w:r>
      <w:r w:rsidRPr="00E342F1">
        <w:rPr>
          <w:lang w:val="fr-CA"/>
        </w:rPr>
        <w:t>approvisionnement afin de stimuler la demande du marché.</w:t>
      </w:r>
    </w:p>
    <w:p w14:paraId="1A5FE290" w14:textId="77777777" w:rsidR="00D201A4" w:rsidRPr="00E342F1" w:rsidRDefault="00D201A4" w:rsidP="00D201A4">
      <w:pPr>
        <w:pStyle w:val="Heading4"/>
        <w:tabs>
          <w:tab w:val="num" w:pos="360"/>
          <w:tab w:val="num" w:pos="2880"/>
        </w:tabs>
        <w:rPr>
          <w:lang w:val="fr-CA"/>
        </w:rPr>
      </w:pPr>
      <w:bookmarkStart w:id="80" w:name="_Toc179379653"/>
      <w:bookmarkEnd w:id="78"/>
      <w:bookmarkEnd w:id="79"/>
      <w:r w:rsidRPr="00E342F1">
        <w:rPr>
          <w:lang w:val="fr-CA"/>
        </w:rPr>
        <w:t>Innovation stratégique et amélioration continue</w:t>
      </w:r>
      <w:bookmarkEnd w:id="80"/>
    </w:p>
    <w:p w14:paraId="4E8A8EE3" w14:textId="0EE42CFE" w:rsidR="00DC290E" w:rsidRPr="00E342F1" w:rsidRDefault="00DC290E">
      <w:pPr>
        <w:rPr>
          <w:lang w:val="fr-CA"/>
        </w:rPr>
      </w:pPr>
      <w:r w:rsidRPr="00E342F1">
        <w:rPr>
          <w:lang w:val="fr-CA"/>
        </w:rPr>
        <w:t>Il est nécessaire d</w:t>
      </w:r>
      <w:r w:rsidR="00EA3E31" w:rsidRPr="00E342F1">
        <w:rPr>
          <w:lang w:val="fr-CA"/>
        </w:rPr>
        <w:t>’</w:t>
      </w:r>
      <w:r w:rsidRPr="00E342F1">
        <w:rPr>
          <w:lang w:val="fr-CA"/>
        </w:rPr>
        <w:t>équilibrer la créativité et l</w:t>
      </w:r>
      <w:r w:rsidR="00EA3E31" w:rsidRPr="00E342F1">
        <w:rPr>
          <w:lang w:val="fr-CA"/>
        </w:rPr>
        <w:t>’</w:t>
      </w:r>
      <w:r w:rsidRPr="00E342F1">
        <w:rPr>
          <w:lang w:val="fr-CA"/>
        </w:rPr>
        <w:t>innovation avec la normalisation, en veillant à ce que les mises à jour et les nouvelles fonctionnalités maintiennent ou améliorent l</w:t>
      </w:r>
      <w:r w:rsidR="00EA3E31" w:rsidRPr="00E342F1">
        <w:rPr>
          <w:lang w:val="fr-CA"/>
        </w:rPr>
        <w:t>’</w:t>
      </w:r>
      <w:r w:rsidRPr="00E342F1">
        <w:rPr>
          <w:lang w:val="fr-CA"/>
        </w:rPr>
        <w:t>accessibilité. L</w:t>
      </w:r>
      <w:r w:rsidR="00EA3E31" w:rsidRPr="00E342F1">
        <w:rPr>
          <w:lang w:val="fr-CA"/>
        </w:rPr>
        <w:t>’</w:t>
      </w:r>
      <w:r w:rsidRPr="00E342F1">
        <w:rPr>
          <w:lang w:val="fr-CA"/>
        </w:rPr>
        <w:t>innovation en matière de technologie accessible est cruciale et nécessite l</w:t>
      </w:r>
      <w:r w:rsidR="00EA3E31" w:rsidRPr="00E342F1">
        <w:rPr>
          <w:lang w:val="fr-CA"/>
        </w:rPr>
        <w:t>’</w:t>
      </w:r>
      <w:r w:rsidRPr="00E342F1">
        <w:rPr>
          <w:lang w:val="fr-CA"/>
        </w:rPr>
        <w:t>apport de personnes qui font face à des obstacles à l</w:t>
      </w:r>
      <w:r w:rsidR="00EA3E31" w:rsidRPr="00E342F1">
        <w:rPr>
          <w:lang w:val="fr-CA"/>
        </w:rPr>
        <w:t>’</w:t>
      </w:r>
      <w:r w:rsidRPr="00E342F1">
        <w:rPr>
          <w:lang w:val="fr-CA"/>
        </w:rPr>
        <w:t>accessibilité non seulement lors du développement initial, mais aussi après sa publication. Il devrait y avoir des cycles d</w:t>
      </w:r>
      <w:r w:rsidR="00EA3E31" w:rsidRPr="00E342F1">
        <w:rPr>
          <w:lang w:val="fr-CA"/>
        </w:rPr>
        <w:t>’</w:t>
      </w:r>
      <w:r w:rsidRPr="00E342F1">
        <w:rPr>
          <w:lang w:val="fr-CA"/>
        </w:rPr>
        <w:t>amélioration continue et des possibilités de rétroaction de la part des personnes qui utilisent la conception. Cela garantit que les nouvelles technologies n</w:t>
      </w:r>
      <w:r w:rsidR="00EA3E31" w:rsidRPr="00E342F1">
        <w:rPr>
          <w:lang w:val="fr-CA"/>
        </w:rPr>
        <w:t>’</w:t>
      </w:r>
      <w:r w:rsidRPr="00E342F1">
        <w:rPr>
          <w:lang w:val="fr-CA"/>
        </w:rPr>
        <w:t>introduisent pas de nouveaux obstacles et que l</w:t>
      </w:r>
      <w:r w:rsidR="00EA3E31" w:rsidRPr="00E342F1">
        <w:rPr>
          <w:lang w:val="fr-CA"/>
        </w:rPr>
        <w:t>’</w:t>
      </w:r>
      <w:r w:rsidRPr="00E342F1">
        <w:rPr>
          <w:lang w:val="fr-CA"/>
        </w:rPr>
        <w:t>accessibilité évolue parallèlement aux progrès technologiques.</w:t>
      </w:r>
    </w:p>
    <w:p w14:paraId="486354C5" w14:textId="78807F31"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650E6D82" w14:textId="014781CF" w:rsidR="00DC290E" w:rsidRPr="00E342F1" w:rsidRDefault="00DC290E" w:rsidP="00DC290E">
      <w:pPr>
        <w:pStyle w:val="ListParagraph"/>
        <w:numPr>
          <w:ilvl w:val="0"/>
          <w:numId w:val="72"/>
        </w:numPr>
        <w:rPr>
          <w:lang w:val="fr-CA"/>
        </w:rPr>
      </w:pPr>
      <w:bookmarkStart w:id="81" w:name="_Toc176951809"/>
      <w:bookmarkStart w:id="82" w:name="_Toc177373773"/>
      <w:r w:rsidRPr="00E342F1">
        <w:rPr>
          <w:lang w:val="fr-CA"/>
        </w:rPr>
        <w:t>Encourager l</w:t>
      </w:r>
      <w:r w:rsidR="00EA3E31" w:rsidRPr="00E342F1">
        <w:rPr>
          <w:lang w:val="fr-CA"/>
        </w:rPr>
        <w:t>’</w:t>
      </w:r>
      <w:r w:rsidRPr="00E342F1">
        <w:rPr>
          <w:lang w:val="fr-CA"/>
        </w:rPr>
        <w:t>innovation continue en matière d</w:t>
      </w:r>
      <w:r w:rsidR="00EA3E31" w:rsidRPr="00E342F1">
        <w:rPr>
          <w:lang w:val="fr-CA"/>
        </w:rPr>
        <w:t>’</w:t>
      </w:r>
      <w:r w:rsidRPr="00E342F1">
        <w:rPr>
          <w:lang w:val="fr-CA"/>
        </w:rPr>
        <w:t>accessibilité en s</w:t>
      </w:r>
      <w:r w:rsidR="00EA3E31" w:rsidRPr="00E342F1">
        <w:rPr>
          <w:lang w:val="fr-CA"/>
        </w:rPr>
        <w:t>’</w:t>
      </w:r>
      <w:r w:rsidRPr="00E342F1">
        <w:rPr>
          <w:lang w:val="fr-CA"/>
        </w:rPr>
        <w:t>appuyant sur le retour d</w:t>
      </w:r>
      <w:r w:rsidR="00EA3E31" w:rsidRPr="00E342F1">
        <w:rPr>
          <w:lang w:val="fr-CA"/>
        </w:rPr>
        <w:t>’</w:t>
      </w:r>
      <w:r w:rsidRPr="00E342F1">
        <w:rPr>
          <w:lang w:val="fr-CA"/>
        </w:rPr>
        <w:t>information des utilisateurs.</w:t>
      </w:r>
    </w:p>
    <w:p w14:paraId="758BF7BA" w14:textId="45F844B8" w:rsidR="00DC290E" w:rsidRPr="00E342F1" w:rsidRDefault="00DC290E" w:rsidP="00DC290E">
      <w:pPr>
        <w:pStyle w:val="ListParagraph"/>
        <w:numPr>
          <w:ilvl w:val="0"/>
          <w:numId w:val="72"/>
        </w:numPr>
        <w:rPr>
          <w:lang w:val="fr-CA"/>
        </w:rPr>
      </w:pPr>
      <w:r w:rsidRPr="00E342F1">
        <w:rPr>
          <w:lang w:val="fr-CA"/>
        </w:rPr>
        <w:t>Mettre en place des mécanismes d</w:t>
      </w:r>
      <w:r w:rsidR="00EA3E31" w:rsidRPr="00E342F1">
        <w:rPr>
          <w:lang w:val="fr-CA"/>
        </w:rPr>
        <w:t>’</w:t>
      </w:r>
      <w:r w:rsidRPr="00E342F1">
        <w:rPr>
          <w:lang w:val="fr-CA"/>
        </w:rPr>
        <w:t>évaluation et d</w:t>
      </w:r>
      <w:r w:rsidR="00EA3E31" w:rsidRPr="00E342F1">
        <w:rPr>
          <w:lang w:val="fr-CA"/>
        </w:rPr>
        <w:t>’</w:t>
      </w:r>
      <w:r w:rsidRPr="00E342F1">
        <w:rPr>
          <w:lang w:val="fr-CA"/>
        </w:rPr>
        <w:t>amélioration continues de l</w:t>
      </w:r>
      <w:r w:rsidR="00EA3E31" w:rsidRPr="00E342F1">
        <w:rPr>
          <w:lang w:val="fr-CA"/>
        </w:rPr>
        <w:t>’</w:t>
      </w:r>
      <w:r w:rsidRPr="00E342F1">
        <w:rPr>
          <w:lang w:val="fr-CA"/>
        </w:rPr>
        <w:t>accessibilité des technologies.</w:t>
      </w:r>
    </w:p>
    <w:p w14:paraId="15ABA32B" w14:textId="33033698" w:rsidR="00DC290E" w:rsidRPr="00E342F1" w:rsidRDefault="00DC290E" w:rsidP="00DC290E">
      <w:pPr>
        <w:pStyle w:val="ListParagraph"/>
        <w:numPr>
          <w:ilvl w:val="0"/>
          <w:numId w:val="72"/>
        </w:numPr>
        <w:rPr>
          <w:lang w:val="fr-CA"/>
        </w:rPr>
      </w:pPr>
      <w:r w:rsidRPr="00E342F1">
        <w:rPr>
          <w:lang w:val="fr-CA"/>
        </w:rPr>
        <w:t>Équilibrer la créativité et l</w:t>
      </w:r>
      <w:r w:rsidR="00EA3E31" w:rsidRPr="00E342F1">
        <w:rPr>
          <w:lang w:val="fr-CA"/>
        </w:rPr>
        <w:t>’</w:t>
      </w:r>
      <w:r w:rsidRPr="00E342F1">
        <w:rPr>
          <w:lang w:val="fr-CA"/>
        </w:rPr>
        <w:t>accessibilité dans les lignes directrices de conception et normaliser l</w:t>
      </w:r>
      <w:r w:rsidR="00EA3E31" w:rsidRPr="00E342F1">
        <w:rPr>
          <w:lang w:val="fr-CA"/>
        </w:rPr>
        <w:t>’</w:t>
      </w:r>
      <w:r w:rsidRPr="00E342F1">
        <w:rPr>
          <w:lang w:val="fr-CA"/>
        </w:rPr>
        <w:t>accessibilité dans les applications.</w:t>
      </w:r>
    </w:p>
    <w:p w14:paraId="749F6130" w14:textId="77B16F76" w:rsidR="00DC290E" w:rsidRPr="00E342F1" w:rsidRDefault="00DC290E" w:rsidP="00DC290E">
      <w:pPr>
        <w:pStyle w:val="ListParagraph"/>
        <w:numPr>
          <w:ilvl w:val="0"/>
          <w:numId w:val="72"/>
        </w:numPr>
        <w:rPr>
          <w:lang w:val="fr-CA"/>
        </w:rPr>
      </w:pPr>
      <w:r w:rsidRPr="00E342F1">
        <w:rPr>
          <w:lang w:val="fr-CA"/>
        </w:rPr>
        <w:t>Réviser et mettre à jour régulièrement les fonctions d</w:t>
      </w:r>
      <w:r w:rsidR="00EA3E31" w:rsidRPr="00E342F1">
        <w:rPr>
          <w:lang w:val="fr-CA"/>
        </w:rPr>
        <w:t>’</w:t>
      </w:r>
      <w:r w:rsidRPr="00E342F1">
        <w:rPr>
          <w:lang w:val="fr-CA"/>
        </w:rPr>
        <w:t>accessibilité en fonction des commentaires des utilisateurs.</w:t>
      </w:r>
    </w:p>
    <w:p w14:paraId="216073F6" w14:textId="4E247644" w:rsidR="00DC290E" w:rsidRPr="00E342F1" w:rsidRDefault="00DC290E" w:rsidP="00DC290E">
      <w:pPr>
        <w:pStyle w:val="ListParagraph"/>
        <w:numPr>
          <w:ilvl w:val="0"/>
          <w:numId w:val="72"/>
        </w:numPr>
        <w:rPr>
          <w:lang w:val="fr-CA"/>
        </w:rPr>
      </w:pPr>
      <w:r w:rsidRPr="00E342F1">
        <w:rPr>
          <w:lang w:val="fr-CA"/>
        </w:rPr>
        <w:t>Récompenser et reconnaître les solutions innovantes en matière d</w:t>
      </w:r>
      <w:r w:rsidR="00EA3E31" w:rsidRPr="00E342F1">
        <w:rPr>
          <w:lang w:val="fr-CA"/>
        </w:rPr>
        <w:t>’</w:t>
      </w:r>
      <w:r w:rsidRPr="00E342F1">
        <w:rPr>
          <w:lang w:val="fr-CA"/>
        </w:rPr>
        <w:t xml:space="preserve">accessibilité. </w:t>
      </w:r>
    </w:p>
    <w:p w14:paraId="0C4D7239" w14:textId="30AC0C49" w:rsidR="00DC290E" w:rsidRPr="00E342F1" w:rsidRDefault="00DC290E" w:rsidP="00DC290E">
      <w:pPr>
        <w:pStyle w:val="ListParagraph"/>
        <w:numPr>
          <w:ilvl w:val="0"/>
          <w:numId w:val="72"/>
        </w:numPr>
        <w:rPr>
          <w:lang w:val="fr-CA"/>
        </w:rPr>
      </w:pPr>
      <w:r w:rsidRPr="00E342F1">
        <w:rPr>
          <w:lang w:val="fr-CA"/>
        </w:rPr>
        <w:t>Encourager les développeurs à trouver des solutions innovantes en matière d</w:t>
      </w:r>
      <w:r w:rsidR="00EA3E31" w:rsidRPr="00E342F1">
        <w:rPr>
          <w:lang w:val="fr-CA"/>
        </w:rPr>
        <w:t>’</w:t>
      </w:r>
      <w:r w:rsidRPr="00E342F1">
        <w:rPr>
          <w:lang w:val="fr-CA"/>
        </w:rPr>
        <w:t>accessibilité.</w:t>
      </w:r>
    </w:p>
    <w:p w14:paraId="1D899CE6" w14:textId="29C67371" w:rsidR="00462B84" w:rsidRPr="00E342F1" w:rsidRDefault="00462B84" w:rsidP="00462B84">
      <w:pPr>
        <w:pStyle w:val="Heading4"/>
        <w:tabs>
          <w:tab w:val="num" w:pos="360"/>
          <w:tab w:val="num" w:pos="2880"/>
        </w:tabs>
        <w:rPr>
          <w:lang w:val="fr-CA"/>
        </w:rPr>
      </w:pPr>
      <w:bookmarkStart w:id="83" w:name="_Toc179379654"/>
      <w:bookmarkEnd w:id="81"/>
      <w:bookmarkEnd w:id="82"/>
      <w:r w:rsidRPr="00E342F1">
        <w:rPr>
          <w:lang w:val="fr-CA"/>
        </w:rPr>
        <w:t>Normes d</w:t>
      </w:r>
      <w:r w:rsidR="00EA3E31" w:rsidRPr="00E342F1">
        <w:rPr>
          <w:lang w:val="fr-CA"/>
        </w:rPr>
        <w:t>’</w:t>
      </w:r>
      <w:r w:rsidRPr="00E342F1">
        <w:rPr>
          <w:lang w:val="fr-CA"/>
        </w:rPr>
        <w:t>accessibilité complètes et souples</w:t>
      </w:r>
      <w:bookmarkEnd w:id="83"/>
    </w:p>
    <w:p w14:paraId="629BB8FB" w14:textId="701CA328" w:rsidR="00AE70E8" w:rsidRPr="00E342F1" w:rsidRDefault="00462B84" w:rsidP="00733FF7">
      <w:pPr>
        <w:rPr>
          <w:lang w:val="fr-CA"/>
        </w:rPr>
      </w:pPr>
      <w:r w:rsidRPr="00E342F1">
        <w:rPr>
          <w:lang w:val="fr-CA"/>
        </w:rPr>
        <w:t>Les normes d</w:t>
      </w:r>
      <w:r w:rsidR="00EA3E31" w:rsidRPr="00E342F1">
        <w:rPr>
          <w:lang w:val="fr-CA"/>
        </w:rPr>
        <w:t>’</w:t>
      </w:r>
      <w:r w:rsidRPr="00E342F1">
        <w:rPr>
          <w:lang w:val="fr-CA"/>
        </w:rPr>
        <w:t>accessibilité doivent être robustes, flexibles et adaptables pour suivre le rythme des avancées technologiques. Des normes régulièrement mises à jour garantissent que l</w:t>
      </w:r>
      <w:r w:rsidR="00EA3E31" w:rsidRPr="00E342F1">
        <w:rPr>
          <w:lang w:val="fr-CA"/>
        </w:rPr>
        <w:t>’</w:t>
      </w:r>
      <w:r w:rsidRPr="00E342F1">
        <w:rPr>
          <w:lang w:val="fr-CA"/>
        </w:rPr>
        <w:t>accessibilité reste efficace même si la technologie évolue.</w:t>
      </w:r>
    </w:p>
    <w:p w14:paraId="0B146A73" w14:textId="2ED7AD30"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412F2F9E" w14:textId="6EE286D9" w:rsidR="00462B84" w:rsidRPr="00E342F1" w:rsidRDefault="00462B84" w:rsidP="00462B84">
      <w:pPr>
        <w:pStyle w:val="ListParagraph"/>
        <w:numPr>
          <w:ilvl w:val="0"/>
          <w:numId w:val="73"/>
        </w:numPr>
        <w:rPr>
          <w:lang w:val="fr-CA"/>
        </w:rPr>
      </w:pPr>
      <w:bookmarkStart w:id="84" w:name="_Toc176951810"/>
      <w:bookmarkStart w:id="85" w:name="_Toc177373774"/>
      <w:r w:rsidRPr="00E342F1">
        <w:rPr>
          <w:lang w:val="fr-CA"/>
        </w:rPr>
        <w:t>Établir et faire respecter des normes d</w:t>
      </w:r>
      <w:r w:rsidR="00EA3E31" w:rsidRPr="00E342F1">
        <w:rPr>
          <w:lang w:val="fr-CA"/>
        </w:rPr>
        <w:t>’</w:t>
      </w:r>
      <w:r w:rsidRPr="00E342F1">
        <w:rPr>
          <w:lang w:val="fr-CA"/>
        </w:rPr>
        <w:t>accessibilité dynamiques axées sur les performances.</w:t>
      </w:r>
    </w:p>
    <w:p w14:paraId="22D1D945" w14:textId="7EFA01CF" w:rsidR="00462B84" w:rsidRPr="00E342F1" w:rsidRDefault="00462B84" w:rsidP="00462B84">
      <w:pPr>
        <w:pStyle w:val="ListParagraph"/>
        <w:numPr>
          <w:ilvl w:val="0"/>
          <w:numId w:val="73"/>
        </w:numPr>
        <w:rPr>
          <w:lang w:val="fr-CA"/>
        </w:rPr>
      </w:pPr>
      <w:r w:rsidRPr="00E342F1">
        <w:rPr>
          <w:lang w:val="fr-CA"/>
        </w:rPr>
        <w:t>Réviser et mettre à jour régulièrement les normes afin d</w:t>
      </w:r>
      <w:r w:rsidR="00EA3E31" w:rsidRPr="00E342F1">
        <w:rPr>
          <w:lang w:val="fr-CA"/>
        </w:rPr>
        <w:t>’</w:t>
      </w:r>
      <w:r w:rsidRPr="00E342F1">
        <w:rPr>
          <w:lang w:val="fr-CA"/>
        </w:rPr>
        <w:t>intégrer les avancées technologiques et les commentaires des utilisateurs.</w:t>
      </w:r>
    </w:p>
    <w:p w14:paraId="64FEC4E4" w14:textId="06D17BE4" w:rsidR="00462B84" w:rsidRPr="00E342F1" w:rsidRDefault="00462B84" w:rsidP="00462B84">
      <w:pPr>
        <w:pStyle w:val="Heading4"/>
        <w:tabs>
          <w:tab w:val="num" w:pos="360"/>
          <w:tab w:val="num" w:pos="2880"/>
        </w:tabs>
        <w:rPr>
          <w:lang w:val="fr-CA"/>
        </w:rPr>
      </w:pPr>
      <w:bookmarkStart w:id="86" w:name="_Toc179379655"/>
      <w:bookmarkEnd w:id="84"/>
      <w:bookmarkEnd w:id="85"/>
      <w:r w:rsidRPr="00E342F1">
        <w:rPr>
          <w:lang w:val="fr-CA"/>
        </w:rPr>
        <w:t>Limitations des logiciels, du réseau et de l</w:t>
      </w:r>
      <w:r w:rsidR="00EA3E31" w:rsidRPr="00E342F1">
        <w:rPr>
          <w:lang w:val="fr-CA"/>
        </w:rPr>
        <w:t>’</w:t>
      </w:r>
      <w:r w:rsidRPr="00E342F1">
        <w:rPr>
          <w:lang w:val="fr-CA"/>
        </w:rPr>
        <w:t>appareil</w:t>
      </w:r>
      <w:bookmarkEnd w:id="86"/>
    </w:p>
    <w:p w14:paraId="456825A6" w14:textId="1ED65378" w:rsidR="00AE70E8" w:rsidRPr="00E342F1" w:rsidRDefault="00462B84" w:rsidP="00733FF7">
      <w:pPr>
        <w:rPr>
          <w:lang w:val="fr-CA"/>
        </w:rPr>
      </w:pPr>
      <w:r w:rsidRPr="00E342F1">
        <w:rPr>
          <w:lang w:val="fr-CA"/>
        </w:rPr>
        <w:t>Les co-chercheurs ont fait part de leurs frustrations concernant les logiciels, les réseaux et les appareils, notamment la lenteur des performances, l</w:t>
      </w:r>
      <w:r w:rsidR="00EA3E31" w:rsidRPr="00E342F1">
        <w:rPr>
          <w:lang w:val="fr-CA"/>
        </w:rPr>
        <w:t>’</w:t>
      </w:r>
      <w:r w:rsidRPr="00E342F1">
        <w:rPr>
          <w:lang w:val="fr-CA"/>
        </w:rPr>
        <w:t>absence de fonctions d</w:t>
      </w:r>
      <w:r w:rsidR="00EA3E31" w:rsidRPr="00E342F1">
        <w:rPr>
          <w:lang w:val="fr-CA"/>
        </w:rPr>
        <w:t>’</w:t>
      </w:r>
      <w:r w:rsidRPr="00E342F1">
        <w:rPr>
          <w:lang w:val="fr-CA"/>
        </w:rPr>
        <w:t>accessibilité et le manque d</w:t>
      </w:r>
      <w:r w:rsidR="00EA3E31" w:rsidRPr="00E342F1">
        <w:rPr>
          <w:lang w:val="fr-CA"/>
        </w:rPr>
        <w:t>’</w:t>
      </w:r>
      <w:r w:rsidRPr="00E342F1">
        <w:rPr>
          <w:lang w:val="fr-CA"/>
        </w:rPr>
        <w:t>accès</w:t>
      </w:r>
      <w:r w:rsidR="00AE70E8" w:rsidRPr="00E342F1">
        <w:rPr>
          <w:lang w:val="fr-CA"/>
        </w:rPr>
        <w:t>.</w:t>
      </w:r>
    </w:p>
    <w:p w14:paraId="47792D51" w14:textId="7E39DEAC"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35473A8D" w14:textId="710A046D" w:rsidR="00462B84" w:rsidRPr="00E342F1" w:rsidRDefault="00462B84" w:rsidP="00462B84">
      <w:pPr>
        <w:pStyle w:val="ListParagraph"/>
        <w:numPr>
          <w:ilvl w:val="0"/>
          <w:numId w:val="74"/>
        </w:numPr>
        <w:rPr>
          <w:lang w:val="fr-CA"/>
        </w:rPr>
      </w:pPr>
      <w:bookmarkStart w:id="87" w:name="_Toc176951811"/>
      <w:bookmarkStart w:id="88" w:name="_Toc177373775"/>
      <w:r w:rsidRPr="00E342F1">
        <w:rPr>
          <w:lang w:val="fr-CA"/>
        </w:rPr>
        <w:t>Optimiser les logiciels pour des performances plus rapides, de meilleures options de zoom et une accessibilité en mode sombre.</w:t>
      </w:r>
    </w:p>
    <w:p w14:paraId="089DF05E" w14:textId="5332F556" w:rsidR="00462B84" w:rsidRPr="00E342F1" w:rsidRDefault="00462B84" w:rsidP="00462B84">
      <w:pPr>
        <w:pStyle w:val="ListParagraph"/>
        <w:numPr>
          <w:ilvl w:val="0"/>
          <w:numId w:val="74"/>
        </w:numPr>
        <w:rPr>
          <w:lang w:val="fr-CA"/>
        </w:rPr>
      </w:pPr>
      <w:r w:rsidRPr="00E342F1">
        <w:rPr>
          <w:lang w:val="fr-CA"/>
        </w:rPr>
        <w:t>Développer l</w:t>
      </w:r>
      <w:r w:rsidR="00EA3E31" w:rsidRPr="00E342F1">
        <w:rPr>
          <w:lang w:val="fr-CA"/>
        </w:rPr>
        <w:t>’</w:t>
      </w:r>
      <w:r w:rsidRPr="00E342F1">
        <w:rPr>
          <w:lang w:val="fr-CA"/>
        </w:rPr>
        <w:t>infrastructure technologique dans les zones reculées grâce à des partenariats visant à améliorer l</w:t>
      </w:r>
      <w:r w:rsidR="00EA3E31" w:rsidRPr="00E342F1">
        <w:rPr>
          <w:lang w:val="fr-CA"/>
        </w:rPr>
        <w:t>’</w:t>
      </w:r>
      <w:r w:rsidRPr="00E342F1">
        <w:rPr>
          <w:lang w:val="fr-CA"/>
        </w:rPr>
        <w:t>accès.</w:t>
      </w:r>
    </w:p>
    <w:p w14:paraId="317404F7" w14:textId="77777777" w:rsidR="002E4C5F" w:rsidRPr="00E342F1" w:rsidRDefault="002E4C5F" w:rsidP="002E4C5F">
      <w:pPr>
        <w:pStyle w:val="Heading4"/>
        <w:tabs>
          <w:tab w:val="num" w:pos="360"/>
          <w:tab w:val="num" w:pos="2880"/>
        </w:tabs>
        <w:rPr>
          <w:lang w:val="fr-CA"/>
        </w:rPr>
      </w:pPr>
      <w:bookmarkStart w:id="89" w:name="_Toc179379656"/>
      <w:bookmarkEnd w:id="87"/>
      <w:bookmarkEnd w:id="88"/>
      <w:r w:rsidRPr="00E342F1">
        <w:rPr>
          <w:lang w:val="fr-CA"/>
        </w:rPr>
        <w:t>Orientation spécifique et mise en œuvre pratique</w:t>
      </w:r>
      <w:bookmarkEnd w:id="89"/>
    </w:p>
    <w:p w14:paraId="69F4D09A" w14:textId="0729A432" w:rsidR="00AE70E8" w:rsidRPr="00E342F1" w:rsidRDefault="006C4261" w:rsidP="00733FF7">
      <w:pPr>
        <w:rPr>
          <w:lang w:val="fr-CA"/>
        </w:rPr>
      </w:pPr>
      <w:r w:rsidRPr="00E342F1">
        <w:rPr>
          <w:lang w:val="fr-CA"/>
        </w:rPr>
        <w:t>Si la flexibilité des normes est cruciale, les développeurs ont également besoin d</w:t>
      </w:r>
      <w:r w:rsidR="00EA3E31" w:rsidRPr="00E342F1">
        <w:rPr>
          <w:lang w:val="fr-CA"/>
        </w:rPr>
        <w:t>’</w:t>
      </w:r>
      <w:r w:rsidRPr="00E342F1">
        <w:rPr>
          <w:lang w:val="fr-CA"/>
        </w:rPr>
        <w:t>orientations claires et spécifiques pour mettre en œuvre efficacement les caractéristiques d</w:t>
      </w:r>
      <w:r w:rsidR="00EA3E31" w:rsidRPr="00E342F1">
        <w:rPr>
          <w:lang w:val="fr-CA"/>
        </w:rPr>
        <w:t>’</w:t>
      </w:r>
      <w:r w:rsidRPr="00E342F1">
        <w:rPr>
          <w:lang w:val="fr-CA"/>
        </w:rPr>
        <w:t>accessibilité. Des lignes directrices pratiques et exploitables permettent de traduire les normes en solutions d</w:t>
      </w:r>
      <w:r w:rsidR="00EA3E31" w:rsidRPr="00E342F1">
        <w:rPr>
          <w:lang w:val="fr-CA"/>
        </w:rPr>
        <w:t>’</w:t>
      </w:r>
      <w:r w:rsidRPr="00E342F1">
        <w:rPr>
          <w:lang w:val="fr-CA"/>
        </w:rPr>
        <w:t>accessibilité tangibles dans des scénarios du monde réel</w:t>
      </w:r>
      <w:r w:rsidR="00AE70E8" w:rsidRPr="00E342F1">
        <w:rPr>
          <w:lang w:val="fr-CA"/>
        </w:rPr>
        <w:t>.</w:t>
      </w:r>
    </w:p>
    <w:p w14:paraId="6FF3A68B" w14:textId="2DB1C7CF"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3F589D81" w14:textId="63D1D0E4" w:rsidR="006C4261" w:rsidRPr="00E342F1" w:rsidRDefault="006C4261" w:rsidP="006C4261">
      <w:pPr>
        <w:pStyle w:val="ListParagraph"/>
        <w:numPr>
          <w:ilvl w:val="0"/>
          <w:numId w:val="75"/>
        </w:numPr>
        <w:rPr>
          <w:lang w:val="fr-CA"/>
        </w:rPr>
      </w:pPr>
      <w:bookmarkStart w:id="90" w:name="_Toc176951812"/>
      <w:bookmarkStart w:id="91" w:name="_Toc177373776"/>
      <w:r w:rsidRPr="00E342F1">
        <w:rPr>
          <w:lang w:val="fr-CA"/>
        </w:rPr>
        <w:t>Fournir aux développeurs des lignes directrices et des bonnes pratiques spécifiques et exploitables pour mettre en œuvre l</w:t>
      </w:r>
      <w:r w:rsidR="00EA3E31" w:rsidRPr="00E342F1">
        <w:rPr>
          <w:lang w:val="fr-CA"/>
        </w:rPr>
        <w:t>’</w:t>
      </w:r>
      <w:r w:rsidRPr="00E342F1">
        <w:rPr>
          <w:lang w:val="fr-CA"/>
        </w:rPr>
        <w:t>accessibilité de manière efficace.</w:t>
      </w:r>
    </w:p>
    <w:p w14:paraId="459F3FA5" w14:textId="4D3239F2" w:rsidR="006C4261" w:rsidRPr="00E342F1" w:rsidRDefault="006C4261" w:rsidP="006C4261">
      <w:pPr>
        <w:pStyle w:val="ListParagraph"/>
        <w:numPr>
          <w:ilvl w:val="0"/>
          <w:numId w:val="75"/>
        </w:numPr>
        <w:rPr>
          <w:lang w:val="fr-CA"/>
        </w:rPr>
      </w:pPr>
      <w:r w:rsidRPr="00E342F1">
        <w:rPr>
          <w:lang w:val="fr-CA"/>
        </w:rPr>
        <w:t>Veiller à ce que des ressources pratiques soient disponibles pour aider les développeurs à comprendre et à appliquer les normes.</w:t>
      </w:r>
    </w:p>
    <w:p w14:paraId="5C02DFAC" w14:textId="698EC2A0" w:rsidR="006C4261" w:rsidRPr="00E342F1" w:rsidRDefault="006C4261" w:rsidP="006C4261">
      <w:pPr>
        <w:pStyle w:val="Heading3"/>
        <w:tabs>
          <w:tab w:val="num" w:pos="360"/>
          <w:tab w:val="num" w:pos="2160"/>
        </w:tabs>
        <w:rPr>
          <w:lang w:val="fr-CA"/>
        </w:rPr>
      </w:pPr>
      <w:bookmarkStart w:id="92" w:name="_Toc179379657"/>
      <w:bookmarkEnd w:id="90"/>
      <w:bookmarkEnd w:id="91"/>
      <w:r w:rsidRPr="00E342F1">
        <w:rPr>
          <w:lang w:val="fr-CA"/>
        </w:rPr>
        <w:t>Soutenir l</w:t>
      </w:r>
      <w:r w:rsidR="00EA3E31" w:rsidRPr="00E342F1">
        <w:rPr>
          <w:lang w:val="fr-CA"/>
        </w:rPr>
        <w:t>’</w:t>
      </w:r>
      <w:r w:rsidRPr="00E342F1">
        <w:rPr>
          <w:lang w:val="fr-CA"/>
        </w:rPr>
        <w:t>intégration et l</w:t>
      </w:r>
      <w:r w:rsidR="00EA3E31" w:rsidRPr="00E342F1">
        <w:rPr>
          <w:lang w:val="fr-CA"/>
        </w:rPr>
        <w:t>’</w:t>
      </w:r>
      <w:r w:rsidRPr="00E342F1">
        <w:rPr>
          <w:lang w:val="fr-CA"/>
        </w:rPr>
        <w:t>interopérabilité des systèmes numériques</w:t>
      </w:r>
      <w:bookmarkEnd w:id="92"/>
    </w:p>
    <w:p w14:paraId="65B33B2E" w14:textId="5CB74E65" w:rsidR="00AE70E8" w:rsidRPr="00E342F1" w:rsidRDefault="006C4261" w:rsidP="00733FF7">
      <w:pPr>
        <w:rPr>
          <w:lang w:val="fr-CA"/>
        </w:rPr>
      </w:pPr>
      <w:r w:rsidRPr="00E342F1">
        <w:rPr>
          <w:lang w:val="fr-CA"/>
        </w:rPr>
        <w:t>Les technologies d</w:t>
      </w:r>
      <w:r w:rsidR="00EA3E31" w:rsidRPr="00E342F1">
        <w:rPr>
          <w:lang w:val="fr-CA"/>
        </w:rPr>
        <w:t>’</w:t>
      </w:r>
      <w:r w:rsidRPr="00E342F1">
        <w:rPr>
          <w:lang w:val="fr-CA"/>
        </w:rPr>
        <w:t>assistance (TA) et le domaine numérique sont complexes et interdépendants. La fonctionnalité dépend de l</w:t>
      </w:r>
      <w:r w:rsidR="00EA3E31" w:rsidRPr="00E342F1">
        <w:rPr>
          <w:lang w:val="fr-CA"/>
        </w:rPr>
        <w:t>’</w:t>
      </w:r>
      <w:r w:rsidRPr="00E342F1">
        <w:rPr>
          <w:lang w:val="fr-CA"/>
        </w:rPr>
        <w:t>interopérabilité. Les réglementations en matière d</w:t>
      </w:r>
      <w:r w:rsidR="00EA3E31" w:rsidRPr="00E342F1">
        <w:rPr>
          <w:lang w:val="fr-CA"/>
        </w:rPr>
        <w:t>’</w:t>
      </w:r>
      <w:r w:rsidRPr="00E342F1">
        <w:rPr>
          <w:lang w:val="fr-CA"/>
        </w:rPr>
        <w:t>accessibilité ont soutenu un marché séparé pour les technologies d</w:t>
      </w:r>
      <w:r w:rsidR="00EA3E31" w:rsidRPr="00E342F1">
        <w:rPr>
          <w:lang w:val="fr-CA"/>
        </w:rPr>
        <w:t>’</w:t>
      </w:r>
      <w:r w:rsidRPr="00E342F1">
        <w:rPr>
          <w:lang w:val="fr-CA"/>
        </w:rPr>
        <w:t>assistance spécialisées afin de répondre aux besoins non satisfaits par les produits courants, ce qui rend l</w:t>
      </w:r>
      <w:r w:rsidR="00EA3E31" w:rsidRPr="00E342F1">
        <w:rPr>
          <w:lang w:val="fr-CA"/>
        </w:rPr>
        <w:t>’</w:t>
      </w:r>
      <w:r w:rsidRPr="00E342F1">
        <w:rPr>
          <w:lang w:val="fr-CA"/>
        </w:rPr>
        <w:t>interopérabilité presque impossible, dégradant ainsi la fonctionnalité pour les personnes qui dépendent d</w:t>
      </w:r>
      <w:r w:rsidR="00EA3E31" w:rsidRPr="00E342F1">
        <w:rPr>
          <w:lang w:val="fr-CA"/>
        </w:rPr>
        <w:t>’</w:t>
      </w:r>
      <w:r w:rsidRPr="00E342F1">
        <w:rPr>
          <w:lang w:val="fr-CA"/>
        </w:rPr>
        <w:t>un accès alternatif. Cette situation fait grimper le coût de l</w:t>
      </w:r>
      <w:r w:rsidR="00EA3E31" w:rsidRPr="00E342F1">
        <w:rPr>
          <w:lang w:val="fr-CA"/>
        </w:rPr>
        <w:t>’</w:t>
      </w:r>
      <w:r w:rsidRPr="00E342F1">
        <w:rPr>
          <w:lang w:val="fr-CA"/>
        </w:rPr>
        <w:t>accès numérique pour les particuliers, retire la responsabilité de la conception accessible aux entreprises les plus aptes à fournir un accès intégré et prive la population générale des innovations apportées par la conception accessible</w:t>
      </w:r>
      <w:r w:rsidR="00AE70E8" w:rsidRPr="00E342F1">
        <w:rPr>
          <w:lang w:val="fr-CA"/>
        </w:rPr>
        <w:t>.</w:t>
      </w:r>
    </w:p>
    <w:p w14:paraId="2E5BB472" w14:textId="2B8DF29E" w:rsidR="00AE70E8" w:rsidRPr="00E342F1" w:rsidRDefault="006C4261" w:rsidP="00FA392F">
      <w:pPr>
        <w:pStyle w:val="Heading4"/>
        <w:rPr>
          <w:lang w:val="fr-CA"/>
        </w:rPr>
      </w:pPr>
      <w:bookmarkStart w:id="93" w:name="_Toc176951814"/>
      <w:bookmarkStart w:id="94" w:name="_Toc177373778"/>
      <w:bookmarkStart w:id="95" w:name="_Toc179379658"/>
      <w:r w:rsidRPr="00E342F1">
        <w:rPr>
          <w:lang w:val="fr-CA"/>
        </w:rPr>
        <w:t>Manque d</w:t>
      </w:r>
      <w:r w:rsidR="00EA3E31" w:rsidRPr="00E342F1">
        <w:rPr>
          <w:lang w:val="fr-CA"/>
        </w:rPr>
        <w:t>’</w:t>
      </w:r>
      <w:r w:rsidRPr="00E342F1">
        <w:rPr>
          <w:lang w:val="fr-CA"/>
        </w:rPr>
        <w:t>interopérabilité et de fonctionnalités d</w:t>
      </w:r>
      <w:r w:rsidR="00EA3E31" w:rsidRPr="00E342F1">
        <w:rPr>
          <w:lang w:val="fr-CA"/>
        </w:rPr>
        <w:t>’</w:t>
      </w:r>
      <w:r w:rsidRPr="00E342F1">
        <w:rPr>
          <w:lang w:val="fr-CA"/>
        </w:rPr>
        <w:t>accessibilité intégrées</w:t>
      </w:r>
      <w:bookmarkEnd w:id="93"/>
      <w:bookmarkEnd w:id="94"/>
      <w:bookmarkEnd w:id="95"/>
    </w:p>
    <w:p w14:paraId="0F264924" w14:textId="74AE4AE0" w:rsidR="00AE70E8" w:rsidRPr="00E342F1" w:rsidRDefault="006C4261" w:rsidP="00733FF7">
      <w:pPr>
        <w:rPr>
          <w:lang w:val="fr-CA"/>
        </w:rPr>
      </w:pPr>
      <w:r w:rsidRPr="00E342F1">
        <w:rPr>
          <w:lang w:val="fr-CA"/>
        </w:rPr>
        <w:t>Les co-chercheurs ont souvent évoqué les obstacles à l</w:t>
      </w:r>
      <w:r w:rsidR="00EA3E31" w:rsidRPr="00E342F1">
        <w:rPr>
          <w:lang w:val="fr-CA"/>
        </w:rPr>
        <w:t>’</w:t>
      </w:r>
      <w:r w:rsidRPr="00E342F1">
        <w:rPr>
          <w:lang w:val="fr-CA"/>
        </w:rPr>
        <w:t>accessibilité des kiosques, des systèmes de point de vente, des guichets automatiques et des sites web, soulignant le besoin crucial d</w:t>
      </w:r>
      <w:r w:rsidR="00EA3E31" w:rsidRPr="00E342F1">
        <w:rPr>
          <w:lang w:val="fr-CA"/>
        </w:rPr>
        <w:t>’</w:t>
      </w:r>
      <w:r w:rsidRPr="00E342F1">
        <w:rPr>
          <w:lang w:val="fr-CA"/>
        </w:rPr>
        <w:t>améliorer la convivialité des plateformes numériques et l</w:t>
      </w:r>
      <w:r w:rsidR="00EA3E31" w:rsidRPr="00E342F1">
        <w:rPr>
          <w:lang w:val="fr-CA"/>
        </w:rPr>
        <w:t>’</w:t>
      </w:r>
      <w:r w:rsidRPr="00E342F1">
        <w:rPr>
          <w:lang w:val="fr-CA"/>
        </w:rPr>
        <w:t>interopérabilité avec leurs technologies personnelles et d</w:t>
      </w:r>
      <w:r w:rsidR="00EA3E31" w:rsidRPr="00E342F1">
        <w:rPr>
          <w:lang w:val="fr-CA"/>
        </w:rPr>
        <w:t>’</w:t>
      </w:r>
      <w:r w:rsidRPr="00E342F1">
        <w:rPr>
          <w:lang w:val="fr-CA"/>
        </w:rPr>
        <w:t>assistance.</w:t>
      </w:r>
    </w:p>
    <w:p w14:paraId="4AD0A7BE" w14:textId="15D7FBF9"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359FD7DB" w14:textId="25FDE889" w:rsidR="006C4261" w:rsidRPr="00E342F1" w:rsidRDefault="006C4261" w:rsidP="006C4261">
      <w:pPr>
        <w:pStyle w:val="ListParagraph"/>
        <w:numPr>
          <w:ilvl w:val="0"/>
          <w:numId w:val="76"/>
        </w:numPr>
        <w:rPr>
          <w:lang w:val="fr-CA"/>
        </w:rPr>
      </w:pPr>
      <w:bookmarkStart w:id="96" w:name="_Toc175656434"/>
      <w:bookmarkStart w:id="97" w:name="_Toc176951815"/>
      <w:bookmarkStart w:id="98" w:name="_Toc177373779"/>
      <w:bookmarkStart w:id="99" w:name="OLE_LINK17"/>
      <w:r w:rsidRPr="00E342F1">
        <w:rPr>
          <w:lang w:val="fr-CA"/>
        </w:rPr>
        <w:t>Réviser et normaliser régulièrement les pratiques de codage afin d</w:t>
      </w:r>
      <w:r w:rsidR="00EA3E31" w:rsidRPr="00E342F1">
        <w:rPr>
          <w:lang w:val="fr-CA"/>
        </w:rPr>
        <w:t>’</w:t>
      </w:r>
      <w:r w:rsidRPr="00E342F1">
        <w:rPr>
          <w:lang w:val="fr-CA"/>
        </w:rPr>
        <w:t>assurer la compatibilité avec les technologies d</w:t>
      </w:r>
      <w:r w:rsidR="00EA3E31" w:rsidRPr="00E342F1">
        <w:rPr>
          <w:lang w:val="fr-CA"/>
        </w:rPr>
        <w:t>’</w:t>
      </w:r>
      <w:r w:rsidRPr="00E342F1">
        <w:rPr>
          <w:lang w:val="fr-CA"/>
        </w:rPr>
        <w:t>adaptation.</w:t>
      </w:r>
    </w:p>
    <w:p w14:paraId="5028B829" w14:textId="522DF160" w:rsidR="006C4261" w:rsidRPr="00E342F1" w:rsidRDefault="006C4261" w:rsidP="006C4261">
      <w:pPr>
        <w:pStyle w:val="ListParagraph"/>
        <w:numPr>
          <w:ilvl w:val="0"/>
          <w:numId w:val="76"/>
        </w:numPr>
        <w:rPr>
          <w:lang w:val="fr-CA"/>
        </w:rPr>
      </w:pPr>
      <w:r w:rsidRPr="00E342F1">
        <w:rPr>
          <w:lang w:val="fr-CA"/>
        </w:rPr>
        <w:t xml:space="preserve">Inclure des options Bluetooth dans les kiosques et les systèmes de point de vente. </w:t>
      </w:r>
    </w:p>
    <w:p w14:paraId="452DE14C" w14:textId="48BE34D4" w:rsidR="006C4261" w:rsidRPr="00E342F1" w:rsidRDefault="006C4261" w:rsidP="006C4261">
      <w:pPr>
        <w:pStyle w:val="ListParagraph"/>
        <w:numPr>
          <w:ilvl w:val="0"/>
          <w:numId w:val="76"/>
        </w:numPr>
        <w:rPr>
          <w:lang w:val="fr-CA"/>
        </w:rPr>
      </w:pPr>
      <w:r w:rsidRPr="00E342F1">
        <w:rPr>
          <w:lang w:val="fr-CA"/>
        </w:rPr>
        <w:t>Améliorer la technologie des caméras dans les systèmes d</w:t>
      </w:r>
      <w:r w:rsidR="00EA3E31" w:rsidRPr="00E342F1">
        <w:rPr>
          <w:lang w:val="fr-CA"/>
        </w:rPr>
        <w:t>’</w:t>
      </w:r>
      <w:r w:rsidRPr="00E342F1">
        <w:rPr>
          <w:lang w:val="fr-CA"/>
        </w:rPr>
        <w:t>auto-évaluation.</w:t>
      </w:r>
    </w:p>
    <w:p w14:paraId="0C2909BD" w14:textId="336FFFBC" w:rsidR="006C4261" w:rsidRPr="00E342F1" w:rsidRDefault="006C4261" w:rsidP="006C4261">
      <w:pPr>
        <w:pStyle w:val="ListParagraph"/>
        <w:numPr>
          <w:ilvl w:val="0"/>
          <w:numId w:val="76"/>
        </w:numPr>
        <w:rPr>
          <w:lang w:val="fr-CA"/>
        </w:rPr>
      </w:pPr>
      <w:r w:rsidRPr="00E342F1">
        <w:rPr>
          <w:lang w:val="fr-CA"/>
        </w:rPr>
        <w:t>Concevoir des kiosques et des systèmes de point de vente avec des polices de caractères et des fonctions ajustables pour une meilleure accessibilité.</w:t>
      </w:r>
    </w:p>
    <w:p w14:paraId="1D674512" w14:textId="5F9CFD17" w:rsidR="006C4261" w:rsidRPr="00E342F1" w:rsidRDefault="006C4261" w:rsidP="006C4261">
      <w:pPr>
        <w:pStyle w:val="ListParagraph"/>
        <w:numPr>
          <w:ilvl w:val="0"/>
          <w:numId w:val="76"/>
        </w:numPr>
        <w:rPr>
          <w:lang w:val="fr-CA"/>
        </w:rPr>
      </w:pPr>
      <w:r w:rsidRPr="00E342F1">
        <w:rPr>
          <w:lang w:val="fr-CA"/>
        </w:rPr>
        <w:t>Ajouter des boutons tactiles et une sortie vocale aux guichets automatiques.</w:t>
      </w:r>
    </w:p>
    <w:p w14:paraId="1DD179DD" w14:textId="7254FD6A" w:rsidR="006C4261" w:rsidRPr="00E342F1" w:rsidRDefault="006C4261" w:rsidP="006C4261">
      <w:pPr>
        <w:pStyle w:val="ListParagraph"/>
        <w:numPr>
          <w:ilvl w:val="0"/>
          <w:numId w:val="76"/>
        </w:numPr>
        <w:rPr>
          <w:lang w:val="fr-CA"/>
        </w:rPr>
      </w:pPr>
      <w:r w:rsidRPr="00E342F1">
        <w:rPr>
          <w:lang w:val="fr-CA"/>
        </w:rPr>
        <w:t>Réalisez régulièrement des audits d</w:t>
      </w:r>
      <w:r w:rsidR="00EA3E31" w:rsidRPr="00E342F1">
        <w:rPr>
          <w:lang w:val="fr-CA"/>
        </w:rPr>
        <w:t>’</w:t>
      </w:r>
      <w:r w:rsidRPr="00E342F1">
        <w:rPr>
          <w:lang w:val="fr-CA"/>
        </w:rPr>
        <w:t>accessibilité.</w:t>
      </w:r>
    </w:p>
    <w:p w14:paraId="083CE137" w14:textId="5F200221" w:rsidR="006C4261" w:rsidRPr="00E342F1" w:rsidRDefault="006C4261" w:rsidP="006C4261">
      <w:pPr>
        <w:pStyle w:val="ListParagraph"/>
        <w:numPr>
          <w:ilvl w:val="0"/>
          <w:numId w:val="76"/>
        </w:numPr>
        <w:rPr>
          <w:lang w:val="fr-CA"/>
        </w:rPr>
      </w:pPr>
      <w:r w:rsidRPr="00E342F1">
        <w:rPr>
          <w:lang w:val="fr-CA"/>
        </w:rPr>
        <w:t>Fournir des instructions claires et des formats alternatifs.</w:t>
      </w:r>
    </w:p>
    <w:p w14:paraId="2298AADD" w14:textId="657D7AE2" w:rsidR="006C4261" w:rsidRPr="00E342F1" w:rsidRDefault="006C4261" w:rsidP="006C4261">
      <w:pPr>
        <w:pStyle w:val="ListParagraph"/>
        <w:numPr>
          <w:ilvl w:val="0"/>
          <w:numId w:val="76"/>
        </w:numPr>
        <w:rPr>
          <w:lang w:val="fr-CA"/>
        </w:rPr>
      </w:pPr>
      <w:r w:rsidRPr="00E342F1">
        <w:rPr>
          <w:lang w:val="fr-CA"/>
        </w:rPr>
        <w:t xml:space="preserve">Prendre en charge les appareils auditifs Bluetooth dans les dispositifs bancaires. </w:t>
      </w:r>
    </w:p>
    <w:p w14:paraId="55DF9662" w14:textId="54C0F91E" w:rsidR="006C4261" w:rsidRPr="00E342F1" w:rsidRDefault="006C4261" w:rsidP="006C4261">
      <w:pPr>
        <w:pStyle w:val="ListParagraph"/>
        <w:numPr>
          <w:ilvl w:val="0"/>
          <w:numId w:val="76"/>
        </w:numPr>
        <w:rPr>
          <w:lang w:val="fr-CA"/>
        </w:rPr>
      </w:pPr>
      <w:r w:rsidRPr="00E342F1">
        <w:rPr>
          <w:lang w:val="fr-CA"/>
        </w:rPr>
        <w:t>Ajouter des fonctions d</w:t>
      </w:r>
      <w:r w:rsidR="00EA3E31" w:rsidRPr="00E342F1">
        <w:rPr>
          <w:lang w:val="fr-CA"/>
        </w:rPr>
        <w:t>’</w:t>
      </w:r>
      <w:r w:rsidRPr="00E342F1">
        <w:rPr>
          <w:lang w:val="fr-CA"/>
        </w:rPr>
        <w:t>interaction visuelle telles qu</w:t>
      </w:r>
      <w:r w:rsidR="00EA3E31" w:rsidRPr="00E342F1">
        <w:rPr>
          <w:lang w:val="fr-CA"/>
        </w:rPr>
        <w:t>’</w:t>
      </w:r>
      <w:r w:rsidRPr="00E342F1">
        <w:rPr>
          <w:lang w:val="fr-CA"/>
        </w:rPr>
        <w:t>un assistant virtuel ou un visage à l</w:t>
      </w:r>
      <w:r w:rsidR="00EA3E31" w:rsidRPr="00E342F1">
        <w:rPr>
          <w:lang w:val="fr-CA"/>
        </w:rPr>
        <w:t>’</w:t>
      </w:r>
      <w:r w:rsidRPr="00E342F1">
        <w:rPr>
          <w:lang w:val="fr-CA"/>
        </w:rPr>
        <w:t>écran pour améliorer la communication avec les utilisateurs malentendants.</w:t>
      </w:r>
    </w:p>
    <w:p w14:paraId="7D990CFB" w14:textId="5211ACF7" w:rsidR="006C4261" w:rsidRPr="00E342F1" w:rsidRDefault="006C4261" w:rsidP="006C4261">
      <w:pPr>
        <w:pStyle w:val="ListParagraph"/>
        <w:numPr>
          <w:ilvl w:val="0"/>
          <w:numId w:val="76"/>
        </w:numPr>
        <w:rPr>
          <w:lang w:val="fr-CA"/>
        </w:rPr>
      </w:pPr>
      <w:r w:rsidRPr="00E342F1">
        <w:rPr>
          <w:lang w:val="fr-CA"/>
        </w:rPr>
        <w:t>Permettre l</w:t>
      </w:r>
      <w:r w:rsidR="00EA3E31" w:rsidRPr="00E342F1">
        <w:rPr>
          <w:lang w:val="fr-CA"/>
        </w:rPr>
        <w:t>’</w:t>
      </w:r>
      <w:r w:rsidRPr="00E342F1">
        <w:rPr>
          <w:lang w:val="fr-CA"/>
        </w:rPr>
        <w:t>ajustement de la taille de la police et du contraste sur tous les écrans.</w:t>
      </w:r>
    </w:p>
    <w:p w14:paraId="557C7533" w14:textId="2A99F7FD" w:rsidR="006C4261" w:rsidRPr="00E342F1" w:rsidRDefault="006C4261" w:rsidP="006C4261">
      <w:pPr>
        <w:pStyle w:val="Heading3"/>
        <w:tabs>
          <w:tab w:val="num" w:pos="360"/>
          <w:tab w:val="num" w:pos="2160"/>
        </w:tabs>
        <w:rPr>
          <w:lang w:val="fr-CA"/>
        </w:rPr>
      </w:pPr>
      <w:bookmarkStart w:id="100" w:name="_Toc179379659"/>
      <w:bookmarkEnd w:id="96"/>
      <w:bookmarkEnd w:id="97"/>
      <w:bookmarkEnd w:id="98"/>
      <w:bookmarkEnd w:id="99"/>
      <w:r w:rsidRPr="00E342F1">
        <w:rPr>
          <w:lang w:val="fr-CA"/>
        </w:rPr>
        <w:t>Favoriser l</w:t>
      </w:r>
      <w:r w:rsidR="00EA3E31" w:rsidRPr="00E342F1">
        <w:rPr>
          <w:lang w:val="fr-CA"/>
        </w:rPr>
        <w:t>’</w:t>
      </w:r>
      <w:r w:rsidRPr="00E342F1">
        <w:rPr>
          <w:lang w:val="fr-CA"/>
        </w:rPr>
        <w:t>innovation en matière d</w:t>
      </w:r>
      <w:r w:rsidR="00EA3E31" w:rsidRPr="00E342F1">
        <w:rPr>
          <w:lang w:val="fr-CA"/>
        </w:rPr>
        <w:t>’</w:t>
      </w:r>
      <w:r w:rsidRPr="00E342F1">
        <w:rPr>
          <w:lang w:val="fr-CA"/>
        </w:rPr>
        <w:t>accessibilité</w:t>
      </w:r>
      <w:bookmarkEnd w:id="100"/>
    </w:p>
    <w:p w14:paraId="545FFFC0" w14:textId="76CE154F" w:rsidR="00AE70E8" w:rsidRPr="00E342F1" w:rsidRDefault="006C4261" w:rsidP="00733FF7">
      <w:pPr>
        <w:rPr>
          <w:lang w:val="fr-CA"/>
        </w:rPr>
      </w:pPr>
      <w:r w:rsidRPr="00E342F1">
        <w:rPr>
          <w:lang w:val="fr-CA"/>
        </w:rPr>
        <w:t>S</w:t>
      </w:r>
      <w:r w:rsidR="00EA3E31" w:rsidRPr="00E342F1">
        <w:rPr>
          <w:lang w:val="fr-CA"/>
        </w:rPr>
        <w:t>’</w:t>
      </w:r>
      <w:r w:rsidRPr="00E342F1">
        <w:rPr>
          <w:lang w:val="fr-CA"/>
        </w:rPr>
        <w:t>il est une population qui a besoin d</w:t>
      </w:r>
      <w:r w:rsidR="00EA3E31" w:rsidRPr="00E342F1">
        <w:rPr>
          <w:lang w:val="fr-CA"/>
        </w:rPr>
        <w:t>’</w:t>
      </w:r>
      <w:r w:rsidRPr="00E342F1">
        <w:rPr>
          <w:lang w:val="fr-CA"/>
        </w:rPr>
        <w:t>innovation, c</w:t>
      </w:r>
      <w:r w:rsidR="00EA3E31" w:rsidRPr="00E342F1">
        <w:rPr>
          <w:lang w:val="fr-CA"/>
        </w:rPr>
        <w:t>’</w:t>
      </w:r>
      <w:r w:rsidRPr="00E342F1">
        <w:rPr>
          <w:lang w:val="fr-CA"/>
        </w:rPr>
        <w:t>est bien la communauté des personnes handicapées. Pourtant, les normes techniques prescriptives, testables et imposées par la loi empêchent effectivement l</w:t>
      </w:r>
      <w:r w:rsidR="00EA3E31" w:rsidRPr="00E342F1">
        <w:rPr>
          <w:lang w:val="fr-CA"/>
        </w:rPr>
        <w:t>’</w:t>
      </w:r>
      <w:r w:rsidRPr="00E342F1">
        <w:rPr>
          <w:lang w:val="fr-CA"/>
        </w:rPr>
        <w:t>innovation, même l</w:t>
      </w:r>
      <w:r w:rsidR="00EA3E31" w:rsidRPr="00E342F1">
        <w:rPr>
          <w:lang w:val="fr-CA"/>
        </w:rPr>
        <w:t>’</w:t>
      </w:r>
      <w:r w:rsidRPr="00E342F1">
        <w:rPr>
          <w:lang w:val="fr-CA"/>
        </w:rPr>
        <w:t>innovation en matière d</w:t>
      </w:r>
      <w:r w:rsidR="00EA3E31" w:rsidRPr="00E342F1">
        <w:rPr>
          <w:lang w:val="fr-CA"/>
        </w:rPr>
        <w:t>’</w:t>
      </w:r>
      <w:r w:rsidRPr="00E342F1">
        <w:rPr>
          <w:lang w:val="fr-CA"/>
        </w:rPr>
        <w:t>accessibilité. S</w:t>
      </w:r>
      <w:r w:rsidR="00EA3E31" w:rsidRPr="00E342F1">
        <w:rPr>
          <w:lang w:val="fr-CA"/>
        </w:rPr>
        <w:t>’</w:t>
      </w:r>
      <w:r w:rsidRPr="00E342F1">
        <w:rPr>
          <w:lang w:val="fr-CA"/>
        </w:rPr>
        <w:t>il est essentiel de respecter les lignes directrices en matière d</w:t>
      </w:r>
      <w:r w:rsidR="00EA3E31" w:rsidRPr="00E342F1">
        <w:rPr>
          <w:lang w:val="fr-CA"/>
        </w:rPr>
        <w:t>’</w:t>
      </w:r>
      <w:r w:rsidRPr="00E342F1">
        <w:rPr>
          <w:lang w:val="fr-CA"/>
        </w:rPr>
        <w:t>accessibilité, il est également vital de donner aux développeurs la liberté de création nécessaire pour trouver des solutions innovantes aux problèmes d</w:t>
      </w:r>
      <w:r w:rsidR="00EA3E31" w:rsidRPr="00E342F1">
        <w:rPr>
          <w:lang w:val="fr-CA"/>
        </w:rPr>
        <w:t>’</w:t>
      </w:r>
      <w:r w:rsidRPr="00E342F1">
        <w:rPr>
          <w:lang w:val="fr-CA"/>
        </w:rPr>
        <w:t>accessibilité. Une innovation réussie implique la génération, l</w:t>
      </w:r>
      <w:r w:rsidR="00EA3E31" w:rsidRPr="00E342F1">
        <w:rPr>
          <w:lang w:val="fr-CA"/>
        </w:rPr>
        <w:t>’</w:t>
      </w:r>
      <w:r w:rsidRPr="00E342F1">
        <w:rPr>
          <w:lang w:val="fr-CA"/>
        </w:rPr>
        <w:t>essai et l</w:t>
      </w:r>
      <w:r w:rsidR="00EA3E31" w:rsidRPr="00E342F1">
        <w:rPr>
          <w:lang w:val="fr-CA"/>
        </w:rPr>
        <w:t>’</w:t>
      </w:r>
      <w:r w:rsidRPr="00E342F1">
        <w:rPr>
          <w:lang w:val="fr-CA"/>
        </w:rPr>
        <w:t>évaluation continus d</w:t>
      </w:r>
      <w:r w:rsidR="00EA3E31" w:rsidRPr="00E342F1">
        <w:rPr>
          <w:lang w:val="fr-CA"/>
        </w:rPr>
        <w:t>’</w:t>
      </w:r>
      <w:r w:rsidRPr="00E342F1">
        <w:rPr>
          <w:lang w:val="fr-CA"/>
        </w:rPr>
        <w:t>idées avec la population qu</w:t>
      </w:r>
      <w:r w:rsidR="00EA3E31" w:rsidRPr="00E342F1">
        <w:rPr>
          <w:lang w:val="fr-CA"/>
        </w:rPr>
        <w:t>’</w:t>
      </w:r>
      <w:r w:rsidRPr="00E342F1">
        <w:rPr>
          <w:lang w:val="fr-CA"/>
        </w:rPr>
        <w:t>elles sont censées aider</w:t>
      </w:r>
      <w:r w:rsidR="00AE70E8" w:rsidRPr="00E342F1">
        <w:rPr>
          <w:lang w:val="fr-CA"/>
        </w:rPr>
        <w:t xml:space="preserve">. </w:t>
      </w:r>
    </w:p>
    <w:p w14:paraId="1EE56384" w14:textId="27FD2DA1" w:rsidR="006C4261" w:rsidRPr="00E342F1" w:rsidRDefault="006C4261" w:rsidP="006C4261">
      <w:pPr>
        <w:pStyle w:val="Heading4"/>
        <w:tabs>
          <w:tab w:val="num" w:pos="360"/>
          <w:tab w:val="num" w:pos="2880"/>
        </w:tabs>
        <w:rPr>
          <w:lang w:val="fr-CA"/>
        </w:rPr>
      </w:pPr>
      <w:bookmarkStart w:id="101" w:name="_Toc176951816"/>
      <w:bookmarkStart w:id="102" w:name="_Toc177373780"/>
      <w:bookmarkStart w:id="103" w:name="_Toc179379660"/>
      <w:r w:rsidRPr="00E342F1">
        <w:rPr>
          <w:lang w:val="fr-CA"/>
        </w:rPr>
        <w:t>Reconnaissance et incitations à l</w:t>
      </w:r>
      <w:r w:rsidR="00EA3E31" w:rsidRPr="00E342F1">
        <w:rPr>
          <w:lang w:val="fr-CA"/>
        </w:rPr>
        <w:t>’</w:t>
      </w:r>
      <w:r w:rsidRPr="00E342F1">
        <w:rPr>
          <w:lang w:val="fr-CA"/>
        </w:rPr>
        <w:t>innovation en matière d</w:t>
      </w:r>
      <w:r w:rsidR="00EA3E31" w:rsidRPr="00E342F1">
        <w:rPr>
          <w:lang w:val="fr-CA"/>
        </w:rPr>
        <w:t>’</w:t>
      </w:r>
      <w:r w:rsidRPr="00E342F1">
        <w:rPr>
          <w:lang w:val="fr-CA"/>
        </w:rPr>
        <w:t>accessibilité et à des normes élevées</w:t>
      </w:r>
      <w:bookmarkEnd w:id="101"/>
      <w:bookmarkEnd w:id="102"/>
      <w:bookmarkEnd w:id="103"/>
    </w:p>
    <w:p w14:paraId="6502AA1F" w14:textId="49225D53" w:rsidR="006C4261" w:rsidRPr="00E342F1" w:rsidRDefault="006C4261" w:rsidP="00733FF7">
      <w:pPr>
        <w:rPr>
          <w:lang w:val="fr-CA"/>
        </w:rPr>
      </w:pPr>
      <w:r w:rsidRPr="00E342F1">
        <w:rPr>
          <w:lang w:val="fr-CA"/>
        </w:rPr>
        <w:t>Il est essentiel d</w:t>
      </w:r>
      <w:r w:rsidR="00EA3E31" w:rsidRPr="00E342F1">
        <w:rPr>
          <w:lang w:val="fr-CA"/>
        </w:rPr>
        <w:t>’</w:t>
      </w:r>
      <w:r w:rsidRPr="00E342F1">
        <w:rPr>
          <w:lang w:val="fr-CA"/>
        </w:rPr>
        <w:t>adopter l</w:t>
      </w:r>
      <w:r w:rsidR="00EA3E31" w:rsidRPr="00E342F1">
        <w:rPr>
          <w:lang w:val="fr-CA"/>
        </w:rPr>
        <w:t>’</w:t>
      </w:r>
      <w:r w:rsidRPr="00E342F1">
        <w:rPr>
          <w:lang w:val="fr-CA"/>
        </w:rPr>
        <w:t>innovation en matière d</w:t>
      </w:r>
      <w:r w:rsidR="00EA3E31" w:rsidRPr="00E342F1">
        <w:rPr>
          <w:lang w:val="fr-CA"/>
        </w:rPr>
        <w:t>’</w:t>
      </w:r>
      <w:r w:rsidRPr="00E342F1">
        <w:rPr>
          <w:lang w:val="fr-CA"/>
        </w:rPr>
        <w:t>accessibilité tout en s</w:t>
      </w:r>
      <w:r w:rsidR="00EA3E31" w:rsidRPr="00E342F1">
        <w:rPr>
          <w:lang w:val="fr-CA"/>
        </w:rPr>
        <w:t>’</w:t>
      </w:r>
      <w:r w:rsidRPr="00E342F1">
        <w:rPr>
          <w:lang w:val="fr-CA"/>
        </w:rPr>
        <w:t>efforçant continuellement de s</w:t>
      </w:r>
      <w:r w:rsidR="00EA3E31" w:rsidRPr="00E342F1">
        <w:rPr>
          <w:lang w:val="fr-CA"/>
        </w:rPr>
        <w:t>’</w:t>
      </w:r>
      <w:r w:rsidRPr="00E342F1">
        <w:rPr>
          <w:lang w:val="fr-CA"/>
        </w:rPr>
        <w:t>améliorer. En encourageant les solutions créatives et en évaluant régulièrement leur impact, les organisations et les développeurs qui font preuve d</w:t>
      </w:r>
      <w:r w:rsidR="00EA3E31" w:rsidRPr="00E342F1">
        <w:rPr>
          <w:lang w:val="fr-CA"/>
        </w:rPr>
        <w:t>’</w:t>
      </w:r>
      <w:r w:rsidRPr="00E342F1">
        <w:rPr>
          <w:lang w:val="fr-CA"/>
        </w:rPr>
        <w:t>une innovation exceptionnelle en matière d</w:t>
      </w:r>
      <w:r w:rsidR="00EA3E31" w:rsidRPr="00E342F1">
        <w:rPr>
          <w:lang w:val="fr-CA"/>
        </w:rPr>
        <w:t>’</w:t>
      </w:r>
      <w:r w:rsidRPr="00E342F1">
        <w:rPr>
          <w:lang w:val="fr-CA"/>
        </w:rPr>
        <w:t>accessibilité peuvent être reconnus et récompensés.</w:t>
      </w:r>
    </w:p>
    <w:p w14:paraId="623827AC" w14:textId="49C1E036"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7E7B567D" w14:textId="7EBD45E2" w:rsidR="006C4261" w:rsidRPr="00E342F1" w:rsidRDefault="006C4261" w:rsidP="006C4261">
      <w:pPr>
        <w:pStyle w:val="ListParagraph"/>
        <w:numPr>
          <w:ilvl w:val="0"/>
          <w:numId w:val="77"/>
        </w:numPr>
        <w:rPr>
          <w:lang w:val="fr-CA"/>
        </w:rPr>
      </w:pPr>
      <w:bookmarkStart w:id="104" w:name="_Toc176951817"/>
      <w:bookmarkStart w:id="105" w:name="_Toc177373781"/>
      <w:r w:rsidRPr="00E342F1">
        <w:rPr>
          <w:lang w:val="fr-CA"/>
        </w:rPr>
        <w:t>Mettre en place des programmes de reconnaissance officiels pour honorer les organisations qui font preuve d</w:t>
      </w:r>
      <w:r w:rsidR="00EA3E31" w:rsidRPr="00E342F1">
        <w:rPr>
          <w:lang w:val="fr-CA"/>
        </w:rPr>
        <w:t>’</w:t>
      </w:r>
      <w:r w:rsidRPr="00E342F1">
        <w:rPr>
          <w:lang w:val="fr-CA"/>
        </w:rPr>
        <w:t>efforts exceptionnels en matière de promotion de l</w:t>
      </w:r>
      <w:r w:rsidR="00EA3E31" w:rsidRPr="00E342F1">
        <w:rPr>
          <w:lang w:val="fr-CA"/>
        </w:rPr>
        <w:t>’</w:t>
      </w:r>
      <w:r w:rsidRPr="00E342F1">
        <w:rPr>
          <w:lang w:val="fr-CA"/>
        </w:rPr>
        <w:t>accessibilité.</w:t>
      </w:r>
    </w:p>
    <w:p w14:paraId="5CB1E861" w14:textId="287FE204" w:rsidR="006C4261" w:rsidRPr="00E342F1" w:rsidRDefault="006C4261" w:rsidP="006C4261">
      <w:pPr>
        <w:pStyle w:val="ListParagraph"/>
        <w:numPr>
          <w:ilvl w:val="0"/>
          <w:numId w:val="77"/>
        </w:numPr>
        <w:rPr>
          <w:lang w:val="fr-CA"/>
        </w:rPr>
      </w:pPr>
      <w:r w:rsidRPr="00E342F1">
        <w:rPr>
          <w:lang w:val="fr-CA"/>
        </w:rPr>
        <w:t>Présenter les meilleures pratiques pour établir des critères de référence qui incitent les autres à suivre l</w:t>
      </w:r>
      <w:r w:rsidR="00EA3E31" w:rsidRPr="00E342F1">
        <w:rPr>
          <w:lang w:val="fr-CA"/>
        </w:rPr>
        <w:t>’</w:t>
      </w:r>
      <w:r w:rsidRPr="00E342F1">
        <w:rPr>
          <w:lang w:val="fr-CA"/>
        </w:rPr>
        <w:t xml:space="preserve">exemple. </w:t>
      </w:r>
    </w:p>
    <w:p w14:paraId="302CAB87" w14:textId="1A3F7CF1" w:rsidR="006C4261" w:rsidRPr="00E342F1" w:rsidRDefault="006C4261" w:rsidP="006C4261">
      <w:pPr>
        <w:pStyle w:val="ListParagraph"/>
        <w:numPr>
          <w:ilvl w:val="0"/>
          <w:numId w:val="77"/>
        </w:numPr>
        <w:rPr>
          <w:lang w:val="fr-CA"/>
        </w:rPr>
      </w:pPr>
      <w:r w:rsidRPr="00E342F1">
        <w:rPr>
          <w:lang w:val="fr-CA"/>
        </w:rPr>
        <w:t>Maintenir un équilibre entre l</w:t>
      </w:r>
      <w:r w:rsidR="00EA3E31" w:rsidRPr="00E342F1">
        <w:rPr>
          <w:lang w:val="fr-CA"/>
        </w:rPr>
        <w:t>’</w:t>
      </w:r>
      <w:r w:rsidRPr="00E342F1">
        <w:rPr>
          <w:lang w:val="fr-CA"/>
        </w:rPr>
        <w:t>innovation et l</w:t>
      </w:r>
      <w:r w:rsidR="00EA3E31" w:rsidRPr="00E342F1">
        <w:rPr>
          <w:lang w:val="fr-CA"/>
        </w:rPr>
        <w:t>’</w:t>
      </w:r>
      <w:r w:rsidRPr="00E342F1">
        <w:rPr>
          <w:lang w:val="fr-CA"/>
        </w:rPr>
        <w:t>évaluation continue.</w:t>
      </w:r>
    </w:p>
    <w:p w14:paraId="3CBD2F29" w14:textId="3D9814A6" w:rsidR="006C4261" w:rsidRPr="00E342F1" w:rsidRDefault="006C4261" w:rsidP="006C4261">
      <w:pPr>
        <w:pStyle w:val="ListParagraph"/>
        <w:numPr>
          <w:ilvl w:val="0"/>
          <w:numId w:val="77"/>
        </w:numPr>
        <w:rPr>
          <w:lang w:val="fr-CA"/>
        </w:rPr>
      </w:pPr>
      <w:r w:rsidRPr="00E342F1">
        <w:rPr>
          <w:lang w:val="fr-CA"/>
        </w:rPr>
        <w:t>Encourager et récompenser les solutions innovantes en matière d</w:t>
      </w:r>
      <w:r w:rsidR="00EA3E31" w:rsidRPr="00E342F1">
        <w:rPr>
          <w:lang w:val="fr-CA"/>
        </w:rPr>
        <w:t>’</w:t>
      </w:r>
      <w:r w:rsidRPr="00E342F1">
        <w:rPr>
          <w:lang w:val="fr-CA"/>
        </w:rPr>
        <w:t>accessibilité.</w:t>
      </w:r>
    </w:p>
    <w:p w14:paraId="40C71EEC" w14:textId="61F3E8E7" w:rsidR="006C4261" w:rsidRPr="00E342F1" w:rsidRDefault="006C4261" w:rsidP="006C4261">
      <w:pPr>
        <w:pStyle w:val="ListParagraph"/>
        <w:numPr>
          <w:ilvl w:val="0"/>
          <w:numId w:val="77"/>
        </w:numPr>
        <w:rPr>
          <w:lang w:val="fr-CA"/>
        </w:rPr>
      </w:pPr>
      <w:r w:rsidRPr="00E342F1">
        <w:rPr>
          <w:lang w:val="fr-CA"/>
        </w:rPr>
        <w:t>Accorder aux développeurs une liberté de création tout en veillant à ce qu</w:t>
      </w:r>
      <w:r w:rsidR="00EA3E31" w:rsidRPr="00E342F1">
        <w:rPr>
          <w:lang w:val="fr-CA"/>
        </w:rPr>
        <w:t>’</w:t>
      </w:r>
      <w:r w:rsidRPr="00E342F1">
        <w:rPr>
          <w:lang w:val="fr-CA"/>
        </w:rPr>
        <w:t>ils respectent les objectifs fondamentaux en matière d</w:t>
      </w:r>
      <w:r w:rsidR="00EA3E31" w:rsidRPr="00E342F1">
        <w:rPr>
          <w:lang w:val="fr-CA"/>
        </w:rPr>
        <w:t>’</w:t>
      </w:r>
      <w:r w:rsidRPr="00E342F1">
        <w:rPr>
          <w:lang w:val="fr-CA"/>
        </w:rPr>
        <w:t>accessibilité.</w:t>
      </w:r>
    </w:p>
    <w:p w14:paraId="4269173F" w14:textId="77777777" w:rsidR="008A111B" w:rsidRPr="00E342F1" w:rsidRDefault="008A111B" w:rsidP="008A111B">
      <w:pPr>
        <w:pStyle w:val="Heading4"/>
        <w:tabs>
          <w:tab w:val="num" w:pos="360"/>
          <w:tab w:val="num" w:pos="2880"/>
        </w:tabs>
        <w:rPr>
          <w:lang w:val="fr-CA"/>
        </w:rPr>
      </w:pPr>
      <w:bookmarkStart w:id="106" w:name="_Toc179379661"/>
      <w:bookmarkEnd w:id="104"/>
      <w:bookmarkEnd w:id="105"/>
      <w:r w:rsidRPr="00E342F1">
        <w:rPr>
          <w:lang w:val="fr-CA"/>
        </w:rPr>
        <w:t>Examen de la technologie antérieure</w:t>
      </w:r>
      <w:bookmarkEnd w:id="106"/>
    </w:p>
    <w:p w14:paraId="1CE53CCA" w14:textId="4C9537F8" w:rsidR="00AE70E8" w:rsidRPr="00E342F1" w:rsidRDefault="005F0CB9" w:rsidP="00733FF7">
      <w:pPr>
        <w:rPr>
          <w:lang w:val="fr-CA"/>
        </w:rPr>
      </w:pPr>
      <w:r w:rsidRPr="00E342F1">
        <w:rPr>
          <w:lang w:val="fr-CA"/>
        </w:rPr>
        <w:t>Dans le cadre de l</w:t>
      </w:r>
      <w:r w:rsidR="00EA3E31" w:rsidRPr="00E342F1">
        <w:rPr>
          <w:lang w:val="fr-CA"/>
        </w:rPr>
        <w:t>’</w:t>
      </w:r>
      <w:r w:rsidRPr="00E342F1">
        <w:rPr>
          <w:lang w:val="fr-CA"/>
        </w:rPr>
        <w:t>innovation, il est essentiel d</w:t>
      </w:r>
      <w:r w:rsidR="00EA3E31" w:rsidRPr="00E342F1">
        <w:rPr>
          <w:lang w:val="fr-CA"/>
        </w:rPr>
        <w:t>’</w:t>
      </w:r>
      <w:r w:rsidRPr="00E342F1">
        <w:rPr>
          <w:lang w:val="fr-CA"/>
        </w:rPr>
        <w:t>évaluer comment les personnes utilisant des technologies antérieures pourraient être affectées, voire exclues, par les nouvelles approches</w:t>
      </w:r>
      <w:r w:rsidR="00AE70E8" w:rsidRPr="00E342F1">
        <w:rPr>
          <w:lang w:val="fr-CA"/>
        </w:rPr>
        <w:t>.</w:t>
      </w:r>
    </w:p>
    <w:p w14:paraId="2159D186" w14:textId="37D9B588"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1D312DAC" w14:textId="2B2174BA" w:rsidR="005F0CB9" w:rsidRPr="00E342F1" w:rsidRDefault="005F0CB9" w:rsidP="005F0CB9">
      <w:pPr>
        <w:pStyle w:val="ListParagraph"/>
        <w:numPr>
          <w:ilvl w:val="0"/>
          <w:numId w:val="78"/>
        </w:numPr>
        <w:rPr>
          <w:lang w:val="fr-CA"/>
        </w:rPr>
      </w:pPr>
      <w:bookmarkStart w:id="107" w:name="_Toc176951818"/>
      <w:bookmarkStart w:id="108" w:name="_Toc177373782"/>
      <w:r w:rsidRPr="00E342F1">
        <w:rPr>
          <w:lang w:val="fr-CA"/>
        </w:rPr>
        <w:t>Concevoir les nouvelles technologies de manière à ce qu</w:t>
      </w:r>
      <w:r w:rsidR="00EA3E31" w:rsidRPr="00E342F1">
        <w:rPr>
          <w:lang w:val="fr-CA"/>
        </w:rPr>
        <w:t>’</w:t>
      </w:r>
      <w:r w:rsidRPr="00E342F1">
        <w:rPr>
          <w:lang w:val="fr-CA"/>
        </w:rPr>
        <w:t>elles soient interopérables avec les systèmes existants ou disposer d</w:t>
      </w:r>
      <w:r w:rsidR="00EA3E31" w:rsidRPr="00E342F1">
        <w:rPr>
          <w:lang w:val="fr-CA"/>
        </w:rPr>
        <w:t>’</w:t>
      </w:r>
      <w:r w:rsidRPr="00E342F1">
        <w:rPr>
          <w:lang w:val="fr-CA"/>
        </w:rPr>
        <w:t>un plan d</w:t>
      </w:r>
      <w:r w:rsidR="00EA3E31" w:rsidRPr="00E342F1">
        <w:rPr>
          <w:lang w:val="fr-CA"/>
        </w:rPr>
        <w:t>’</w:t>
      </w:r>
      <w:r w:rsidRPr="00E342F1">
        <w:rPr>
          <w:lang w:val="fr-CA"/>
        </w:rPr>
        <w:t>élimination des anciens systèmes qui ne surcharge pas les personnes handicapées.</w:t>
      </w:r>
    </w:p>
    <w:p w14:paraId="02B1EEB0" w14:textId="2023585F" w:rsidR="005F0CB9" w:rsidRPr="00E342F1" w:rsidRDefault="005F0CB9" w:rsidP="005F0CB9">
      <w:pPr>
        <w:pStyle w:val="ListParagraph"/>
        <w:numPr>
          <w:ilvl w:val="0"/>
          <w:numId w:val="78"/>
        </w:numPr>
        <w:rPr>
          <w:lang w:val="fr-CA"/>
        </w:rPr>
      </w:pPr>
      <w:r w:rsidRPr="00E342F1">
        <w:rPr>
          <w:lang w:val="fr-CA"/>
        </w:rPr>
        <w:t>Intégrer les caractéristiques familières aux nouvelles avancées pour maximiser l</w:t>
      </w:r>
      <w:r w:rsidR="00EA3E31" w:rsidRPr="00E342F1">
        <w:rPr>
          <w:lang w:val="fr-CA"/>
        </w:rPr>
        <w:t>’</w:t>
      </w:r>
      <w:r w:rsidRPr="00E342F1">
        <w:rPr>
          <w:lang w:val="fr-CA"/>
        </w:rPr>
        <w:t>accessibilité et le succès.</w:t>
      </w:r>
    </w:p>
    <w:p w14:paraId="47EE6F10" w14:textId="77777777" w:rsidR="005F0CB9" w:rsidRPr="00E342F1" w:rsidRDefault="005F0CB9" w:rsidP="005F0CB9">
      <w:pPr>
        <w:pStyle w:val="Heading4"/>
        <w:tabs>
          <w:tab w:val="num" w:pos="360"/>
          <w:tab w:val="num" w:pos="2880"/>
        </w:tabs>
        <w:rPr>
          <w:lang w:val="fr-CA"/>
        </w:rPr>
      </w:pPr>
      <w:bookmarkStart w:id="109" w:name="_Toc179379662"/>
      <w:bookmarkEnd w:id="107"/>
      <w:bookmarkEnd w:id="108"/>
      <w:r w:rsidRPr="00E342F1">
        <w:rPr>
          <w:lang w:val="fr-CA"/>
        </w:rPr>
        <w:t>Changement culturel et investissement</w:t>
      </w:r>
      <w:bookmarkEnd w:id="109"/>
    </w:p>
    <w:p w14:paraId="122A8485" w14:textId="22145395" w:rsidR="005F0CB9" w:rsidRPr="00E342F1" w:rsidRDefault="005F0CB9" w:rsidP="00733FF7">
      <w:pPr>
        <w:rPr>
          <w:lang w:val="fr-CA"/>
        </w:rPr>
      </w:pPr>
      <w:r w:rsidRPr="00E342F1">
        <w:rPr>
          <w:lang w:val="fr-CA"/>
        </w:rPr>
        <w:t>L</w:t>
      </w:r>
      <w:r w:rsidR="00EA3E31" w:rsidRPr="00E342F1">
        <w:rPr>
          <w:lang w:val="fr-CA"/>
        </w:rPr>
        <w:t>’</w:t>
      </w:r>
      <w:r w:rsidRPr="00E342F1">
        <w:rPr>
          <w:lang w:val="fr-CA"/>
        </w:rPr>
        <w:t>innovation en matière d</w:t>
      </w:r>
      <w:r w:rsidR="00EA3E31" w:rsidRPr="00E342F1">
        <w:rPr>
          <w:lang w:val="fr-CA"/>
        </w:rPr>
        <w:t>’</w:t>
      </w:r>
      <w:r w:rsidRPr="00E342F1">
        <w:rPr>
          <w:lang w:val="fr-CA"/>
        </w:rPr>
        <w:t>accessibilité a plus de chances de se développer lorsqu</w:t>
      </w:r>
      <w:r w:rsidR="00EA3E31" w:rsidRPr="00E342F1">
        <w:rPr>
          <w:lang w:val="fr-CA"/>
        </w:rPr>
        <w:t>’</w:t>
      </w:r>
      <w:r w:rsidRPr="00E342F1">
        <w:rPr>
          <w:lang w:val="fr-CA"/>
        </w:rPr>
        <w:t>il y a un changement culturel au sein des organisations pour donner la priorité à l</w:t>
      </w:r>
      <w:r w:rsidR="00EA3E31" w:rsidRPr="00E342F1">
        <w:rPr>
          <w:lang w:val="fr-CA"/>
        </w:rPr>
        <w:t>’</w:t>
      </w:r>
      <w:r w:rsidRPr="00E342F1">
        <w:rPr>
          <w:lang w:val="fr-CA"/>
        </w:rPr>
        <w:t>accessibilité.</w:t>
      </w:r>
    </w:p>
    <w:p w14:paraId="1F12EFDE" w14:textId="03F97462"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19F1FBA3" w14:textId="1C86FF36" w:rsidR="005F0CB9" w:rsidRPr="00E342F1" w:rsidRDefault="005F0CB9" w:rsidP="005F0CB9">
      <w:pPr>
        <w:pStyle w:val="ListParagraph"/>
        <w:numPr>
          <w:ilvl w:val="0"/>
          <w:numId w:val="79"/>
        </w:numPr>
        <w:rPr>
          <w:lang w:val="fr-CA"/>
        </w:rPr>
      </w:pPr>
      <w:bookmarkStart w:id="110" w:name="_Toc175656435"/>
      <w:bookmarkStart w:id="111" w:name="_Toc176951819"/>
      <w:bookmarkStart w:id="112" w:name="_Toc177373783"/>
      <w:bookmarkStart w:id="113" w:name="OLE_LINK18"/>
      <w:r w:rsidRPr="00E342F1">
        <w:rPr>
          <w:lang w:val="fr-CA"/>
        </w:rPr>
        <w:t>Favoriser une culture organisationnelle inclusive en promouvant la sensibilisation et la compréhension des questions d</w:t>
      </w:r>
      <w:r w:rsidR="00EA3E31" w:rsidRPr="00E342F1">
        <w:rPr>
          <w:lang w:val="fr-CA"/>
        </w:rPr>
        <w:t>’</w:t>
      </w:r>
      <w:r w:rsidRPr="00E342F1">
        <w:rPr>
          <w:lang w:val="fr-CA"/>
        </w:rPr>
        <w:t>accessibilité.</w:t>
      </w:r>
    </w:p>
    <w:p w14:paraId="734F58AE" w14:textId="187E00A0" w:rsidR="005F0CB9" w:rsidRPr="00E342F1" w:rsidRDefault="005F0CB9" w:rsidP="005F0CB9">
      <w:pPr>
        <w:pStyle w:val="ListParagraph"/>
        <w:numPr>
          <w:ilvl w:val="0"/>
          <w:numId w:val="79"/>
        </w:numPr>
        <w:rPr>
          <w:lang w:val="fr-CA"/>
        </w:rPr>
      </w:pPr>
      <w:r w:rsidRPr="00E342F1">
        <w:rPr>
          <w:lang w:val="fr-CA"/>
        </w:rPr>
        <w:t>Encourager l</w:t>
      </w:r>
      <w:r w:rsidR="00EA3E31" w:rsidRPr="00E342F1">
        <w:rPr>
          <w:lang w:val="fr-CA"/>
        </w:rPr>
        <w:t>’</w:t>
      </w:r>
      <w:r w:rsidRPr="00E342F1">
        <w:rPr>
          <w:lang w:val="fr-CA"/>
        </w:rPr>
        <w:t>investissement dans l</w:t>
      </w:r>
      <w:r w:rsidR="00EA3E31" w:rsidRPr="00E342F1">
        <w:rPr>
          <w:lang w:val="fr-CA"/>
        </w:rPr>
        <w:t>’</w:t>
      </w:r>
      <w:r w:rsidRPr="00E342F1">
        <w:rPr>
          <w:lang w:val="fr-CA"/>
        </w:rPr>
        <w:t>accessibilité par des mesures d</w:t>
      </w:r>
      <w:r w:rsidR="00EA3E31" w:rsidRPr="00E342F1">
        <w:rPr>
          <w:lang w:val="fr-CA"/>
        </w:rPr>
        <w:t>’</w:t>
      </w:r>
      <w:r w:rsidRPr="00E342F1">
        <w:rPr>
          <w:lang w:val="fr-CA"/>
        </w:rPr>
        <w:t>incitation et le financement de la recherche.</w:t>
      </w:r>
    </w:p>
    <w:p w14:paraId="565E7866" w14:textId="2AF8B446" w:rsidR="005F0CB9" w:rsidRPr="00E342F1" w:rsidRDefault="00060120" w:rsidP="005F0CB9">
      <w:pPr>
        <w:pStyle w:val="Heading3"/>
        <w:tabs>
          <w:tab w:val="num" w:pos="360"/>
          <w:tab w:val="num" w:pos="2160"/>
        </w:tabs>
        <w:rPr>
          <w:lang w:val="fr-CA"/>
        </w:rPr>
      </w:pPr>
      <w:bookmarkStart w:id="114" w:name="_Toc179379663"/>
      <w:bookmarkEnd w:id="110"/>
      <w:bookmarkEnd w:id="111"/>
      <w:bookmarkEnd w:id="112"/>
      <w:bookmarkEnd w:id="113"/>
      <w:r w:rsidRPr="00E342F1">
        <w:rPr>
          <w:lang w:val="fr-CA"/>
        </w:rPr>
        <w:t>Supprimer les mesures dissuasives pour la</w:t>
      </w:r>
      <w:r w:rsidR="00A35153" w:rsidRPr="00E342F1">
        <w:rPr>
          <w:lang w:val="fr-CA"/>
        </w:rPr>
        <w:t xml:space="preserve"> mise en conformité avec les </w:t>
      </w:r>
      <w:r w:rsidR="00A251C2" w:rsidRPr="00E342F1">
        <w:rPr>
          <w:lang w:val="fr-CA"/>
        </w:rPr>
        <w:t>règles</w:t>
      </w:r>
      <w:r w:rsidR="00A35153" w:rsidRPr="00E342F1">
        <w:rPr>
          <w:lang w:val="fr-CA"/>
        </w:rPr>
        <w:t xml:space="preserve"> </w:t>
      </w:r>
      <w:r w:rsidR="00A251C2" w:rsidRPr="00E342F1">
        <w:rPr>
          <w:lang w:val="fr-CA"/>
        </w:rPr>
        <w:t>d</w:t>
      </w:r>
      <w:r w:rsidR="00EA3E31" w:rsidRPr="00E342F1">
        <w:rPr>
          <w:lang w:val="fr-CA"/>
        </w:rPr>
        <w:t>’</w:t>
      </w:r>
      <w:r w:rsidR="00A251C2" w:rsidRPr="00E342F1">
        <w:rPr>
          <w:lang w:val="fr-CA"/>
        </w:rPr>
        <w:t>accessibilité</w:t>
      </w:r>
      <w:bookmarkEnd w:id="114"/>
    </w:p>
    <w:p w14:paraId="44D50CE0" w14:textId="18CFFCFE" w:rsidR="00AE70E8" w:rsidRPr="00E342F1" w:rsidRDefault="005F0CB9" w:rsidP="00733FF7">
      <w:pPr>
        <w:rPr>
          <w:lang w:val="fr-CA"/>
        </w:rPr>
      </w:pPr>
      <w:r w:rsidRPr="00E342F1">
        <w:rPr>
          <w:lang w:val="fr-CA"/>
        </w:rPr>
        <w:t>La législation sur l</w:t>
      </w:r>
      <w:r w:rsidR="00EA3E31" w:rsidRPr="00E342F1">
        <w:rPr>
          <w:lang w:val="fr-CA"/>
        </w:rPr>
        <w:t>’</w:t>
      </w:r>
      <w:r w:rsidRPr="00E342F1">
        <w:rPr>
          <w:lang w:val="fr-CA"/>
        </w:rPr>
        <w:t>accessibilité des technologies numériques a donné naissance à une industrie de l</w:t>
      </w:r>
      <w:r w:rsidR="00EA3E31" w:rsidRPr="00E342F1">
        <w:rPr>
          <w:lang w:val="fr-CA"/>
        </w:rPr>
        <w:t>’</w:t>
      </w:r>
      <w:r w:rsidRPr="00E342F1">
        <w:rPr>
          <w:lang w:val="fr-CA"/>
        </w:rPr>
        <w:t>accessibilité qui dépend de la persistance du problème et qui est stimulée par la difficulté de la mise en conformité. Ce même secteur façonne les normes d</w:t>
      </w:r>
      <w:r w:rsidR="00EA3E31" w:rsidRPr="00E342F1">
        <w:rPr>
          <w:lang w:val="fr-CA"/>
        </w:rPr>
        <w:t>’</w:t>
      </w:r>
      <w:r w:rsidRPr="00E342F1">
        <w:rPr>
          <w:lang w:val="fr-CA"/>
        </w:rPr>
        <w:t>accessibilité, ce qui décourage l</w:t>
      </w:r>
      <w:r w:rsidR="00EA3E31" w:rsidRPr="00E342F1">
        <w:rPr>
          <w:lang w:val="fr-CA"/>
        </w:rPr>
        <w:t>’</w:t>
      </w:r>
      <w:r w:rsidRPr="00E342F1">
        <w:rPr>
          <w:lang w:val="fr-CA"/>
        </w:rPr>
        <w:t>élaboration d</w:t>
      </w:r>
      <w:r w:rsidR="00EA3E31" w:rsidRPr="00E342F1">
        <w:rPr>
          <w:lang w:val="fr-CA"/>
        </w:rPr>
        <w:t>’</w:t>
      </w:r>
      <w:r w:rsidRPr="00E342F1">
        <w:rPr>
          <w:lang w:val="fr-CA"/>
        </w:rPr>
        <w:t>un modèle de normes qui éliminerait la nécessité d</w:t>
      </w:r>
      <w:r w:rsidR="00EA3E31" w:rsidRPr="00E342F1">
        <w:rPr>
          <w:lang w:val="fr-CA"/>
        </w:rPr>
        <w:t>’</w:t>
      </w:r>
      <w:r w:rsidRPr="00E342F1">
        <w:rPr>
          <w:lang w:val="fr-CA"/>
        </w:rPr>
        <w:t>un secteur d</w:t>
      </w:r>
      <w:r w:rsidR="00EA3E31" w:rsidRPr="00E342F1">
        <w:rPr>
          <w:lang w:val="fr-CA"/>
        </w:rPr>
        <w:t>’</w:t>
      </w:r>
      <w:r w:rsidRPr="00E342F1">
        <w:rPr>
          <w:lang w:val="fr-CA"/>
        </w:rPr>
        <w:t>évaluation et de réparation de l</w:t>
      </w:r>
      <w:r w:rsidR="00EA3E31" w:rsidRPr="00E342F1">
        <w:rPr>
          <w:lang w:val="fr-CA"/>
        </w:rPr>
        <w:t>’</w:t>
      </w:r>
      <w:r w:rsidRPr="00E342F1">
        <w:rPr>
          <w:lang w:val="fr-CA"/>
        </w:rPr>
        <w:t>accessibilité des TIC</w:t>
      </w:r>
      <w:r w:rsidR="00AE70E8" w:rsidRPr="00E342F1">
        <w:rPr>
          <w:lang w:val="fr-CA"/>
        </w:rPr>
        <w:t>.</w:t>
      </w:r>
    </w:p>
    <w:p w14:paraId="1259DE0B" w14:textId="77777777" w:rsidR="005F0CB9" w:rsidRPr="00E342F1" w:rsidRDefault="005F0CB9" w:rsidP="005F0CB9">
      <w:pPr>
        <w:pStyle w:val="Heading4"/>
        <w:tabs>
          <w:tab w:val="num" w:pos="360"/>
          <w:tab w:val="num" w:pos="2880"/>
        </w:tabs>
        <w:rPr>
          <w:lang w:val="fr-CA"/>
        </w:rPr>
      </w:pPr>
      <w:bookmarkStart w:id="115" w:name="_Toc176951820"/>
      <w:bookmarkStart w:id="116" w:name="_Toc177373784"/>
      <w:bookmarkStart w:id="117" w:name="_Toc179379664"/>
      <w:r w:rsidRPr="00E342F1">
        <w:rPr>
          <w:lang w:val="fr-CA"/>
        </w:rPr>
        <w:t>Mandats gouvernementaux et responsabilisation des entreprises</w:t>
      </w:r>
      <w:bookmarkEnd w:id="115"/>
      <w:bookmarkEnd w:id="116"/>
      <w:bookmarkEnd w:id="117"/>
    </w:p>
    <w:p w14:paraId="2A99DC43" w14:textId="786F7881" w:rsidR="00AE70E8" w:rsidRPr="00E342F1" w:rsidRDefault="005F0CB9" w:rsidP="00733FF7">
      <w:pPr>
        <w:rPr>
          <w:lang w:val="fr-CA"/>
        </w:rPr>
      </w:pPr>
      <w:r w:rsidRPr="00E342F1">
        <w:rPr>
          <w:lang w:val="fr-CA"/>
        </w:rPr>
        <w:t>Les co-chercheurs ont souligné l</w:t>
      </w:r>
      <w:r w:rsidR="00EA3E31" w:rsidRPr="00E342F1">
        <w:rPr>
          <w:lang w:val="fr-CA"/>
        </w:rPr>
        <w:t>’</w:t>
      </w:r>
      <w:r w:rsidRPr="00E342F1">
        <w:rPr>
          <w:lang w:val="fr-CA"/>
        </w:rPr>
        <w:t>importance de mandats gouvernementaux forts et d</w:t>
      </w:r>
      <w:r w:rsidR="00EA3E31" w:rsidRPr="00E342F1">
        <w:rPr>
          <w:lang w:val="fr-CA"/>
        </w:rPr>
        <w:t>’</w:t>
      </w:r>
      <w:r w:rsidRPr="00E342F1">
        <w:rPr>
          <w:lang w:val="fr-CA"/>
        </w:rPr>
        <w:t>exigences en matière de marchés publics pour favoriser une accessibilité généralisée. Le fait de tenir les entreprises pour responsables contribuerait à ce que les efforts en matière d</w:t>
      </w:r>
      <w:r w:rsidR="00EA3E31" w:rsidRPr="00E342F1">
        <w:rPr>
          <w:lang w:val="fr-CA"/>
        </w:rPr>
        <w:t>’</w:t>
      </w:r>
      <w:r w:rsidRPr="00E342F1">
        <w:rPr>
          <w:lang w:val="fr-CA"/>
        </w:rPr>
        <w:t>accessibilité ne se limitent pas à une simple mise en conformité, mais qu</w:t>
      </w:r>
      <w:r w:rsidR="00EA3E31" w:rsidRPr="00E342F1">
        <w:rPr>
          <w:lang w:val="fr-CA"/>
        </w:rPr>
        <w:t>’</w:t>
      </w:r>
      <w:r w:rsidRPr="00E342F1">
        <w:rPr>
          <w:lang w:val="fr-CA"/>
        </w:rPr>
        <w:t>ils interviennent plus tôt dans la chaîne de livraison, en supprimant la nécessité de procéder à des audits sommatifs de l</w:t>
      </w:r>
      <w:r w:rsidR="00EA3E31" w:rsidRPr="00E342F1">
        <w:rPr>
          <w:lang w:val="fr-CA"/>
        </w:rPr>
        <w:t>’</w:t>
      </w:r>
      <w:r w:rsidRPr="00E342F1">
        <w:rPr>
          <w:lang w:val="fr-CA"/>
        </w:rPr>
        <w:t>accessibilité et à des réparations lorsque les technologies ont déjà été mises en œuvre</w:t>
      </w:r>
      <w:r w:rsidR="00AE70E8" w:rsidRPr="00E342F1">
        <w:rPr>
          <w:lang w:val="fr-CA"/>
        </w:rPr>
        <w:t>.</w:t>
      </w:r>
    </w:p>
    <w:p w14:paraId="6BA3C65C" w14:textId="592F47B4"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244697CD" w14:textId="796710B5" w:rsidR="005F0CB9" w:rsidRPr="00E342F1" w:rsidRDefault="005F0CB9" w:rsidP="005F0CB9">
      <w:pPr>
        <w:pStyle w:val="ListParagraph"/>
        <w:numPr>
          <w:ilvl w:val="0"/>
          <w:numId w:val="80"/>
        </w:numPr>
        <w:rPr>
          <w:lang w:val="fr-CA"/>
        </w:rPr>
      </w:pPr>
      <w:bookmarkStart w:id="118" w:name="_Toc175656436"/>
      <w:bookmarkStart w:id="119" w:name="_Toc176951821"/>
      <w:bookmarkStart w:id="120" w:name="_Toc177373785"/>
      <w:bookmarkStart w:id="121" w:name="OLE_LINK19"/>
      <w:r w:rsidRPr="00E342F1">
        <w:rPr>
          <w:lang w:val="fr-CA"/>
        </w:rPr>
        <w:t>Plaider en faveur de mandats gouvernementaux plus forts qui exigent l</w:t>
      </w:r>
      <w:r w:rsidR="00EA3E31" w:rsidRPr="00E342F1">
        <w:rPr>
          <w:lang w:val="fr-CA"/>
        </w:rPr>
        <w:t>’</w:t>
      </w:r>
      <w:r w:rsidRPr="00E342F1">
        <w:rPr>
          <w:lang w:val="fr-CA"/>
        </w:rPr>
        <w:t>accessibilité des produits et services technologiques.</w:t>
      </w:r>
    </w:p>
    <w:p w14:paraId="433A4BE5" w14:textId="7E158044" w:rsidR="005F0CB9" w:rsidRPr="00E342F1" w:rsidRDefault="005F0CB9" w:rsidP="005F0CB9">
      <w:pPr>
        <w:pStyle w:val="ListParagraph"/>
        <w:numPr>
          <w:ilvl w:val="0"/>
          <w:numId w:val="80"/>
        </w:numPr>
        <w:rPr>
          <w:lang w:val="fr-CA"/>
        </w:rPr>
      </w:pPr>
      <w:r w:rsidRPr="00E342F1">
        <w:rPr>
          <w:lang w:val="fr-CA"/>
        </w:rPr>
        <w:t>Mettre en œuvre des mesures de responsabilisation pour s</w:t>
      </w:r>
      <w:r w:rsidR="00EA3E31" w:rsidRPr="00E342F1">
        <w:rPr>
          <w:lang w:val="fr-CA"/>
        </w:rPr>
        <w:t>’</w:t>
      </w:r>
      <w:r w:rsidRPr="00E342F1">
        <w:rPr>
          <w:lang w:val="fr-CA"/>
        </w:rPr>
        <w:t>assurer que les entreprises accordent la priorité aux véritables améliorations en matière d</w:t>
      </w:r>
      <w:r w:rsidR="00EA3E31" w:rsidRPr="00E342F1">
        <w:rPr>
          <w:lang w:val="fr-CA"/>
        </w:rPr>
        <w:t>’</w:t>
      </w:r>
      <w:r w:rsidRPr="00E342F1">
        <w:rPr>
          <w:lang w:val="fr-CA"/>
        </w:rPr>
        <w:t>accessibilité.</w:t>
      </w:r>
    </w:p>
    <w:p w14:paraId="2E7E616A" w14:textId="77D847D2" w:rsidR="005F0CB9" w:rsidRPr="00E342F1" w:rsidRDefault="005F0CB9" w:rsidP="005F0CB9">
      <w:pPr>
        <w:pStyle w:val="ListParagraph"/>
        <w:numPr>
          <w:ilvl w:val="0"/>
          <w:numId w:val="80"/>
        </w:numPr>
        <w:rPr>
          <w:lang w:val="fr-CA"/>
        </w:rPr>
      </w:pPr>
      <w:r w:rsidRPr="00E342F1">
        <w:rPr>
          <w:lang w:val="fr-CA"/>
        </w:rPr>
        <w:t>Exiger de tous les niveaux de gouvernement qu</w:t>
      </w:r>
      <w:r w:rsidR="00EA3E31" w:rsidRPr="00E342F1">
        <w:rPr>
          <w:lang w:val="fr-CA"/>
        </w:rPr>
        <w:t>’</w:t>
      </w:r>
      <w:r w:rsidRPr="00E342F1">
        <w:rPr>
          <w:lang w:val="fr-CA"/>
        </w:rPr>
        <w:t>ils incluent l</w:t>
      </w:r>
      <w:r w:rsidR="00EA3E31" w:rsidRPr="00E342F1">
        <w:rPr>
          <w:lang w:val="fr-CA"/>
        </w:rPr>
        <w:t>’</w:t>
      </w:r>
      <w:r w:rsidRPr="00E342F1">
        <w:rPr>
          <w:lang w:val="fr-CA"/>
        </w:rPr>
        <w:t>accessibilité dans les contrats de service et d</w:t>
      </w:r>
      <w:r w:rsidR="00EA3E31" w:rsidRPr="00E342F1">
        <w:rPr>
          <w:lang w:val="fr-CA"/>
        </w:rPr>
        <w:t>’</w:t>
      </w:r>
      <w:r w:rsidRPr="00E342F1">
        <w:rPr>
          <w:lang w:val="fr-CA"/>
        </w:rPr>
        <w:t>approvisionnement.</w:t>
      </w:r>
    </w:p>
    <w:p w14:paraId="416BF573" w14:textId="7AD7AFD0" w:rsidR="005F0CB9" w:rsidRPr="00E342F1" w:rsidRDefault="005F0CB9" w:rsidP="005F0CB9">
      <w:pPr>
        <w:pStyle w:val="ListParagraph"/>
        <w:numPr>
          <w:ilvl w:val="0"/>
          <w:numId w:val="80"/>
        </w:numPr>
        <w:rPr>
          <w:lang w:val="fr-CA"/>
        </w:rPr>
      </w:pPr>
      <w:r w:rsidRPr="00E342F1">
        <w:rPr>
          <w:lang w:val="fr-CA"/>
        </w:rPr>
        <w:t>Exiger un plan d</w:t>
      </w:r>
      <w:r w:rsidR="00EA3E31" w:rsidRPr="00E342F1">
        <w:rPr>
          <w:lang w:val="fr-CA"/>
        </w:rPr>
        <w:t>’</w:t>
      </w:r>
      <w:r w:rsidRPr="00E342F1">
        <w:rPr>
          <w:lang w:val="fr-CA"/>
        </w:rPr>
        <w:t>accessibilité détaillé et démontrer des progrès mesurables dans l</w:t>
      </w:r>
      <w:r w:rsidR="00EA3E31" w:rsidRPr="00E342F1">
        <w:rPr>
          <w:lang w:val="fr-CA"/>
        </w:rPr>
        <w:t>’</w:t>
      </w:r>
      <w:r w:rsidRPr="00E342F1">
        <w:rPr>
          <w:lang w:val="fr-CA"/>
        </w:rPr>
        <w:t>amélioration de l</w:t>
      </w:r>
      <w:r w:rsidR="00EA3E31" w:rsidRPr="00E342F1">
        <w:rPr>
          <w:lang w:val="fr-CA"/>
        </w:rPr>
        <w:t>’</w:t>
      </w:r>
      <w:r w:rsidRPr="00E342F1">
        <w:rPr>
          <w:lang w:val="fr-CA"/>
        </w:rPr>
        <w:t>accessibilité des installations et des produits des entreprises gouvernementales et privées.</w:t>
      </w:r>
    </w:p>
    <w:p w14:paraId="3318D875" w14:textId="77777777" w:rsidR="005F0CB9" w:rsidRPr="00E342F1" w:rsidRDefault="005F0CB9" w:rsidP="005F0CB9">
      <w:pPr>
        <w:pStyle w:val="Heading3"/>
        <w:tabs>
          <w:tab w:val="num" w:pos="360"/>
          <w:tab w:val="num" w:pos="2160"/>
        </w:tabs>
        <w:rPr>
          <w:lang w:val="fr-CA"/>
        </w:rPr>
      </w:pPr>
      <w:bookmarkStart w:id="122" w:name="_Toc179379665"/>
      <w:bookmarkEnd w:id="118"/>
      <w:bookmarkEnd w:id="119"/>
      <w:bookmarkEnd w:id="120"/>
      <w:bookmarkEnd w:id="121"/>
      <w:r w:rsidRPr="00E342F1">
        <w:rPr>
          <w:lang w:val="fr-CA"/>
        </w:rPr>
        <w:t>Responsabiliser les personnes handicapées</w:t>
      </w:r>
      <w:bookmarkEnd w:id="122"/>
    </w:p>
    <w:p w14:paraId="22E31FBF" w14:textId="79B48243" w:rsidR="00AE70E8" w:rsidRPr="00E342F1" w:rsidRDefault="005F0CB9" w:rsidP="00733FF7">
      <w:pPr>
        <w:rPr>
          <w:lang w:val="fr-CA"/>
        </w:rPr>
      </w:pPr>
      <w:r w:rsidRPr="00E342F1">
        <w:rPr>
          <w:lang w:val="fr-CA"/>
        </w:rPr>
        <w:t>Cette section est consacrée à l</w:t>
      </w:r>
      <w:r w:rsidR="00EA3E31" w:rsidRPr="00E342F1">
        <w:rPr>
          <w:lang w:val="fr-CA"/>
        </w:rPr>
        <w:t>’</w:t>
      </w:r>
      <w:r w:rsidRPr="00E342F1">
        <w:rPr>
          <w:lang w:val="fr-CA"/>
        </w:rPr>
        <w:t>autonomisation des personnes handicapées afin qu</w:t>
      </w:r>
      <w:r w:rsidR="00EA3E31" w:rsidRPr="00E342F1">
        <w:rPr>
          <w:lang w:val="fr-CA"/>
        </w:rPr>
        <w:t>’</w:t>
      </w:r>
      <w:r w:rsidRPr="00E342F1">
        <w:rPr>
          <w:lang w:val="fr-CA"/>
        </w:rPr>
        <w:t>elles deviennent des participants actifs dans le monde numérique. Les normes, à l</w:t>
      </w:r>
      <w:r w:rsidR="00EA3E31" w:rsidRPr="00E342F1">
        <w:rPr>
          <w:lang w:val="fr-CA"/>
        </w:rPr>
        <w:t>’</w:t>
      </w:r>
      <w:r w:rsidRPr="00E342F1">
        <w:rPr>
          <w:lang w:val="fr-CA"/>
        </w:rPr>
        <w:t>exception des lignes directrices sur l</w:t>
      </w:r>
      <w:r w:rsidR="00EA3E31" w:rsidRPr="00E342F1">
        <w:rPr>
          <w:lang w:val="fr-CA"/>
        </w:rPr>
        <w:t>’</w:t>
      </w:r>
      <w:r w:rsidRPr="00E342F1">
        <w:rPr>
          <w:lang w:val="fr-CA"/>
        </w:rPr>
        <w:t>accessibilité des outils de création, supposent souvent implicitement que les personnes handicapées sont des consommateurs et non des producteurs de produits numériques. Des outils de codage accessibles et l</w:t>
      </w:r>
      <w:r w:rsidR="00EA3E31" w:rsidRPr="00E342F1">
        <w:rPr>
          <w:lang w:val="fr-CA"/>
        </w:rPr>
        <w:t>’</w:t>
      </w:r>
      <w:r w:rsidRPr="00E342F1">
        <w:rPr>
          <w:lang w:val="fr-CA"/>
        </w:rPr>
        <w:t>inclusion dans le processus de normalisation permettront à la communauté des personnes handicapées de se prendre en charge</w:t>
      </w:r>
      <w:r w:rsidR="00AE70E8" w:rsidRPr="00E342F1">
        <w:rPr>
          <w:lang w:val="fr-CA"/>
        </w:rPr>
        <w:t xml:space="preserve">. </w:t>
      </w:r>
    </w:p>
    <w:p w14:paraId="1D257B78" w14:textId="77777777" w:rsidR="005F0CB9" w:rsidRPr="00E342F1" w:rsidRDefault="005F0CB9" w:rsidP="005F0CB9">
      <w:pPr>
        <w:pStyle w:val="Heading4"/>
        <w:tabs>
          <w:tab w:val="num" w:pos="360"/>
          <w:tab w:val="num" w:pos="2880"/>
        </w:tabs>
        <w:rPr>
          <w:lang w:val="fr-CA"/>
        </w:rPr>
      </w:pPr>
      <w:bookmarkStart w:id="123" w:name="_Toc176951822"/>
      <w:bookmarkStart w:id="124" w:name="_Toc177373786"/>
      <w:bookmarkStart w:id="125" w:name="_Toc179379666"/>
      <w:r w:rsidRPr="00E342F1">
        <w:rPr>
          <w:lang w:val="fr-CA"/>
        </w:rPr>
        <w:t>Conception inclusive et participation active des personnes handicapées</w:t>
      </w:r>
      <w:bookmarkEnd w:id="123"/>
      <w:bookmarkEnd w:id="124"/>
      <w:bookmarkEnd w:id="125"/>
    </w:p>
    <w:p w14:paraId="508CFA32" w14:textId="6580EB07" w:rsidR="00AE70E8" w:rsidRPr="00E342F1" w:rsidRDefault="005F0CB9" w:rsidP="00733FF7">
      <w:pPr>
        <w:rPr>
          <w:lang w:val="fr-CA"/>
        </w:rPr>
      </w:pPr>
      <w:r w:rsidRPr="00E342F1">
        <w:rPr>
          <w:lang w:val="fr-CA"/>
        </w:rPr>
        <w:t>Les co-chercheurs soulignent l</w:t>
      </w:r>
      <w:r w:rsidR="00EA3E31" w:rsidRPr="00E342F1">
        <w:rPr>
          <w:lang w:val="fr-CA"/>
        </w:rPr>
        <w:t>’</w:t>
      </w:r>
      <w:r w:rsidRPr="00E342F1">
        <w:rPr>
          <w:lang w:val="fr-CA"/>
        </w:rPr>
        <w:t>importance d</w:t>
      </w:r>
      <w:r w:rsidR="00EA3E31" w:rsidRPr="00E342F1">
        <w:rPr>
          <w:lang w:val="fr-CA"/>
        </w:rPr>
        <w:t>’</w:t>
      </w:r>
      <w:r w:rsidRPr="00E342F1">
        <w:rPr>
          <w:lang w:val="fr-CA"/>
        </w:rPr>
        <w:t>impliquer activement les personnes handicapées dans le processus de conception et de développement de tout ce qui touche à leur vie. Cela leur permet d</w:t>
      </w:r>
      <w:r w:rsidR="00EA3E31" w:rsidRPr="00E342F1">
        <w:rPr>
          <w:lang w:val="fr-CA"/>
        </w:rPr>
        <w:t>’</w:t>
      </w:r>
      <w:r w:rsidRPr="00E342F1">
        <w:rPr>
          <w:lang w:val="fr-CA"/>
        </w:rPr>
        <w:t>influencer la création de technologies qui répondent à leurs besoins et, en fin de compte, d</w:t>
      </w:r>
      <w:r w:rsidR="00EA3E31" w:rsidRPr="00E342F1">
        <w:rPr>
          <w:lang w:val="fr-CA"/>
        </w:rPr>
        <w:t>’</w:t>
      </w:r>
      <w:r w:rsidRPr="00E342F1">
        <w:rPr>
          <w:lang w:val="fr-CA"/>
        </w:rPr>
        <w:t>améliorer leur indépendance et leur inclusion dans le monde numérique</w:t>
      </w:r>
      <w:r w:rsidR="00AE70E8" w:rsidRPr="00E342F1">
        <w:rPr>
          <w:lang w:val="fr-CA"/>
        </w:rPr>
        <w:t>.</w:t>
      </w:r>
    </w:p>
    <w:p w14:paraId="4B672D4D" w14:textId="4CCCFC8A" w:rsidR="00AE70E8" w:rsidRPr="00E342F1" w:rsidRDefault="00466A2F" w:rsidP="00733FF7">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443B4AA0" w14:textId="5B358DFA" w:rsidR="005F0CB9" w:rsidRPr="00E342F1" w:rsidRDefault="005F0CB9" w:rsidP="005F0CB9">
      <w:pPr>
        <w:pStyle w:val="ListParagraph"/>
        <w:numPr>
          <w:ilvl w:val="0"/>
          <w:numId w:val="81"/>
        </w:numPr>
        <w:rPr>
          <w:lang w:val="fr-CA"/>
        </w:rPr>
      </w:pPr>
      <w:bookmarkStart w:id="126" w:name="_Toc176951823"/>
      <w:bookmarkStart w:id="127" w:name="_Toc177373787"/>
      <w:r w:rsidRPr="00E342F1">
        <w:rPr>
          <w:lang w:val="fr-CA"/>
        </w:rPr>
        <w:t>Veiller à ce que les outils de codage soient accessibles.</w:t>
      </w:r>
    </w:p>
    <w:p w14:paraId="31AAB717" w14:textId="57E48D80" w:rsidR="005F0CB9" w:rsidRPr="00E342F1" w:rsidRDefault="005F0CB9" w:rsidP="005F0CB9">
      <w:pPr>
        <w:pStyle w:val="ListParagraph"/>
        <w:numPr>
          <w:ilvl w:val="0"/>
          <w:numId w:val="81"/>
        </w:numPr>
        <w:rPr>
          <w:lang w:val="fr-CA"/>
        </w:rPr>
      </w:pPr>
      <w:r w:rsidRPr="00E342F1">
        <w:rPr>
          <w:lang w:val="fr-CA"/>
        </w:rPr>
        <w:t>Exiger l</w:t>
      </w:r>
      <w:r w:rsidR="00EA3E31" w:rsidRPr="00E342F1">
        <w:rPr>
          <w:lang w:val="fr-CA"/>
        </w:rPr>
        <w:t>’</w:t>
      </w:r>
      <w:r w:rsidRPr="00E342F1">
        <w:rPr>
          <w:lang w:val="fr-CA"/>
        </w:rPr>
        <w:t>accessibilité dans toutes les normes.</w:t>
      </w:r>
    </w:p>
    <w:p w14:paraId="7D3EB476" w14:textId="7B8D503F" w:rsidR="005F0CB9" w:rsidRPr="00E342F1" w:rsidRDefault="005F0CB9" w:rsidP="005F0CB9">
      <w:pPr>
        <w:pStyle w:val="ListParagraph"/>
        <w:numPr>
          <w:ilvl w:val="0"/>
          <w:numId w:val="81"/>
        </w:numPr>
        <w:rPr>
          <w:lang w:val="fr-CA"/>
        </w:rPr>
      </w:pPr>
      <w:r w:rsidRPr="00E342F1">
        <w:rPr>
          <w:lang w:val="fr-CA"/>
        </w:rPr>
        <w:t>Utiliser des processus inclusifs pour élaborer les normes.</w:t>
      </w:r>
    </w:p>
    <w:p w14:paraId="699DFB2A" w14:textId="4EA4CE38" w:rsidR="005F0CB9" w:rsidRPr="00E342F1" w:rsidRDefault="005F0CB9" w:rsidP="005F0CB9">
      <w:pPr>
        <w:pStyle w:val="ListParagraph"/>
        <w:numPr>
          <w:ilvl w:val="0"/>
          <w:numId w:val="81"/>
        </w:numPr>
        <w:rPr>
          <w:lang w:val="fr-CA"/>
        </w:rPr>
      </w:pPr>
      <w:r w:rsidRPr="00E342F1">
        <w:rPr>
          <w:lang w:val="fr-CA"/>
        </w:rPr>
        <w:t>Couvrir les coûts encourus pour permettre la pleine participation des personnes handicapées.</w:t>
      </w:r>
    </w:p>
    <w:p w14:paraId="584384C1" w14:textId="77777777" w:rsidR="005F0CB9" w:rsidRPr="00E342F1" w:rsidRDefault="005F0CB9" w:rsidP="005F0CB9">
      <w:pPr>
        <w:pStyle w:val="Heading4"/>
        <w:tabs>
          <w:tab w:val="num" w:pos="360"/>
          <w:tab w:val="num" w:pos="2880"/>
        </w:tabs>
        <w:rPr>
          <w:lang w:val="fr-CA"/>
        </w:rPr>
      </w:pPr>
      <w:bookmarkStart w:id="128" w:name="_Toc179379667"/>
      <w:bookmarkEnd w:id="126"/>
      <w:bookmarkEnd w:id="127"/>
      <w:r w:rsidRPr="00E342F1">
        <w:rPr>
          <w:lang w:val="fr-CA"/>
        </w:rPr>
        <w:t>Accroître la compréhension</w:t>
      </w:r>
      <w:bookmarkEnd w:id="128"/>
    </w:p>
    <w:p w14:paraId="211CF924" w14:textId="58AB9837" w:rsidR="00AE70E8" w:rsidRPr="00E342F1" w:rsidRDefault="005F0CB9" w:rsidP="00AE70E8">
      <w:pPr>
        <w:rPr>
          <w:lang w:val="fr-CA"/>
        </w:rPr>
      </w:pPr>
      <w:r w:rsidRPr="00E342F1">
        <w:rPr>
          <w:lang w:val="fr-CA"/>
        </w:rPr>
        <w:t>Les co-chercheurs ont discuté de l</w:t>
      </w:r>
      <w:r w:rsidR="00EA3E31" w:rsidRPr="00E342F1">
        <w:rPr>
          <w:lang w:val="fr-CA"/>
        </w:rPr>
        <w:t>’</w:t>
      </w:r>
      <w:r w:rsidRPr="00E342F1">
        <w:rPr>
          <w:lang w:val="fr-CA"/>
        </w:rPr>
        <w:t>importance de créer des plateformes pour des discussions ouvertes sur le handicap afin de combler le fossé dans la compréhension des différentes perspectives et expériences</w:t>
      </w:r>
      <w:r w:rsidR="00AE70E8" w:rsidRPr="00E342F1">
        <w:rPr>
          <w:lang w:val="fr-CA"/>
        </w:rPr>
        <w:t>.</w:t>
      </w:r>
    </w:p>
    <w:p w14:paraId="6F8EA71A" w14:textId="1753EA09" w:rsidR="00AE70E8" w:rsidRPr="00E342F1" w:rsidRDefault="00466A2F" w:rsidP="00AE70E8">
      <w:pPr>
        <w:rPr>
          <w:lang w:val="fr-CA"/>
        </w:rPr>
      </w:pPr>
      <w:r w:rsidRPr="00E342F1">
        <w:rPr>
          <w:lang w:val="fr-CA"/>
        </w:rPr>
        <w:t>Points d</w:t>
      </w:r>
      <w:r w:rsidR="00EA3E31" w:rsidRPr="00E342F1">
        <w:rPr>
          <w:lang w:val="fr-CA"/>
        </w:rPr>
        <w:t>’</w:t>
      </w:r>
      <w:r w:rsidRPr="00E342F1">
        <w:rPr>
          <w:lang w:val="fr-CA"/>
        </w:rPr>
        <w:t>action</w:t>
      </w:r>
      <w:r w:rsidR="00AB77D6" w:rsidRPr="00E342F1">
        <w:rPr>
          <w:lang w:val="fr-CA"/>
        </w:rPr>
        <w:t xml:space="preserve"> :</w:t>
      </w:r>
    </w:p>
    <w:p w14:paraId="6A24EAC2" w14:textId="4B4D044E" w:rsidR="005F0CB9" w:rsidRPr="00E342F1" w:rsidRDefault="005F0CB9" w:rsidP="005F0CB9">
      <w:pPr>
        <w:pStyle w:val="ListParagraph"/>
        <w:numPr>
          <w:ilvl w:val="0"/>
          <w:numId w:val="82"/>
        </w:numPr>
        <w:rPr>
          <w:lang w:val="fr-CA"/>
        </w:rPr>
      </w:pPr>
      <w:bookmarkStart w:id="129" w:name="_Toc175656437"/>
      <w:bookmarkStart w:id="130" w:name="_Toc176951824"/>
      <w:bookmarkStart w:id="131" w:name="_Toc177373788"/>
      <w:bookmarkStart w:id="132" w:name="OLE_LINK73"/>
      <w:bookmarkEnd w:id="37"/>
      <w:bookmarkEnd w:id="38"/>
      <w:r w:rsidRPr="00E342F1">
        <w:rPr>
          <w:lang w:val="fr-CA"/>
        </w:rPr>
        <w:t>Créer des plateformes pour des discussions ouvertes sur le handicap et l</w:t>
      </w:r>
      <w:r w:rsidR="00EA3E31" w:rsidRPr="00E342F1">
        <w:rPr>
          <w:lang w:val="fr-CA"/>
        </w:rPr>
        <w:t>’</w:t>
      </w:r>
      <w:r w:rsidRPr="00E342F1">
        <w:rPr>
          <w:lang w:val="fr-CA"/>
        </w:rPr>
        <w:t>accessibilité, et encourager une communication et une participation honnêtes et respectueuses de la communauté des personnes handicapées et d</w:t>
      </w:r>
      <w:r w:rsidR="00EA3E31" w:rsidRPr="00E342F1">
        <w:rPr>
          <w:lang w:val="fr-CA"/>
        </w:rPr>
        <w:t>’</w:t>
      </w:r>
      <w:r w:rsidRPr="00E342F1">
        <w:rPr>
          <w:lang w:val="fr-CA"/>
        </w:rPr>
        <w:t>autres intervenants.</w:t>
      </w:r>
    </w:p>
    <w:p w14:paraId="72009428" w14:textId="59EA8AB1" w:rsidR="00AE70E8" w:rsidRPr="00E342F1" w:rsidRDefault="005F0CB9" w:rsidP="00916EEE">
      <w:pPr>
        <w:pStyle w:val="Heading1"/>
        <w:numPr>
          <w:ilvl w:val="0"/>
          <w:numId w:val="32"/>
        </w:numPr>
        <w:rPr>
          <w:lang w:val="fr-CA"/>
        </w:rPr>
      </w:pPr>
      <w:bookmarkStart w:id="133" w:name="_Toc179379668"/>
      <w:r w:rsidRPr="00E342F1">
        <w:rPr>
          <w:lang w:val="fr-CA"/>
        </w:rPr>
        <w:t>Stratégies</w:t>
      </w:r>
      <w:r w:rsidR="00AE70E8" w:rsidRPr="00E342F1">
        <w:rPr>
          <w:lang w:val="fr-CA"/>
        </w:rPr>
        <w:t xml:space="preserve"> </w:t>
      </w:r>
      <w:r w:rsidRPr="00E342F1">
        <w:rPr>
          <w:lang w:val="fr-CA"/>
        </w:rPr>
        <w:t>pour les</w:t>
      </w:r>
      <w:r w:rsidR="00AE70E8" w:rsidRPr="00E342F1">
        <w:rPr>
          <w:lang w:val="fr-CA"/>
        </w:rPr>
        <w:t xml:space="preserve"> </w:t>
      </w:r>
      <w:bookmarkEnd w:id="129"/>
      <w:bookmarkEnd w:id="130"/>
      <w:bookmarkEnd w:id="131"/>
      <w:r w:rsidRPr="00E342F1">
        <w:rPr>
          <w:lang w:val="fr-CA"/>
        </w:rPr>
        <w:t>réglementations</w:t>
      </w:r>
      <w:bookmarkEnd w:id="133"/>
    </w:p>
    <w:bookmarkEnd w:id="132"/>
    <w:p w14:paraId="1B40A464" w14:textId="63F4D5EA" w:rsidR="00AE70E8" w:rsidRPr="00E342F1" w:rsidRDefault="005F0CB9" w:rsidP="00081EA0">
      <w:pPr>
        <w:rPr>
          <w:lang w:val="fr-CA"/>
        </w:rPr>
      </w:pPr>
      <w:r w:rsidRPr="00E342F1">
        <w:rPr>
          <w:lang w:val="fr-CA"/>
        </w:rPr>
        <w:t>Dans cette section, nous regroupons les thèmes et les actions en stratégies qui peuvent être utilisées pour développer de nouvelles approches pour les normes d</w:t>
      </w:r>
      <w:r w:rsidR="00EA3E31" w:rsidRPr="00E342F1">
        <w:rPr>
          <w:lang w:val="fr-CA"/>
        </w:rPr>
        <w:t>’</w:t>
      </w:r>
      <w:r w:rsidRPr="00E342F1">
        <w:rPr>
          <w:lang w:val="fr-CA"/>
        </w:rPr>
        <w:t>accessibilité et les moyens de réglementer le domaine numérique. Les quatorze stratégies sont les suivantes</w:t>
      </w:r>
      <w:r w:rsidR="00AB77D6" w:rsidRPr="00E342F1">
        <w:rPr>
          <w:lang w:val="fr-CA"/>
        </w:rPr>
        <w:t xml:space="preserve"> :</w:t>
      </w:r>
      <w:r w:rsidR="008D1F88" w:rsidRPr="00E342F1">
        <w:rPr>
          <w:lang w:val="fr-CA"/>
        </w:rPr>
        <w:t xml:space="preserve"> </w:t>
      </w:r>
    </w:p>
    <w:p w14:paraId="64BFEFA0" w14:textId="71C445FA" w:rsidR="005F0CB9" w:rsidRPr="00E342F1" w:rsidRDefault="005F0CB9" w:rsidP="005F0CB9">
      <w:pPr>
        <w:pStyle w:val="ListParagraph"/>
        <w:numPr>
          <w:ilvl w:val="0"/>
          <w:numId w:val="83"/>
        </w:numPr>
        <w:rPr>
          <w:lang w:val="fr-CA"/>
        </w:rPr>
      </w:pPr>
      <w:r w:rsidRPr="00E342F1">
        <w:rPr>
          <w:lang w:val="fr-CA"/>
        </w:rPr>
        <w:t>Inclure des lignes directrices pour les conseils consultatifs composés de personnes souffrant de divers handicaps, afin qu</w:t>
      </w:r>
      <w:r w:rsidR="00EA3E31" w:rsidRPr="00E342F1">
        <w:rPr>
          <w:lang w:val="fr-CA"/>
        </w:rPr>
        <w:t>’</w:t>
      </w:r>
      <w:r w:rsidRPr="00E342F1">
        <w:rPr>
          <w:lang w:val="fr-CA"/>
        </w:rPr>
        <w:t>ils participent activement à toutes les phases du développement du produit.</w:t>
      </w:r>
    </w:p>
    <w:p w14:paraId="3258A77D" w14:textId="2CEA7904" w:rsidR="005F0CB9" w:rsidRPr="00E342F1" w:rsidRDefault="005F0CB9" w:rsidP="005F0CB9">
      <w:pPr>
        <w:pStyle w:val="ListParagraph"/>
        <w:numPr>
          <w:ilvl w:val="0"/>
          <w:numId w:val="83"/>
        </w:numPr>
        <w:rPr>
          <w:lang w:val="fr-CA"/>
        </w:rPr>
      </w:pPr>
      <w:r w:rsidRPr="00E342F1">
        <w:rPr>
          <w:lang w:val="fr-CA"/>
        </w:rPr>
        <w:t>Mettre en place des ateliers structurés et des possibilités d</w:t>
      </w:r>
      <w:r w:rsidR="00EA3E31" w:rsidRPr="00E342F1">
        <w:rPr>
          <w:lang w:val="fr-CA"/>
        </w:rPr>
        <w:t>’</w:t>
      </w:r>
      <w:r w:rsidRPr="00E342F1">
        <w:rPr>
          <w:lang w:val="fr-CA"/>
        </w:rPr>
        <w:t>engagement direct pour que les développeurs travaillent avec des personnes handicapées.</w:t>
      </w:r>
    </w:p>
    <w:p w14:paraId="0E1E4280" w14:textId="1CED6E15" w:rsidR="005F0CB9" w:rsidRPr="00E342F1" w:rsidRDefault="005F0CB9" w:rsidP="005F0CB9">
      <w:pPr>
        <w:pStyle w:val="ListParagraph"/>
        <w:numPr>
          <w:ilvl w:val="0"/>
          <w:numId w:val="83"/>
        </w:numPr>
        <w:rPr>
          <w:lang w:val="fr-CA"/>
        </w:rPr>
      </w:pPr>
      <w:r w:rsidRPr="00E342F1">
        <w:rPr>
          <w:lang w:val="fr-CA"/>
        </w:rPr>
        <w:t>Élaborer des normes dynamiques capables de s</w:t>
      </w:r>
      <w:r w:rsidR="00EA3E31" w:rsidRPr="00E342F1">
        <w:rPr>
          <w:lang w:val="fr-CA"/>
        </w:rPr>
        <w:t>’</w:t>
      </w:r>
      <w:r w:rsidRPr="00E342F1">
        <w:rPr>
          <w:lang w:val="fr-CA"/>
        </w:rPr>
        <w:t>adapter aux évolutions technologiques tout en conservant les principes fondamentaux de l</w:t>
      </w:r>
      <w:r w:rsidR="00EA3E31" w:rsidRPr="00E342F1">
        <w:rPr>
          <w:lang w:val="fr-CA"/>
        </w:rPr>
        <w:t>’</w:t>
      </w:r>
      <w:r w:rsidRPr="00E342F1">
        <w:rPr>
          <w:lang w:val="fr-CA"/>
        </w:rPr>
        <w:t>accessibilité.</w:t>
      </w:r>
    </w:p>
    <w:p w14:paraId="39E9E50B" w14:textId="02479161" w:rsidR="005F0CB9" w:rsidRPr="00E342F1" w:rsidRDefault="005F0CB9" w:rsidP="005F0CB9">
      <w:pPr>
        <w:pStyle w:val="ListParagraph"/>
        <w:numPr>
          <w:ilvl w:val="0"/>
          <w:numId w:val="83"/>
        </w:numPr>
        <w:rPr>
          <w:lang w:val="fr-CA"/>
        </w:rPr>
      </w:pPr>
      <w:r w:rsidRPr="00E342F1">
        <w:rPr>
          <w:lang w:val="fr-CA"/>
        </w:rPr>
        <w:t>Établir un processus d</w:t>
      </w:r>
      <w:r w:rsidR="00EA3E31" w:rsidRPr="00E342F1">
        <w:rPr>
          <w:lang w:val="fr-CA"/>
        </w:rPr>
        <w:t>’</w:t>
      </w:r>
      <w:r w:rsidRPr="00E342F1">
        <w:rPr>
          <w:lang w:val="fr-CA"/>
        </w:rPr>
        <w:t>examen régulier pour mettre à jour les normes afin de refléter les dernières avancées et le retour d</w:t>
      </w:r>
      <w:r w:rsidR="00EA3E31" w:rsidRPr="00E342F1">
        <w:rPr>
          <w:lang w:val="fr-CA"/>
        </w:rPr>
        <w:t>’</w:t>
      </w:r>
      <w:r w:rsidRPr="00E342F1">
        <w:rPr>
          <w:lang w:val="fr-CA"/>
        </w:rPr>
        <w:t>information.</w:t>
      </w:r>
    </w:p>
    <w:p w14:paraId="5D04A7D8" w14:textId="15C28DE7" w:rsidR="005F0CB9" w:rsidRPr="00E342F1" w:rsidRDefault="005F0CB9" w:rsidP="005F0CB9">
      <w:pPr>
        <w:pStyle w:val="ListParagraph"/>
        <w:numPr>
          <w:ilvl w:val="0"/>
          <w:numId w:val="83"/>
        </w:numPr>
        <w:rPr>
          <w:lang w:val="fr-CA"/>
        </w:rPr>
      </w:pPr>
      <w:r w:rsidRPr="00E342F1">
        <w:rPr>
          <w:lang w:val="fr-CA"/>
        </w:rPr>
        <w:t>Encourager la liberté de création et mettre en place des programmes spécifiques pour soutenir le développement et l</w:t>
      </w:r>
      <w:r w:rsidR="00EA3E31" w:rsidRPr="00E342F1">
        <w:rPr>
          <w:lang w:val="fr-CA"/>
        </w:rPr>
        <w:t>’</w:t>
      </w:r>
      <w:r w:rsidRPr="00E342F1">
        <w:rPr>
          <w:lang w:val="fr-CA"/>
        </w:rPr>
        <w:t>expérimentation de nouvelles approches en matière d</w:t>
      </w:r>
      <w:r w:rsidR="00EA3E31" w:rsidRPr="00E342F1">
        <w:rPr>
          <w:lang w:val="fr-CA"/>
        </w:rPr>
        <w:t>’</w:t>
      </w:r>
      <w:r w:rsidRPr="00E342F1">
        <w:rPr>
          <w:lang w:val="fr-CA"/>
        </w:rPr>
        <w:t>accessibilité et établir leur conformité avec les normes d</w:t>
      </w:r>
      <w:r w:rsidR="00EA3E31" w:rsidRPr="00E342F1">
        <w:rPr>
          <w:lang w:val="fr-CA"/>
        </w:rPr>
        <w:t>’</w:t>
      </w:r>
      <w:r w:rsidRPr="00E342F1">
        <w:rPr>
          <w:lang w:val="fr-CA"/>
        </w:rPr>
        <w:t>accessibilité.</w:t>
      </w:r>
    </w:p>
    <w:p w14:paraId="16A7E2F0" w14:textId="346C6AE0" w:rsidR="005F0CB9" w:rsidRPr="00E342F1" w:rsidRDefault="005F0CB9" w:rsidP="005F0CB9">
      <w:pPr>
        <w:pStyle w:val="ListParagraph"/>
        <w:numPr>
          <w:ilvl w:val="0"/>
          <w:numId w:val="83"/>
        </w:numPr>
        <w:rPr>
          <w:lang w:val="fr-CA"/>
        </w:rPr>
      </w:pPr>
      <w:r w:rsidRPr="00E342F1">
        <w:rPr>
          <w:lang w:val="fr-CA"/>
        </w:rPr>
        <w:t>Exiger des boucles de retour d</w:t>
      </w:r>
      <w:r w:rsidR="00EA3E31" w:rsidRPr="00E342F1">
        <w:rPr>
          <w:lang w:val="fr-CA"/>
        </w:rPr>
        <w:t>’</w:t>
      </w:r>
      <w:r w:rsidRPr="00E342F1">
        <w:rPr>
          <w:lang w:val="fr-CA"/>
        </w:rPr>
        <w:t>information de la part des utilisateurs et des processus d</w:t>
      </w:r>
      <w:r w:rsidR="00EA3E31" w:rsidRPr="00E342F1">
        <w:rPr>
          <w:lang w:val="fr-CA"/>
        </w:rPr>
        <w:t>’</w:t>
      </w:r>
      <w:r w:rsidRPr="00E342F1">
        <w:rPr>
          <w:lang w:val="fr-CA"/>
        </w:rPr>
        <w:t>amélioration continue pour garantir l</w:t>
      </w:r>
      <w:r w:rsidR="00EA3E31" w:rsidRPr="00E342F1">
        <w:rPr>
          <w:lang w:val="fr-CA"/>
        </w:rPr>
        <w:t>’</w:t>
      </w:r>
      <w:r w:rsidRPr="00E342F1">
        <w:rPr>
          <w:lang w:val="fr-CA"/>
        </w:rPr>
        <w:t>évaluation et l</w:t>
      </w:r>
      <w:r w:rsidR="00EA3E31" w:rsidRPr="00E342F1">
        <w:rPr>
          <w:lang w:val="fr-CA"/>
        </w:rPr>
        <w:t>’</w:t>
      </w:r>
      <w:r w:rsidRPr="00E342F1">
        <w:rPr>
          <w:lang w:val="fr-CA"/>
        </w:rPr>
        <w:t>amélioration permanentes des caractéristiques d</w:t>
      </w:r>
      <w:r w:rsidR="00EA3E31" w:rsidRPr="00E342F1">
        <w:rPr>
          <w:lang w:val="fr-CA"/>
        </w:rPr>
        <w:t>’</w:t>
      </w:r>
      <w:r w:rsidRPr="00E342F1">
        <w:rPr>
          <w:lang w:val="fr-CA"/>
        </w:rPr>
        <w:t>accessibilité.</w:t>
      </w:r>
    </w:p>
    <w:p w14:paraId="41B9C005" w14:textId="0563DA82" w:rsidR="005F0CB9" w:rsidRPr="00E342F1" w:rsidRDefault="005F0CB9" w:rsidP="005F0CB9">
      <w:pPr>
        <w:pStyle w:val="ListParagraph"/>
        <w:numPr>
          <w:ilvl w:val="0"/>
          <w:numId w:val="83"/>
        </w:numPr>
        <w:rPr>
          <w:lang w:val="fr-CA"/>
        </w:rPr>
      </w:pPr>
      <w:r w:rsidRPr="00E342F1">
        <w:rPr>
          <w:lang w:val="fr-CA"/>
        </w:rPr>
        <w:t>Soutenir la conformité aux normes par des campagnes de sensibilisation du public qui soulignent l</w:t>
      </w:r>
      <w:r w:rsidR="00EA3E31" w:rsidRPr="00E342F1">
        <w:rPr>
          <w:lang w:val="fr-CA"/>
        </w:rPr>
        <w:t>’</w:t>
      </w:r>
      <w:r w:rsidRPr="00E342F1">
        <w:rPr>
          <w:lang w:val="fr-CA"/>
        </w:rPr>
        <w:t>importance de l</w:t>
      </w:r>
      <w:r w:rsidR="00EA3E31" w:rsidRPr="00E342F1">
        <w:rPr>
          <w:lang w:val="fr-CA"/>
        </w:rPr>
        <w:t>’</w:t>
      </w:r>
      <w:r w:rsidRPr="00E342F1">
        <w:rPr>
          <w:lang w:val="fr-CA"/>
        </w:rPr>
        <w:t>accessibilité numérique.</w:t>
      </w:r>
    </w:p>
    <w:p w14:paraId="65C97724" w14:textId="53BF1839" w:rsidR="005F0CB9" w:rsidRPr="00E342F1" w:rsidRDefault="005F0CB9" w:rsidP="005F0CB9">
      <w:pPr>
        <w:pStyle w:val="ListParagraph"/>
        <w:numPr>
          <w:ilvl w:val="0"/>
          <w:numId w:val="83"/>
        </w:numPr>
        <w:rPr>
          <w:lang w:val="fr-CA"/>
        </w:rPr>
      </w:pPr>
      <w:r w:rsidRPr="00E342F1">
        <w:rPr>
          <w:lang w:val="fr-CA"/>
        </w:rPr>
        <w:t>Favoriser le respect des normes en proposant des programmes de formation complets sur l</w:t>
      </w:r>
      <w:r w:rsidR="00EA3E31" w:rsidRPr="00E342F1">
        <w:rPr>
          <w:lang w:val="fr-CA"/>
        </w:rPr>
        <w:t>’</w:t>
      </w:r>
      <w:r w:rsidRPr="00E342F1">
        <w:rPr>
          <w:lang w:val="fr-CA"/>
        </w:rPr>
        <w:t>accessibilité à l</w:t>
      </w:r>
      <w:r w:rsidR="00EA3E31" w:rsidRPr="00E342F1">
        <w:rPr>
          <w:lang w:val="fr-CA"/>
        </w:rPr>
        <w:t>’</w:t>
      </w:r>
      <w:r w:rsidRPr="00E342F1">
        <w:rPr>
          <w:lang w:val="fr-CA"/>
        </w:rPr>
        <w:t>intention des développeurs, des concepteurs et des décideurs politiques.</w:t>
      </w:r>
    </w:p>
    <w:p w14:paraId="7CEC9F9A" w14:textId="25A4B0CA" w:rsidR="005F0CB9" w:rsidRPr="00E342F1" w:rsidRDefault="005F0CB9" w:rsidP="005F0CB9">
      <w:pPr>
        <w:pStyle w:val="ListParagraph"/>
        <w:numPr>
          <w:ilvl w:val="0"/>
          <w:numId w:val="83"/>
        </w:numPr>
        <w:rPr>
          <w:lang w:val="fr-CA"/>
        </w:rPr>
      </w:pPr>
      <w:r w:rsidRPr="00E342F1">
        <w:rPr>
          <w:lang w:val="fr-CA"/>
        </w:rPr>
        <w:t>Établir des lignes directrices pour l</w:t>
      </w:r>
      <w:r w:rsidR="00EA3E31" w:rsidRPr="00E342F1">
        <w:rPr>
          <w:lang w:val="fr-CA"/>
        </w:rPr>
        <w:t>’</w:t>
      </w:r>
      <w:r w:rsidRPr="00E342F1">
        <w:rPr>
          <w:lang w:val="fr-CA"/>
        </w:rPr>
        <w:t>interopérabilité des systèmes numériques, des appareils et des technologies d</w:t>
      </w:r>
      <w:r w:rsidR="00EA3E31" w:rsidRPr="00E342F1">
        <w:rPr>
          <w:lang w:val="fr-CA"/>
        </w:rPr>
        <w:t>’</w:t>
      </w:r>
      <w:r w:rsidRPr="00E342F1">
        <w:rPr>
          <w:lang w:val="fr-CA"/>
        </w:rPr>
        <w:t>assistance.</w:t>
      </w:r>
    </w:p>
    <w:p w14:paraId="1CB3DCFF" w14:textId="5941C122" w:rsidR="005F0CB9" w:rsidRPr="00E342F1" w:rsidRDefault="005F0CB9" w:rsidP="005F0CB9">
      <w:pPr>
        <w:pStyle w:val="ListParagraph"/>
        <w:numPr>
          <w:ilvl w:val="0"/>
          <w:numId w:val="83"/>
        </w:numPr>
        <w:rPr>
          <w:lang w:val="fr-CA"/>
        </w:rPr>
      </w:pPr>
      <w:r w:rsidRPr="00E342F1">
        <w:rPr>
          <w:lang w:val="fr-CA"/>
        </w:rPr>
        <w:t>Encourager l</w:t>
      </w:r>
      <w:r w:rsidR="00EA3E31" w:rsidRPr="00E342F1">
        <w:rPr>
          <w:lang w:val="fr-CA"/>
        </w:rPr>
        <w:t>’</w:t>
      </w:r>
      <w:r w:rsidRPr="00E342F1">
        <w:rPr>
          <w:lang w:val="fr-CA"/>
        </w:rPr>
        <w:t>intégration des technologies d</w:t>
      </w:r>
      <w:r w:rsidR="00EA3E31" w:rsidRPr="00E342F1">
        <w:rPr>
          <w:lang w:val="fr-CA"/>
        </w:rPr>
        <w:t>’</w:t>
      </w:r>
      <w:r w:rsidRPr="00E342F1">
        <w:rPr>
          <w:lang w:val="fr-CA"/>
        </w:rPr>
        <w:t>assistance dans les produits courants et/ou les interfaces et paramètres personnalisables, afin de permettre aux utilisateurs d</w:t>
      </w:r>
      <w:r w:rsidR="00EA3E31" w:rsidRPr="00E342F1">
        <w:rPr>
          <w:lang w:val="fr-CA"/>
        </w:rPr>
        <w:t>’</w:t>
      </w:r>
      <w:r w:rsidRPr="00E342F1">
        <w:rPr>
          <w:lang w:val="fr-CA"/>
        </w:rPr>
        <w:t>adapter leur expérience à leurs besoins.</w:t>
      </w:r>
    </w:p>
    <w:p w14:paraId="3B31D477" w14:textId="55802097" w:rsidR="005F0CB9" w:rsidRPr="00E342F1" w:rsidRDefault="005F0CB9" w:rsidP="005F0CB9">
      <w:pPr>
        <w:pStyle w:val="ListParagraph"/>
        <w:numPr>
          <w:ilvl w:val="0"/>
          <w:numId w:val="83"/>
        </w:numPr>
        <w:rPr>
          <w:lang w:val="fr-CA"/>
        </w:rPr>
      </w:pPr>
      <w:r w:rsidRPr="00E342F1">
        <w:rPr>
          <w:lang w:val="fr-CA"/>
        </w:rPr>
        <w:t>Reconnaître ou offrir des incitations financières aux entreprises qui investissent dans des solutions innovantes en matière d</w:t>
      </w:r>
      <w:r w:rsidR="00EA3E31" w:rsidRPr="00E342F1">
        <w:rPr>
          <w:lang w:val="fr-CA"/>
        </w:rPr>
        <w:t>’</w:t>
      </w:r>
      <w:r w:rsidRPr="00E342F1">
        <w:rPr>
          <w:lang w:val="fr-CA"/>
        </w:rPr>
        <w:t>accessibilité et qui dépassent constamment les normes d</w:t>
      </w:r>
      <w:r w:rsidR="00EA3E31" w:rsidRPr="00E342F1">
        <w:rPr>
          <w:lang w:val="fr-CA"/>
        </w:rPr>
        <w:t>’</w:t>
      </w:r>
      <w:r w:rsidRPr="00E342F1">
        <w:rPr>
          <w:lang w:val="fr-CA"/>
        </w:rPr>
        <w:t>accessibilité.</w:t>
      </w:r>
    </w:p>
    <w:p w14:paraId="01B0AB0E" w14:textId="3D0B07E9" w:rsidR="005F0CB9" w:rsidRPr="00E342F1" w:rsidRDefault="005F0CB9" w:rsidP="005F0CB9">
      <w:pPr>
        <w:pStyle w:val="ListParagraph"/>
        <w:numPr>
          <w:ilvl w:val="0"/>
          <w:numId w:val="83"/>
        </w:numPr>
        <w:rPr>
          <w:lang w:val="fr-CA"/>
        </w:rPr>
      </w:pPr>
      <w:r w:rsidRPr="00E342F1">
        <w:rPr>
          <w:lang w:val="fr-CA"/>
        </w:rPr>
        <w:t>Mettre en œuvre des mécanismes de responsabilisation, y compris des sanctions en cas de non-respect des normes.</w:t>
      </w:r>
    </w:p>
    <w:p w14:paraId="719EF90C" w14:textId="53ECF582" w:rsidR="005F0CB9" w:rsidRPr="00E342F1" w:rsidRDefault="005F0CB9" w:rsidP="005F0CB9">
      <w:pPr>
        <w:pStyle w:val="ListParagraph"/>
        <w:numPr>
          <w:ilvl w:val="0"/>
          <w:numId w:val="83"/>
        </w:numPr>
        <w:rPr>
          <w:lang w:val="fr-CA"/>
        </w:rPr>
      </w:pPr>
      <w:r w:rsidRPr="00E342F1">
        <w:rPr>
          <w:lang w:val="fr-CA"/>
        </w:rPr>
        <w:t>Veiller à ce que les nouvelles innovations n</w:t>
      </w:r>
      <w:r w:rsidR="00EA3E31" w:rsidRPr="00E342F1">
        <w:rPr>
          <w:lang w:val="fr-CA"/>
        </w:rPr>
        <w:t>’</w:t>
      </w:r>
      <w:r w:rsidRPr="00E342F1">
        <w:rPr>
          <w:lang w:val="fr-CA"/>
        </w:rPr>
        <w:t>excluent pas les personnes qui dépendent de technologies plus anciennes.</w:t>
      </w:r>
    </w:p>
    <w:p w14:paraId="7AC52DB4" w14:textId="5A711BBB" w:rsidR="005F0CB9" w:rsidRPr="00E342F1" w:rsidRDefault="005F0CB9" w:rsidP="005F0CB9">
      <w:pPr>
        <w:pStyle w:val="ListParagraph"/>
        <w:numPr>
          <w:ilvl w:val="0"/>
          <w:numId w:val="83"/>
        </w:numPr>
        <w:rPr>
          <w:lang w:val="fr-CA"/>
        </w:rPr>
      </w:pPr>
      <w:r w:rsidRPr="00E342F1">
        <w:rPr>
          <w:lang w:val="fr-CA"/>
        </w:rPr>
        <w:t>Exiger des plans de transition pour les mises à jour et les innovations qui favorisent la continuité et évitent les perturbations inutiles pour les personnes handicapées.</w:t>
      </w:r>
    </w:p>
    <w:p w14:paraId="3923E022" w14:textId="77777777" w:rsidR="00081EA0" w:rsidRPr="00E342F1" w:rsidRDefault="00081EA0" w:rsidP="00916EEE">
      <w:pPr>
        <w:pStyle w:val="Heading1"/>
        <w:numPr>
          <w:ilvl w:val="0"/>
          <w:numId w:val="32"/>
        </w:numPr>
        <w:tabs>
          <w:tab w:val="num" w:pos="720"/>
        </w:tabs>
        <w:rPr>
          <w:lang w:val="fr-CA"/>
        </w:rPr>
      </w:pPr>
      <w:bookmarkStart w:id="134" w:name="_Toc179379669"/>
      <w:r w:rsidRPr="00E342F1">
        <w:rPr>
          <w:lang w:val="fr-CA"/>
        </w:rPr>
        <w:t>Prochaines étapes</w:t>
      </w:r>
      <w:bookmarkEnd w:id="134"/>
    </w:p>
    <w:p w14:paraId="4C458297" w14:textId="54368B18" w:rsidR="00081EA0" w:rsidRPr="00E342F1" w:rsidRDefault="00081EA0" w:rsidP="00081EA0">
      <w:pPr>
        <w:rPr>
          <w:lang w:val="fr-CA"/>
        </w:rPr>
      </w:pPr>
      <w:r w:rsidRPr="00E342F1">
        <w:rPr>
          <w:lang w:val="fr-CA"/>
        </w:rPr>
        <w:t xml:space="preserve">Le projet </w:t>
      </w:r>
      <w:r w:rsidR="00B12EDF" w:rsidRPr="00E342F1">
        <w:rPr>
          <w:lang w:val="fr-CA"/>
        </w:rPr>
        <w:t xml:space="preserve">Réguler le domaine numérique </w:t>
      </w:r>
      <w:r w:rsidRPr="00E342F1">
        <w:rPr>
          <w:lang w:val="fr-CA"/>
        </w:rPr>
        <w:t>(RlDN) est une initiative pionnière visant à améliorer l</w:t>
      </w:r>
      <w:r w:rsidR="00EA3E31" w:rsidRPr="00E342F1">
        <w:rPr>
          <w:lang w:val="fr-CA"/>
        </w:rPr>
        <w:t>’</w:t>
      </w:r>
      <w:r w:rsidRPr="00E342F1">
        <w:rPr>
          <w:lang w:val="fr-CA"/>
        </w:rPr>
        <w:t>inclusion numérique et l</w:t>
      </w:r>
      <w:r w:rsidR="00EA3E31" w:rsidRPr="00E342F1">
        <w:rPr>
          <w:lang w:val="fr-CA"/>
        </w:rPr>
        <w:t>’</w:t>
      </w:r>
      <w:r w:rsidRPr="00E342F1">
        <w:rPr>
          <w:lang w:val="fr-CA"/>
        </w:rPr>
        <w:t>accessibilité des TIC pour les personnes handicapées. En rassemblant une équipe multidisciplinaire de conseillers et de co-chercheurs, le projet s</w:t>
      </w:r>
      <w:r w:rsidR="00EA3E31" w:rsidRPr="00E342F1">
        <w:rPr>
          <w:lang w:val="fr-CA"/>
        </w:rPr>
        <w:t>’</w:t>
      </w:r>
      <w:r w:rsidRPr="00E342F1">
        <w:rPr>
          <w:lang w:val="fr-CA"/>
        </w:rPr>
        <w:t>attaque à six défis essentiels pour développer un système réglementaire qui régisse efficacement le paysage numérique. L</w:t>
      </w:r>
      <w:r w:rsidR="00EA3E31" w:rsidRPr="00E342F1">
        <w:rPr>
          <w:lang w:val="fr-CA"/>
        </w:rPr>
        <w:t>’</w:t>
      </w:r>
      <w:r w:rsidRPr="00E342F1">
        <w:rPr>
          <w:lang w:val="fr-CA"/>
        </w:rPr>
        <w:t>approche multidimensionnelle du projet comprend l</w:t>
      </w:r>
      <w:r w:rsidR="00EA3E31" w:rsidRPr="00E342F1">
        <w:rPr>
          <w:lang w:val="fr-CA"/>
        </w:rPr>
        <w:t>’</w:t>
      </w:r>
      <w:r w:rsidRPr="00E342F1">
        <w:rPr>
          <w:lang w:val="fr-CA"/>
        </w:rPr>
        <w:t>engagement de personnes ayant une expérience vécue du handicap, la résolution de problèmes systémiques liés aux normes actuelles et l</w:t>
      </w:r>
      <w:r w:rsidR="00EA3E31" w:rsidRPr="00E342F1">
        <w:rPr>
          <w:lang w:val="fr-CA"/>
        </w:rPr>
        <w:t>’</w:t>
      </w:r>
      <w:r w:rsidRPr="00E342F1">
        <w:rPr>
          <w:lang w:val="fr-CA"/>
        </w:rPr>
        <w:t>exploration de solutions innovantes pour prévenir les obstacles.</w:t>
      </w:r>
    </w:p>
    <w:p w14:paraId="21AFA7F5" w14:textId="60D2AB9D" w:rsidR="00081EA0" w:rsidRPr="00E342F1" w:rsidRDefault="00081EA0" w:rsidP="00081EA0">
      <w:pPr>
        <w:rPr>
          <w:lang w:val="fr-CA"/>
        </w:rPr>
      </w:pPr>
      <w:r w:rsidRPr="00E342F1">
        <w:rPr>
          <w:lang w:val="fr-CA"/>
        </w:rPr>
        <w:t>Grâce à des activités de recherche conjointe approfondies, l</w:t>
      </w:r>
      <w:r w:rsidR="00EA3E31" w:rsidRPr="00E342F1">
        <w:rPr>
          <w:lang w:val="fr-CA"/>
        </w:rPr>
        <w:t>’</w:t>
      </w:r>
      <w:r w:rsidRPr="00E342F1">
        <w:rPr>
          <w:lang w:val="fr-CA"/>
        </w:rPr>
        <w:t>équipe du RlDN a identifié plus de vingt thèmes alignés sur les six principaux défis du projet. Ces thèmes soulignent le besoin de normes d</w:t>
      </w:r>
      <w:r w:rsidR="00EA3E31" w:rsidRPr="00E342F1">
        <w:rPr>
          <w:lang w:val="fr-CA"/>
        </w:rPr>
        <w:t>’</w:t>
      </w:r>
      <w:r w:rsidRPr="00E342F1">
        <w:rPr>
          <w:lang w:val="fr-CA"/>
        </w:rPr>
        <w:t>accessibilité diverses et flexibles, l</w:t>
      </w:r>
      <w:r w:rsidR="00EA3E31" w:rsidRPr="00E342F1">
        <w:rPr>
          <w:lang w:val="fr-CA"/>
        </w:rPr>
        <w:t>’</w:t>
      </w:r>
      <w:r w:rsidRPr="00E342F1">
        <w:rPr>
          <w:lang w:val="fr-CA"/>
        </w:rPr>
        <w:t>importance de suivre le rythme des avancées technologiques et la nécessité d</w:t>
      </w:r>
      <w:r w:rsidR="00EA3E31" w:rsidRPr="00E342F1">
        <w:rPr>
          <w:lang w:val="fr-CA"/>
        </w:rPr>
        <w:t>’</w:t>
      </w:r>
      <w:r w:rsidRPr="00E342F1">
        <w:rPr>
          <w:lang w:val="fr-CA"/>
        </w:rPr>
        <w:t>encourager l</w:t>
      </w:r>
      <w:r w:rsidR="00EA3E31" w:rsidRPr="00E342F1">
        <w:rPr>
          <w:lang w:val="fr-CA"/>
        </w:rPr>
        <w:t>’</w:t>
      </w:r>
      <w:r w:rsidRPr="00E342F1">
        <w:rPr>
          <w:lang w:val="fr-CA"/>
        </w:rPr>
        <w:t>innovation tout en garantissant l</w:t>
      </w:r>
      <w:r w:rsidR="00EA3E31" w:rsidRPr="00E342F1">
        <w:rPr>
          <w:lang w:val="fr-CA"/>
        </w:rPr>
        <w:t>’</w:t>
      </w:r>
      <w:r w:rsidRPr="00E342F1">
        <w:rPr>
          <w:lang w:val="fr-CA"/>
        </w:rPr>
        <w:t>interopérabilité des systèmes numériques. Les conclusions soulignent le rôle essentiel de l</w:t>
      </w:r>
      <w:r w:rsidR="00EA3E31" w:rsidRPr="00E342F1">
        <w:rPr>
          <w:lang w:val="fr-CA"/>
        </w:rPr>
        <w:t>’</w:t>
      </w:r>
      <w:r w:rsidRPr="00E342F1">
        <w:rPr>
          <w:lang w:val="fr-CA"/>
        </w:rPr>
        <w:t>implication des personnes handicapées dans le processus de conception et de développement, de la promotion de l</w:t>
      </w:r>
      <w:r w:rsidR="00EA3E31" w:rsidRPr="00E342F1">
        <w:rPr>
          <w:lang w:val="fr-CA"/>
        </w:rPr>
        <w:t>’</w:t>
      </w:r>
      <w:r w:rsidRPr="00E342F1">
        <w:rPr>
          <w:lang w:val="fr-CA"/>
        </w:rPr>
        <w:t>empathie et de la compréhension parmi les développeurs, et de la création d</w:t>
      </w:r>
      <w:r w:rsidR="00EA3E31" w:rsidRPr="00E342F1">
        <w:rPr>
          <w:lang w:val="fr-CA"/>
        </w:rPr>
        <w:t>’</w:t>
      </w:r>
      <w:r w:rsidRPr="00E342F1">
        <w:rPr>
          <w:lang w:val="fr-CA"/>
        </w:rPr>
        <w:t>outils numériques adaptables et conviviaux.</w:t>
      </w:r>
    </w:p>
    <w:p w14:paraId="69FC6CF0" w14:textId="07BD5920" w:rsidR="00081EA0" w:rsidRPr="00E342F1" w:rsidRDefault="00081EA0" w:rsidP="00081EA0">
      <w:pPr>
        <w:rPr>
          <w:lang w:val="fr-CA"/>
        </w:rPr>
      </w:pPr>
      <w:r w:rsidRPr="00E342F1">
        <w:rPr>
          <w:lang w:val="fr-CA"/>
        </w:rPr>
        <w:t>Les stratégies proposées jusqu</w:t>
      </w:r>
      <w:r w:rsidR="00EA3E31" w:rsidRPr="00E342F1">
        <w:rPr>
          <w:lang w:val="fr-CA"/>
        </w:rPr>
        <w:t>’</w:t>
      </w:r>
      <w:r w:rsidRPr="00E342F1">
        <w:rPr>
          <w:lang w:val="fr-CA"/>
        </w:rPr>
        <w:t>à présent pour les règlements consolident ces thèmes en étapes réalisables, telles que l</w:t>
      </w:r>
      <w:r w:rsidR="00EA3E31" w:rsidRPr="00E342F1">
        <w:rPr>
          <w:lang w:val="fr-CA"/>
        </w:rPr>
        <w:t>’</w:t>
      </w:r>
      <w:r w:rsidRPr="00E342F1">
        <w:rPr>
          <w:lang w:val="fr-CA"/>
        </w:rPr>
        <w:t>établissement de conseils consultatifs, la mise en œuvre de normes dynamiques, l</w:t>
      </w:r>
      <w:r w:rsidR="00EA3E31" w:rsidRPr="00E342F1">
        <w:rPr>
          <w:lang w:val="fr-CA"/>
        </w:rPr>
        <w:t>’</w:t>
      </w:r>
      <w:r w:rsidRPr="00E342F1">
        <w:rPr>
          <w:lang w:val="fr-CA"/>
        </w:rPr>
        <w:t>encouragement de la liberté de création et la garantie d</w:t>
      </w:r>
      <w:r w:rsidR="00EA3E31" w:rsidRPr="00E342F1">
        <w:rPr>
          <w:lang w:val="fr-CA"/>
        </w:rPr>
        <w:t>’</w:t>
      </w:r>
      <w:r w:rsidRPr="00E342F1">
        <w:rPr>
          <w:lang w:val="fr-CA"/>
        </w:rPr>
        <w:t>une amélioration continue grâce au retour d</w:t>
      </w:r>
      <w:r w:rsidR="00EA3E31" w:rsidRPr="00E342F1">
        <w:rPr>
          <w:lang w:val="fr-CA"/>
        </w:rPr>
        <w:t>’</w:t>
      </w:r>
      <w:r w:rsidRPr="00E342F1">
        <w:rPr>
          <w:lang w:val="fr-CA"/>
        </w:rPr>
        <w:t>information des utilisateurs. Ces stratégies visent à créer un environnement numérique plus inclusif en favorisant le respect des normes, en encourageant l</w:t>
      </w:r>
      <w:r w:rsidR="00EA3E31" w:rsidRPr="00E342F1">
        <w:rPr>
          <w:lang w:val="fr-CA"/>
        </w:rPr>
        <w:t>’</w:t>
      </w:r>
      <w:r w:rsidRPr="00E342F1">
        <w:rPr>
          <w:lang w:val="fr-CA"/>
        </w:rPr>
        <w:t>innovation en matière d</w:t>
      </w:r>
      <w:r w:rsidR="00EA3E31" w:rsidRPr="00E342F1">
        <w:rPr>
          <w:lang w:val="fr-CA"/>
        </w:rPr>
        <w:t>’</w:t>
      </w:r>
      <w:r w:rsidRPr="00E342F1">
        <w:rPr>
          <w:lang w:val="fr-CA"/>
        </w:rPr>
        <w:t>accessibilité et en responsabilisant les personnes handicapées.</w:t>
      </w:r>
    </w:p>
    <w:p w14:paraId="13EC2023" w14:textId="418DD38D" w:rsidR="00081EA0" w:rsidRPr="00E342F1" w:rsidRDefault="00081EA0" w:rsidP="00081EA0">
      <w:pPr>
        <w:rPr>
          <w:lang w:val="fr-CA"/>
        </w:rPr>
      </w:pPr>
      <w:r w:rsidRPr="00E342F1">
        <w:rPr>
          <w:lang w:val="fr-CA"/>
        </w:rPr>
        <w:t>À l</w:t>
      </w:r>
      <w:r w:rsidR="00EA3E31" w:rsidRPr="00E342F1">
        <w:rPr>
          <w:lang w:val="fr-CA"/>
        </w:rPr>
        <w:t>’</w:t>
      </w:r>
      <w:r w:rsidRPr="00E342F1">
        <w:rPr>
          <w:lang w:val="fr-CA"/>
        </w:rPr>
        <w:t>avenir, le projet RlDN continuera à travailler avec les parties prenantes pour s</w:t>
      </w:r>
      <w:r w:rsidR="00EA3E31" w:rsidRPr="00E342F1">
        <w:rPr>
          <w:lang w:val="fr-CA"/>
        </w:rPr>
        <w:t>’</w:t>
      </w:r>
      <w:r w:rsidRPr="00E342F1">
        <w:rPr>
          <w:lang w:val="fr-CA"/>
        </w:rPr>
        <w:t>appuyer sur les stratégies issues des premières co-conceptions et pour réimaginer et itérer sur les approches réglementaires qui répondent aux défis identifiés. Ce faisant, le projet vise à améliorer de manière significative l</w:t>
      </w:r>
      <w:r w:rsidR="00EA3E31" w:rsidRPr="00E342F1">
        <w:rPr>
          <w:lang w:val="fr-CA"/>
        </w:rPr>
        <w:t>’</w:t>
      </w:r>
      <w:r w:rsidRPr="00E342F1">
        <w:rPr>
          <w:lang w:val="fr-CA"/>
        </w:rPr>
        <w:t>inclusion numérique et l</w:t>
      </w:r>
      <w:r w:rsidR="00EA3E31" w:rsidRPr="00E342F1">
        <w:rPr>
          <w:lang w:val="fr-CA"/>
        </w:rPr>
        <w:t>’</w:t>
      </w:r>
      <w:r w:rsidRPr="00E342F1">
        <w:rPr>
          <w:lang w:val="fr-CA"/>
        </w:rPr>
        <w:t>accessibilité des TIC, en informant finalement les Normes d</w:t>
      </w:r>
      <w:r w:rsidR="00EA3E31" w:rsidRPr="00E342F1">
        <w:rPr>
          <w:lang w:val="fr-CA"/>
        </w:rPr>
        <w:t>’</w:t>
      </w:r>
      <w:r w:rsidRPr="00E342F1">
        <w:rPr>
          <w:lang w:val="fr-CA"/>
        </w:rPr>
        <w:t>accessibilité du Canada sur les pratiques alternatives pour créer un monde numérique plus accessible.</w:t>
      </w:r>
    </w:p>
    <w:p w14:paraId="5CDBA350" w14:textId="77777777" w:rsidR="00B901E4" w:rsidRPr="00E342F1" w:rsidRDefault="00B901E4">
      <w:pPr>
        <w:rPr>
          <w:lang w:val="fr-CA"/>
        </w:rPr>
      </w:pPr>
    </w:p>
    <w:sectPr w:rsidR="00B901E4" w:rsidRPr="00E342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FB9DF" w14:textId="77777777" w:rsidR="00A11D07" w:rsidRPr="00726DEB" w:rsidRDefault="00A11D07">
      <w:pPr>
        <w:spacing w:after="0" w:line="240" w:lineRule="auto"/>
      </w:pPr>
      <w:r w:rsidRPr="00726DEB">
        <w:separator/>
      </w:r>
    </w:p>
  </w:endnote>
  <w:endnote w:type="continuationSeparator" w:id="0">
    <w:p w14:paraId="0A796998" w14:textId="77777777" w:rsidR="00A11D07" w:rsidRPr="00726DEB" w:rsidRDefault="00A11D07">
      <w:pPr>
        <w:spacing w:after="0" w:line="240" w:lineRule="auto"/>
      </w:pPr>
      <w:r w:rsidRPr="00726DEB">
        <w:continuationSeparator/>
      </w:r>
    </w:p>
  </w:endnote>
  <w:endnote w:type="continuationNotice" w:id="1">
    <w:p w14:paraId="6EA5F9D5" w14:textId="77777777" w:rsidR="00A11D07" w:rsidRPr="00726DEB" w:rsidRDefault="00A11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Montserrat Medium">
    <w:charset w:val="00"/>
    <w:family w:val="auto"/>
    <w:pitch w:val="variable"/>
    <w:sig w:usb0="2000020F" w:usb1="00000003" w:usb2="00000000" w:usb3="00000000" w:csb0="00000197"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9194764"/>
      <w:docPartObj>
        <w:docPartGallery w:val="Page Numbers (Bottom of Page)"/>
        <w:docPartUnique/>
      </w:docPartObj>
    </w:sdtPr>
    <w:sdtEndPr>
      <w:rPr>
        <w:rStyle w:val="PageNumber"/>
      </w:rPr>
    </w:sdtEndPr>
    <w:sdtContent>
      <w:p w14:paraId="5BC36C3A" w14:textId="559960A5" w:rsidR="00AE70E8" w:rsidRPr="00726DEB" w:rsidRDefault="00AE70E8">
        <w:pPr>
          <w:pStyle w:val="Footer"/>
          <w:framePr w:wrap="none" w:vAnchor="text" w:hAnchor="margin" w:xAlign="right" w:y="1"/>
          <w:rPr>
            <w:rStyle w:val="PageNumber"/>
          </w:rPr>
        </w:pPr>
        <w:r w:rsidRPr="00726DEB">
          <w:rPr>
            <w:rStyle w:val="PageNumber"/>
          </w:rPr>
          <w:fldChar w:fldCharType="begin"/>
        </w:r>
        <w:r w:rsidRPr="00726DEB">
          <w:rPr>
            <w:rStyle w:val="PageNumber"/>
          </w:rPr>
          <w:instrText xml:space="preserve"> PAGE </w:instrText>
        </w:r>
        <w:r w:rsidRPr="00726DEB">
          <w:rPr>
            <w:rStyle w:val="PageNumber"/>
          </w:rPr>
          <w:fldChar w:fldCharType="separate"/>
        </w:r>
        <w:r w:rsidR="00BB3804" w:rsidRPr="00726DEB">
          <w:rPr>
            <w:rStyle w:val="PageNumber"/>
          </w:rPr>
          <w:t>1</w:t>
        </w:r>
        <w:r w:rsidRPr="00726DEB">
          <w:rPr>
            <w:rStyle w:val="PageNumber"/>
          </w:rPr>
          <w:fldChar w:fldCharType="end"/>
        </w:r>
      </w:p>
    </w:sdtContent>
  </w:sdt>
  <w:p w14:paraId="731BDC56" w14:textId="77777777" w:rsidR="00AE70E8" w:rsidRPr="00726DEB" w:rsidRDefault="00AE7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AC024" w14:textId="31C029D1" w:rsidR="00AE70E8" w:rsidRPr="00466A2F" w:rsidRDefault="002E4C7B" w:rsidP="002E4C7B">
    <w:pPr>
      <w:pStyle w:val="Header"/>
      <w:rPr>
        <w:sz w:val="20"/>
        <w:szCs w:val="20"/>
        <w:lang w:val="fr-CA"/>
      </w:rPr>
    </w:pPr>
    <w:r w:rsidRPr="00466A2F">
      <w:rPr>
        <w:b/>
        <w:bCs/>
        <w:lang w:val="fr-CA"/>
      </w:rPr>
      <w:fldChar w:fldCharType="begin"/>
    </w:r>
    <w:r w:rsidRPr="00466A2F">
      <w:rPr>
        <w:b/>
        <w:bCs/>
        <w:lang w:val="fr-CA"/>
      </w:rPr>
      <w:instrText xml:space="preserve"> PAGE </w:instrText>
    </w:r>
    <w:r w:rsidRPr="00466A2F">
      <w:rPr>
        <w:b/>
        <w:bCs/>
        <w:lang w:val="fr-CA"/>
      </w:rPr>
      <w:fldChar w:fldCharType="separate"/>
    </w:r>
    <w:r w:rsidRPr="00466A2F">
      <w:rPr>
        <w:b/>
        <w:bCs/>
        <w:lang w:val="fr-CA"/>
      </w:rPr>
      <w:t>1</w:t>
    </w:r>
    <w:r w:rsidRPr="00466A2F">
      <w:rPr>
        <w:b/>
        <w:bCs/>
        <w:lang w:val="fr-CA"/>
      </w:rPr>
      <w:fldChar w:fldCharType="end"/>
    </w:r>
    <w:r w:rsidRPr="00466A2F">
      <w:rPr>
        <w:lang w:val="fr-CA"/>
      </w:rPr>
      <w:t xml:space="preserve"> </w:t>
    </w:r>
    <w:r w:rsidRPr="00466A2F">
      <w:rPr>
        <w:sz w:val="20"/>
        <w:szCs w:val="20"/>
        <w:lang w:val="fr-CA"/>
      </w:rPr>
      <w:t>of</w:t>
    </w:r>
    <w:r w:rsidRPr="00466A2F">
      <w:rPr>
        <w:lang w:val="fr-CA"/>
      </w:rPr>
      <w:t xml:space="preserve"> </w:t>
    </w:r>
    <w:r w:rsidRPr="00466A2F">
      <w:rPr>
        <w:lang w:val="fr-CA"/>
      </w:rPr>
      <w:fldChar w:fldCharType="begin"/>
    </w:r>
    <w:r w:rsidRPr="00466A2F">
      <w:rPr>
        <w:lang w:val="fr-CA"/>
      </w:rPr>
      <w:instrText xml:space="preserve"> NUMPAGES </w:instrText>
    </w:r>
    <w:r w:rsidRPr="00466A2F">
      <w:rPr>
        <w:lang w:val="fr-CA"/>
      </w:rPr>
      <w:fldChar w:fldCharType="separate"/>
    </w:r>
    <w:r w:rsidRPr="00466A2F">
      <w:rPr>
        <w:lang w:val="fr-CA"/>
      </w:rPr>
      <w:t>9</w:t>
    </w:r>
    <w:r w:rsidRPr="00466A2F">
      <w:rPr>
        <w:lang w:val="fr-CA"/>
      </w:rPr>
      <w:fldChar w:fldCharType="end"/>
    </w:r>
    <w:r w:rsidRPr="00466A2F">
      <w:rPr>
        <w:sz w:val="20"/>
        <w:szCs w:val="20"/>
        <w:lang w:val="fr-CA"/>
      </w:rPr>
      <w:t xml:space="preserve">      </w:t>
    </w:r>
    <w:r w:rsidR="00386BC5" w:rsidRPr="00466A2F">
      <w:rPr>
        <w:sz w:val="20"/>
        <w:szCs w:val="20"/>
        <w:lang w:val="fr-CA"/>
      </w:rPr>
      <w:t>Réguler le domaine numérique</w:t>
    </w:r>
    <w:r w:rsidRPr="00466A2F">
      <w:rPr>
        <w:sz w:val="20"/>
        <w:szCs w:val="20"/>
        <w:lang w:val="fr-CA"/>
      </w:rPr>
      <w:t xml:space="preserve">  </w:t>
    </w:r>
    <w:r w:rsidRPr="00466A2F">
      <w:rPr>
        <w:b/>
        <w:bCs/>
        <w:sz w:val="20"/>
        <w:szCs w:val="20"/>
        <w:lang w:val="fr-CA"/>
      </w:rPr>
      <w:t>/</w:t>
    </w:r>
    <w:r w:rsidRPr="00466A2F">
      <w:rPr>
        <w:sz w:val="20"/>
        <w:szCs w:val="20"/>
        <w:lang w:val="fr-CA"/>
      </w:rPr>
      <w:t xml:space="preserve">  Inclusive Design Research Centre  </w:t>
    </w:r>
    <w:r w:rsidRPr="00466A2F">
      <w:rPr>
        <w:b/>
        <w:bCs/>
        <w:sz w:val="20"/>
        <w:szCs w:val="20"/>
        <w:lang w:val="fr-CA"/>
      </w:rPr>
      <w:t>/</w:t>
    </w:r>
    <w:r w:rsidRPr="00466A2F">
      <w:rPr>
        <w:sz w:val="20"/>
        <w:szCs w:val="20"/>
        <w:lang w:val="fr-CA"/>
      </w:rPr>
      <w:t xml:space="preserve">  </w:t>
    </w:r>
    <w:r w:rsidR="00386BC5" w:rsidRPr="00466A2F">
      <w:rPr>
        <w:sz w:val="20"/>
        <w:szCs w:val="20"/>
        <w:lang w:val="fr-CA"/>
      </w:rPr>
      <w:t>Co-conception 2 Résultats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9098A" w14:textId="77777777" w:rsidR="00D6560F" w:rsidRPr="00726DEB" w:rsidRDefault="00D6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3E9C5" w14:textId="77777777" w:rsidR="00A11D07" w:rsidRPr="00726DEB" w:rsidRDefault="00A11D07">
      <w:pPr>
        <w:spacing w:after="0" w:line="240" w:lineRule="auto"/>
      </w:pPr>
      <w:r w:rsidRPr="00726DEB">
        <w:separator/>
      </w:r>
    </w:p>
  </w:footnote>
  <w:footnote w:type="continuationSeparator" w:id="0">
    <w:p w14:paraId="799B2D5A" w14:textId="77777777" w:rsidR="00A11D07" w:rsidRPr="00726DEB" w:rsidRDefault="00A11D07">
      <w:pPr>
        <w:spacing w:after="0" w:line="240" w:lineRule="auto"/>
      </w:pPr>
      <w:r w:rsidRPr="00726DEB">
        <w:continuationSeparator/>
      </w:r>
    </w:p>
  </w:footnote>
  <w:footnote w:type="continuationNotice" w:id="1">
    <w:p w14:paraId="01E0B7E3" w14:textId="77777777" w:rsidR="00A11D07" w:rsidRPr="00726DEB" w:rsidRDefault="00A11D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6542"/>
    <w:multiLevelType w:val="hybridMultilevel"/>
    <w:tmpl w:val="41A4BE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63AD2"/>
    <w:multiLevelType w:val="hybridMultilevel"/>
    <w:tmpl w:val="6C2ADF16"/>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419B9"/>
    <w:multiLevelType w:val="hybridMultilevel"/>
    <w:tmpl w:val="798A1AB0"/>
    <w:lvl w:ilvl="0" w:tplc="E6A03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768C6"/>
    <w:multiLevelType w:val="hybridMultilevel"/>
    <w:tmpl w:val="9216D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A622B"/>
    <w:multiLevelType w:val="hybridMultilevel"/>
    <w:tmpl w:val="9A2C2A80"/>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BD054BE"/>
    <w:multiLevelType w:val="hybridMultilevel"/>
    <w:tmpl w:val="A4B6851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BEB792C"/>
    <w:multiLevelType w:val="hybridMultilevel"/>
    <w:tmpl w:val="2BDA996E"/>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3A30FD"/>
    <w:multiLevelType w:val="hybridMultilevel"/>
    <w:tmpl w:val="B9B60D38"/>
    <w:lvl w:ilvl="0" w:tplc="0409000F">
      <w:start w:val="1"/>
      <w:numFmt w:val="decimal"/>
      <w:lvlText w:val="%1."/>
      <w:lvlJc w:val="left"/>
      <w:pPr>
        <w:ind w:left="720" w:hanging="360"/>
      </w:pPr>
    </w:lvl>
    <w:lvl w:ilvl="1" w:tplc="994C9F86">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D9244AB"/>
    <w:multiLevelType w:val="hybridMultilevel"/>
    <w:tmpl w:val="30E66954"/>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92C8C"/>
    <w:multiLevelType w:val="hybridMultilevel"/>
    <w:tmpl w:val="6BA8A96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4FD7174"/>
    <w:multiLevelType w:val="hybridMultilevel"/>
    <w:tmpl w:val="6E8C93AC"/>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C79EA"/>
    <w:multiLevelType w:val="hybridMultilevel"/>
    <w:tmpl w:val="44ACD786"/>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43568"/>
    <w:multiLevelType w:val="multilevel"/>
    <w:tmpl w:val="B596C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97023"/>
    <w:multiLevelType w:val="hybridMultilevel"/>
    <w:tmpl w:val="58622EE6"/>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D7B84"/>
    <w:multiLevelType w:val="hybridMultilevel"/>
    <w:tmpl w:val="74AE94EE"/>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F0DF4"/>
    <w:multiLevelType w:val="hybridMultilevel"/>
    <w:tmpl w:val="D31C6D46"/>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D3F1ED2"/>
    <w:multiLevelType w:val="hybridMultilevel"/>
    <w:tmpl w:val="21D43444"/>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F3316"/>
    <w:multiLevelType w:val="hybridMultilevel"/>
    <w:tmpl w:val="E634083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E543F03"/>
    <w:multiLevelType w:val="hybridMultilevel"/>
    <w:tmpl w:val="3AE01E12"/>
    <w:styleLink w:val="CurrentList1"/>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1779A8"/>
    <w:multiLevelType w:val="hybridMultilevel"/>
    <w:tmpl w:val="CB980468"/>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03E17C4"/>
    <w:multiLevelType w:val="hybridMultilevel"/>
    <w:tmpl w:val="EBC0E5B2"/>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19518E7"/>
    <w:multiLevelType w:val="hybridMultilevel"/>
    <w:tmpl w:val="2AB47F5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2195569"/>
    <w:multiLevelType w:val="hybridMultilevel"/>
    <w:tmpl w:val="BBB0D4CE"/>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8274CA"/>
    <w:multiLevelType w:val="hybridMultilevel"/>
    <w:tmpl w:val="F4C004F0"/>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3B211D7"/>
    <w:multiLevelType w:val="hybridMultilevel"/>
    <w:tmpl w:val="217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3D3CF3"/>
    <w:multiLevelType w:val="hybridMultilevel"/>
    <w:tmpl w:val="E41A5E8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5864079"/>
    <w:multiLevelType w:val="hybridMultilevel"/>
    <w:tmpl w:val="56847336"/>
    <w:lvl w:ilvl="0" w:tplc="10FCD72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67168C9"/>
    <w:multiLevelType w:val="hybridMultilevel"/>
    <w:tmpl w:val="742AD4A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74114E3"/>
    <w:multiLevelType w:val="hybridMultilevel"/>
    <w:tmpl w:val="F894D8AE"/>
    <w:lvl w:ilvl="0" w:tplc="23B8BF3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755F34"/>
    <w:multiLevelType w:val="hybridMultilevel"/>
    <w:tmpl w:val="4A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D0161C"/>
    <w:multiLevelType w:val="hybridMultilevel"/>
    <w:tmpl w:val="8096800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9D75CE1"/>
    <w:multiLevelType w:val="hybridMultilevel"/>
    <w:tmpl w:val="00B6A11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D1129BD"/>
    <w:multiLevelType w:val="hybridMultilevel"/>
    <w:tmpl w:val="F434F292"/>
    <w:lvl w:ilvl="0" w:tplc="E6A03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292BCE"/>
    <w:multiLevelType w:val="hybridMultilevel"/>
    <w:tmpl w:val="4D42574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D6E0E53"/>
    <w:multiLevelType w:val="hybridMultilevel"/>
    <w:tmpl w:val="CA56DE36"/>
    <w:lvl w:ilvl="0" w:tplc="028882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607E59"/>
    <w:multiLevelType w:val="hybridMultilevel"/>
    <w:tmpl w:val="C1AA1C8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323B4C2F"/>
    <w:multiLevelType w:val="hybridMultilevel"/>
    <w:tmpl w:val="BD46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533451"/>
    <w:multiLevelType w:val="hybridMultilevel"/>
    <w:tmpl w:val="85266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444C9"/>
    <w:multiLevelType w:val="multilevel"/>
    <w:tmpl w:val="076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740B40"/>
    <w:multiLevelType w:val="hybridMultilevel"/>
    <w:tmpl w:val="489C0338"/>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854384B"/>
    <w:multiLevelType w:val="hybridMultilevel"/>
    <w:tmpl w:val="94FC105E"/>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4D6C3F"/>
    <w:multiLevelType w:val="multilevel"/>
    <w:tmpl w:val="53901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395246FF"/>
    <w:multiLevelType w:val="hybridMultilevel"/>
    <w:tmpl w:val="E4760276"/>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BA1FA8"/>
    <w:multiLevelType w:val="hybridMultilevel"/>
    <w:tmpl w:val="7458C784"/>
    <w:styleLink w:val="CurrentList2"/>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397797"/>
    <w:multiLevelType w:val="hybridMultilevel"/>
    <w:tmpl w:val="41A4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256152"/>
    <w:multiLevelType w:val="hybridMultilevel"/>
    <w:tmpl w:val="88162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713113"/>
    <w:multiLevelType w:val="hybridMultilevel"/>
    <w:tmpl w:val="FC2CBF4C"/>
    <w:lvl w:ilvl="0" w:tplc="E6A03E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344457E"/>
    <w:multiLevelType w:val="hybridMultilevel"/>
    <w:tmpl w:val="6F662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3A431BC"/>
    <w:multiLevelType w:val="hybridMultilevel"/>
    <w:tmpl w:val="5346FC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46D05BB3"/>
    <w:multiLevelType w:val="hybridMultilevel"/>
    <w:tmpl w:val="D818C0AE"/>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6E03A86"/>
    <w:multiLevelType w:val="hybridMultilevel"/>
    <w:tmpl w:val="B7524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738758A"/>
    <w:multiLevelType w:val="hybridMultilevel"/>
    <w:tmpl w:val="918A083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47664637"/>
    <w:multiLevelType w:val="hybridMultilevel"/>
    <w:tmpl w:val="36E419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A4E6624"/>
    <w:multiLevelType w:val="multilevel"/>
    <w:tmpl w:val="7C9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6F7381"/>
    <w:multiLevelType w:val="hybridMultilevel"/>
    <w:tmpl w:val="B09E2CE8"/>
    <w:lvl w:ilvl="0" w:tplc="10FCD72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4EF00F15"/>
    <w:multiLevelType w:val="hybridMultilevel"/>
    <w:tmpl w:val="63CE50B8"/>
    <w:lvl w:ilvl="0" w:tplc="E6A03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B810C6"/>
    <w:multiLevelType w:val="hybridMultilevel"/>
    <w:tmpl w:val="671050E0"/>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E55F99"/>
    <w:multiLevelType w:val="hybridMultilevel"/>
    <w:tmpl w:val="8EDC0BC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8" w15:restartNumberingAfterBreak="0">
    <w:nsid w:val="53D55BA0"/>
    <w:multiLevelType w:val="multilevel"/>
    <w:tmpl w:val="108C17EA"/>
    <w:lvl w:ilvl="0">
      <w:start w:val="1"/>
      <w:numFmt w:val="bullet"/>
      <w:lvlText w:val=""/>
      <w:lvlJc w:val="left"/>
      <w:pPr>
        <w:ind w:left="432" w:hanging="432"/>
      </w:pPr>
      <w:rPr>
        <w:rFonts w:ascii="Symbol" w:hAnsi="Symbol" w:hint="default"/>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54F61BDE"/>
    <w:multiLevelType w:val="hybridMultilevel"/>
    <w:tmpl w:val="B3ECF53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58311FE4"/>
    <w:multiLevelType w:val="hybridMultilevel"/>
    <w:tmpl w:val="4340627E"/>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A033BF"/>
    <w:multiLevelType w:val="hybridMultilevel"/>
    <w:tmpl w:val="B41651BA"/>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901F79"/>
    <w:multiLevelType w:val="multilevel"/>
    <w:tmpl w:val="5B2613BA"/>
    <w:styleLink w:val="1ai"/>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D665CFB"/>
    <w:multiLevelType w:val="hybridMultilevel"/>
    <w:tmpl w:val="5950E5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E883F83"/>
    <w:multiLevelType w:val="hybridMultilevel"/>
    <w:tmpl w:val="50203DD0"/>
    <w:lvl w:ilvl="0" w:tplc="E6A03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CE42E3"/>
    <w:multiLevelType w:val="multilevel"/>
    <w:tmpl w:val="9C9A565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6" w15:restartNumberingAfterBreak="0">
    <w:nsid w:val="6034062C"/>
    <w:multiLevelType w:val="hybridMultilevel"/>
    <w:tmpl w:val="F2703DDA"/>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7A5634"/>
    <w:multiLevelType w:val="hybridMultilevel"/>
    <w:tmpl w:val="B8727FB6"/>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231489C"/>
    <w:multiLevelType w:val="hybridMultilevel"/>
    <w:tmpl w:val="7458C784"/>
    <w:styleLink w:val="CurrentList3"/>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2630E8"/>
    <w:multiLevelType w:val="hybridMultilevel"/>
    <w:tmpl w:val="E0A25940"/>
    <w:lvl w:ilvl="0" w:tplc="092ACF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5A7D5B"/>
    <w:multiLevelType w:val="hybridMultilevel"/>
    <w:tmpl w:val="A48894CC"/>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5F4A56"/>
    <w:multiLevelType w:val="hybridMultilevel"/>
    <w:tmpl w:val="06CE4D42"/>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88450C9"/>
    <w:multiLevelType w:val="hybridMultilevel"/>
    <w:tmpl w:val="F4285562"/>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A11757"/>
    <w:multiLevelType w:val="hybridMultilevel"/>
    <w:tmpl w:val="4F2CC09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6C5558D0"/>
    <w:multiLevelType w:val="hybridMultilevel"/>
    <w:tmpl w:val="C37272D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6E2C6BE1"/>
    <w:multiLevelType w:val="hybridMultilevel"/>
    <w:tmpl w:val="1C6009D6"/>
    <w:lvl w:ilvl="0" w:tplc="DF707B94">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10D56D7"/>
    <w:multiLevelType w:val="hybridMultilevel"/>
    <w:tmpl w:val="617E915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3060917"/>
    <w:multiLevelType w:val="hybridMultilevel"/>
    <w:tmpl w:val="AD7C0268"/>
    <w:lvl w:ilvl="0" w:tplc="DF707B9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7041760"/>
    <w:multiLevelType w:val="hybridMultilevel"/>
    <w:tmpl w:val="EC2E589E"/>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BE7345"/>
    <w:multiLevelType w:val="hybridMultilevel"/>
    <w:tmpl w:val="027EE888"/>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D98018F"/>
    <w:multiLevelType w:val="hybridMultilevel"/>
    <w:tmpl w:val="11925A6C"/>
    <w:lvl w:ilvl="0" w:tplc="23B8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7D33F2"/>
    <w:multiLevelType w:val="hybridMultilevel"/>
    <w:tmpl w:val="FF2CD94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35155506">
    <w:abstractNumId w:val="29"/>
  </w:num>
  <w:num w:numId="2" w16cid:durableId="2065908598">
    <w:abstractNumId w:val="52"/>
  </w:num>
  <w:num w:numId="3" w16cid:durableId="1461919238">
    <w:abstractNumId w:val="75"/>
  </w:num>
  <w:num w:numId="4" w16cid:durableId="1635790491">
    <w:abstractNumId w:val="18"/>
  </w:num>
  <w:num w:numId="5" w16cid:durableId="392199474">
    <w:abstractNumId w:val="43"/>
  </w:num>
  <w:num w:numId="6" w16cid:durableId="1257402078">
    <w:abstractNumId w:val="68"/>
  </w:num>
  <w:num w:numId="7" w16cid:durableId="757795097">
    <w:abstractNumId w:val="62"/>
  </w:num>
  <w:num w:numId="8" w16cid:durableId="1135753175">
    <w:abstractNumId w:val="76"/>
  </w:num>
  <w:num w:numId="9" w16cid:durableId="1773238603">
    <w:abstractNumId w:val="81"/>
  </w:num>
  <w:num w:numId="10" w16cid:durableId="2026441236">
    <w:abstractNumId w:val="77"/>
  </w:num>
  <w:num w:numId="11" w16cid:durableId="205915342">
    <w:abstractNumId w:val="5"/>
  </w:num>
  <w:num w:numId="12" w16cid:durableId="1291663903">
    <w:abstractNumId w:val="58"/>
  </w:num>
  <w:num w:numId="13" w16cid:durableId="162399983">
    <w:abstractNumId w:val="27"/>
  </w:num>
  <w:num w:numId="14" w16cid:durableId="575094615">
    <w:abstractNumId w:val="33"/>
  </w:num>
  <w:num w:numId="15" w16cid:durableId="667943554">
    <w:abstractNumId w:val="74"/>
  </w:num>
  <w:num w:numId="16" w16cid:durableId="193227776">
    <w:abstractNumId w:val="15"/>
  </w:num>
  <w:num w:numId="17" w16cid:durableId="2078816816">
    <w:abstractNumId w:val="4"/>
  </w:num>
  <w:num w:numId="18" w16cid:durableId="29959614">
    <w:abstractNumId w:val="23"/>
  </w:num>
  <w:num w:numId="19" w16cid:durableId="1974483612">
    <w:abstractNumId w:val="20"/>
  </w:num>
  <w:num w:numId="20" w16cid:durableId="674772175">
    <w:abstractNumId w:val="25"/>
  </w:num>
  <w:num w:numId="21" w16cid:durableId="1071271831">
    <w:abstractNumId w:val="9"/>
  </w:num>
  <w:num w:numId="22" w16cid:durableId="1118766312">
    <w:abstractNumId w:val="73"/>
  </w:num>
  <w:num w:numId="23" w16cid:durableId="1285041613">
    <w:abstractNumId w:val="49"/>
  </w:num>
  <w:num w:numId="24" w16cid:durableId="257758433">
    <w:abstractNumId w:val="39"/>
  </w:num>
  <w:num w:numId="25" w16cid:durableId="90900580">
    <w:abstractNumId w:val="19"/>
  </w:num>
  <w:num w:numId="26" w16cid:durableId="24450285">
    <w:abstractNumId w:val="1"/>
  </w:num>
  <w:num w:numId="27" w16cid:durableId="1181434957">
    <w:abstractNumId w:val="6"/>
  </w:num>
  <w:num w:numId="28" w16cid:durableId="2122454985">
    <w:abstractNumId w:val="17"/>
  </w:num>
  <w:num w:numId="29" w16cid:durableId="1444298665">
    <w:abstractNumId w:val="38"/>
  </w:num>
  <w:num w:numId="30" w16cid:durableId="391781316">
    <w:abstractNumId w:val="12"/>
  </w:num>
  <w:num w:numId="31" w16cid:durableId="417412050">
    <w:abstractNumId w:val="48"/>
  </w:num>
  <w:num w:numId="32" w16cid:durableId="336618047">
    <w:abstractNumId w:val="65"/>
  </w:num>
  <w:num w:numId="33" w16cid:durableId="1190798042">
    <w:abstractNumId w:val="50"/>
  </w:num>
  <w:num w:numId="34" w16cid:durableId="93476003">
    <w:abstractNumId w:val="41"/>
  </w:num>
  <w:num w:numId="35" w16cid:durableId="1179583921">
    <w:abstractNumId w:val="7"/>
  </w:num>
  <w:num w:numId="36" w16cid:durableId="122116100">
    <w:abstractNumId w:val="51"/>
  </w:num>
  <w:num w:numId="37" w16cid:durableId="1942907018">
    <w:abstractNumId w:val="57"/>
  </w:num>
  <w:num w:numId="38" w16cid:durableId="592980548">
    <w:abstractNumId w:val="21"/>
  </w:num>
  <w:num w:numId="39" w16cid:durableId="1588611221">
    <w:abstractNumId w:val="47"/>
  </w:num>
  <w:num w:numId="40" w16cid:durableId="1706516024">
    <w:abstractNumId w:val="59"/>
  </w:num>
  <w:num w:numId="41" w16cid:durableId="1508715914">
    <w:abstractNumId w:val="54"/>
  </w:num>
  <w:num w:numId="42" w16cid:durableId="1150756076">
    <w:abstractNumId w:val="35"/>
  </w:num>
  <w:num w:numId="43" w16cid:durableId="1226067430">
    <w:abstractNumId w:val="26"/>
  </w:num>
  <w:num w:numId="44" w16cid:durableId="1172911070">
    <w:abstractNumId w:val="65"/>
  </w:num>
  <w:num w:numId="45" w16cid:durableId="753429911">
    <w:abstractNumId w:val="65"/>
  </w:num>
  <w:num w:numId="46" w16cid:durableId="257719536">
    <w:abstractNumId w:val="53"/>
  </w:num>
  <w:num w:numId="47" w16cid:durableId="2132550351">
    <w:abstractNumId w:val="28"/>
  </w:num>
  <w:num w:numId="48" w16cid:durableId="1407386403">
    <w:abstractNumId w:val="69"/>
  </w:num>
  <w:num w:numId="49" w16cid:durableId="1179930796">
    <w:abstractNumId w:val="63"/>
  </w:num>
  <w:num w:numId="50" w16cid:durableId="888299766">
    <w:abstractNumId w:val="3"/>
  </w:num>
  <w:num w:numId="51" w16cid:durableId="939214198">
    <w:abstractNumId w:val="34"/>
  </w:num>
  <w:num w:numId="52" w16cid:durableId="155727243">
    <w:abstractNumId w:val="45"/>
  </w:num>
  <w:num w:numId="53" w16cid:durableId="264308138">
    <w:abstractNumId w:val="32"/>
  </w:num>
  <w:num w:numId="54" w16cid:durableId="1872303159">
    <w:abstractNumId w:val="64"/>
  </w:num>
  <w:num w:numId="55" w16cid:durableId="265699443">
    <w:abstractNumId w:val="44"/>
  </w:num>
  <w:num w:numId="56" w16cid:durableId="812257018">
    <w:abstractNumId w:val="55"/>
  </w:num>
  <w:num w:numId="57" w16cid:durableId="842667579">
    <w:abstractNumId w:val="46"/>
  </w:num>
  <w:num w:numId="58" w16cid:durableId="1468281993">
    <w:abstractNumId w:val="0"/>
  </w:num>
  <w:num w:numId="59" w16cid:durableId="1552377410">
    <w:abstractNumId w:val="31"/>
  </w:num>
  <w:num w:numId="60" w16cid:durableId="1431047456">
    <w:abstractNumId w:val="30"/>
  </w:num>
  <w:num w:numId="61" w16cid:durableId="1390616568">
    <w:abstractNumId w:val="24"/>
  </w:num>
  <w:num w:numId="62" w16cid:durableId="1950506538">
    <w:abstractNumId w:val="37"/>
  </w:num>
  <w:num w:numId="63" w16cid:durableId="1433474427">
    <w:abstractNumId w:val="2"/>
  </w:num>
  <w:num w:numId="64" w16cid:durableId="2142261136">
    <w:abstractNumId w:val="11"/>
  </w:num>
  <w:num w:numId="65" w16cid:durableId="1809935220">
    <w:abstractNumId w:val="14"/>
  </w:num>
  <w:num w:numId="66" w16cid:durableId="949165537">
    <w:abstractNumId w:val="80"/>
  </w:num>
  <w:num w:numId="67" w16cid:durableId="1493833243">
    <w:abstractNumId w:val="42"/>
  </w:num>
  <w:num w:numId="68" w16cid:durableId="1094403073">
    <w:abstractNumId w:val="13"/>
  </w:num>
  <w:num w:numId="69" w16cid:durableId="1498381774">
    <w:abstractNumId w:val="10"/>
  </w:num>
  <w:num w:numId="70" w16cid:durableId="1097211942">
    <w:abstractNumId w:val="8"/>
  </w:num>
  <w:num w:numId="71" w16cid:durableId="234319186">
    <w:abstractNumId w:val="40"/>
  </w:num>
  <w:num w:numId="72" w16cid:durableId="2078091952">
    <w:abstractNumId w:val="60"/>
  </w:num>
  <w:num w:numId="73" w16cid:durableId="525557718">
    <w:abstractNumId w:val="56"/>
  </w:num>
  <w:num w:numId="74" w16cid:durableId="1066143758">
    <w:abstractNumId w:val="22"/>
  </w:num>
  <w:num w:numId="75" w16cid:durableId="358824362">
    <w:abstractNumId w:val="79"/>
  </w:num>
  <w:num w:numId="76" w16cid:durableId="10495464">
    <w:abstractNumId w:val="67"/>
  </w:num>
  <w:num w:numId="77" w16cid:durableId="1183518192">
    <w:abstractNumId w:val="61"/>
  </w:num>
  <w:num w:numId="78" w16cid:durableId="5182107">
    <w:abstractNumId w:val="70"/>
  </w:num>
  <w:num w:numId="79" w16cid:durableId="1171485522">
    <w:abstractNumId w:val="71"/>
  </w:num>
  <w:num w:numId="80" w16cid:durableId="1256673280">
    <w:abstractNumId w:val="72"/>
  </w:num>
  <w:num w:numId="81" w16cid:durableId="765882572">
    <w:abstractNumId w:val="16"/>
  </w:num>
  <w:num w:numId="82" w16cid:durableId="2002002851">
    <w:abstractNumId w:val="66"/>
  </w:num>
  <w:num w:numId="83" w16cid:durableId="1929193548">
    <w:abstractNumId w:val="36"/>
  </w:num>
  <w:num w:numId="84" w16cid:durableId="1178933529">
    <w:abstractNumId w:val="7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E8"/>
    <w:rsid w:val="00000A2A"/>
    <w:rsid w:val="00001C85"/>
    <w:rsid w:val="000127EF"/>
    <w:rsid w:val="00012BC3"/>
    <w:rsid w:val="000138F5"/>
    <w:rsid w:val="0002127C"/>
    <w:rsid w:val="00024614"/>
    <w:rsid w:val="00025C7F"/>
    <w:rsid w:val="00026DF8"/>
    <w:rsid w:val="000315ED"/>
    <w:rsid w:val="00035980"/>
    <w:rsid w:val="00035E26"/>
    <w:rsid w:val="00040DCB"/>
    <w:rsid w:val="0004437A"/>
    <w:rsid w:val="0004494E"/>
    <w:rsid w:val="0005146F"/>
    <w:rsid w:val="000531BC"/>
    <w:rsid w:val="0005431F"/>
    <w:rsid w:val="00054D33"/>
    <w:rsid w:val="000578E4"/>
    <w:rsid w:val="00060120"/>
    <w:rsid w:val="00061A31"/>
    <w:rsid w:val="00073ACF"/>
    <w:rsid w:val="00074BC6"/>
    <w:rsid w:val="000759AD"/>
    <w:rsid w:val="00076566"/>
    <w:rsid w:val="00081EA0"/>
    <w:rsid w:val="00083DA4"/>
    <w:rsid w:val="00086727"/>
    <w:rsid w:val="00092D7A"/>
    <w:rsid w:val="00094E99"/>
    <w:rsid w:val="000964F1"/>
    <w:rsid w:val="00097BBA"/>
    <w:rsid w:val="000A0256"/>
    <w:rsid w:val="000A4E4A"/>
    <w:rsid w:val="000A66B2"/>
    <w:rsid w:val="000B3461"/>
    <w:rsid w:val="000B4BE1"/>
    <w:rsid w:val="000C1E56"/>
    <w:rsid w:val="000C7700"/>
    <w:rsid w:val="000D0479"/>
    <w:rsid w:val="000D0BCB"/>
    <w:rsid w:val="000D19E6"/>
    <w:rsid w:val="000D6B80"/>
    <w:rsid w:val="000E15C1"/>
    <w:rsid w:val="000E2AFF"/>
    <w:rsid w:val="000E41AB"/>
    <w:rsid w:val="000F5A79"/>
    <w:rsid w:val="000F64BA"/>
    <w:rsid w:val="000F7186"/>
    <w:rsid w:val="00104C9C"/>
    <w:rsid w:val="001074BF"/>
    <w:rsid w:val="00113022"/>
    <w:rsid w:val="001137CE"/>
    <w:rsid w:val="00115A04"/>
    <w:rsid w:val="00117067"/>
    <w:rsid w:val="00117333"/>
    <w:rsid w:val="00122F03"/>
    <w:rsid w:val="001276D5"/>
    <w:rsid w:val="00144F3A"/>
    <w:rsid w:val="001467E1"/>
    <w:rsid w:val="00147A22"/>
    <w:rsid w:val="00162901"/>
    <w:rsid w:val="00165C7F"/>
    <w:rsid w:val="00166664"/>
    <w:rsid w:val="00166AE5"/>
    <w:rsid w:val="00170294"/>
    <w:rsid w:val="00170AA3"/>
    <w:rsid w:val="0017476A"/>
    <w:rsid w:val="001806F2"/>
    <w:rsid w:val="00186FA8"/>
    <w:rsid w:val="00190322"/>
    <w:rsid w:val="00195767"/>
    <w:rsid w:val="00196ACB"/>
    <w:rsid w:val="001A1F89"/>
    <w:rsid w:val="001A7A12"/>
    <w:rsid w:val="001B4F39"/>
    <w:rsid w:val="001B5793"/>
    <w:rsid w:val="001C45F7"/>
    <w:rsid w:val="001C7426"/>
    <w:rsid w:val="001D60D1"/>
    <w:rsid w:val="001D6A7A"/>
    <w:rsid w:val="001E5709"/>
    <w:rsid w:val="001E6505"/>
    <w:rsid w:val="001F33C3"/>
    <w:rsid w:val="001F4D24"/>
    <w:rsid w:val="001F567F"/>
    <w:rsid w:val="00200248"/>
    <w:rsid w:val="002037A1"/>
    <w:rsid w:val="002062F1"/>
    <w:rsid w:val="0021396C"/>
    <w:rsid w:val="00213B6D"/>
    <w:rsid w:val="00222044"/>
    <w:rsid w:val="002242FB"/>
    <w:rsid w:val="00225E2C"/>
    <w:rsid w:val="002331F5"/>
    <w:rsid w:val="002334A2"/>
    <w:rsid w:val="00240A1F"/>
    <w:rsid w:val="00250C0D"/>
    <w:rsid w:val="0026743A"/>
    <w:rsid w:val="0028103B"/>
    <w:rsid w:val="00281DE5"/>
    <w:rsid w:val="002837CD"/>
    <w:rsid w:val="00285041"/>
    <w:rsid w:val="0029102B"/>
    <w:rsid w:val="00291D57"/>
    <w:rsid w:val="002A3D5D"/>
    <w:rsid w:val="002A5E81"/>
    <w:rsid w:val="002A657C"/>
    <w:rsid w:val="002B3626"/>
    <w:rsid w:val="002B3657"/>
    <w:rsid w:val="002B427F"/>
    <w:rsid w:val="002C4009"/>
    <w:rsid w:val="002C4D7D"/>
    <w:rsid w:val="002D03B8"/>
    <w:rsid w:val="002D4615"/>
    <w:rsid w:val="002E4C5F"/>
    <w:rsid w:val="002E4C7B"/>
    <w:rsid w:val="002E598F"/>
    <w:rsid w:val="002E7C89"/>
    <w:rsid w:val="002F29DC"/>
    <w:rsid w:val="002F4CB5"/>
    <w:rsid w:val="002F6BB2"/>
    <w:rsid w:val="003039FD"/>
    <w:rsid w:val="0031044B"/>
    <w:rsid w:val="00314325"/>
    <w:rsid w:val="003164AD"/>
    <w:rsid w:val="00320149"/>
    <w:rsid w:val="003222D9"/>
    <w:rsid w:val="003278E4"/>
    <w:rsid w:val="00343CD8"/>
    <w:rsid w:val="003458CE"/>
    <w:rsid w:val="0034600A"/>
    <w:rsid w:val="0035227F"/>
    <w:rsid w:val="003617C4"/>
    <w:rsid w:val="00362E7B"/>
    <w:rsid w:val="00372881"/>
    <w:rsid w:val="0038035E"/>
    <w:rsid w:val="0038041B"/>
    <w:rsid w:val="003813EE"/>
    <w:rsid w:val="003835AD"/>
    <w:rsid w:val="00386BC5"/>
    <w:rsid w:val="003943BE"/>
    <w:rsid w:val="00395C8D"/>
    <w:rsid w:val="00395D23"/>
    <w:rsid w:val="003A07AB"/>
    <w:rsid w:val="003A4F10"/>
    <w:rsid w:val="003A6D7F"/>
    <w:rsid w:val="003A6F7D"/>
    <w:rsid w:val="003B6F9E"/>
    <w:rsid w:val="003C3B6A"/>
    <w:rsid w:val="003C4551"/>
    <w:rsid w:val="003C5934"/>
    <w:rsid w:val="003C6122"/>
    <w:rsid w:val="003C75A4"/>
    <w:rsid w:val="003D09FD"/>
    <w:rsid w:val="003E44FC"/>
    <w:rsid w:val="003E7210"/>
    <w:rsid w:val="003F463F"/>
    <w:rsid w:val="003F6082"/>
    <w:rsid w:val="003F710E"/>
    <w:rsid w:val="004065AE"/>
    <w:rsid w:val="00410464"/>
    <w:rsid w:val="00415B07"/>
    <w:rsid w:val="00420E7B"/>
    <w:rsid w:val="004252C5"/>
    <w:rsid w:val="004267A8"/>
    <w:rsid w:val="004336F7"/>
    <w:rsid w:val="0043442B"/>
    <w:rsid w:val="00434BE6"/>
    <w:rsid w:val="00436C8D"/>
    <w:rsid w:val="00443DAB"/>
    <w:rsid w:val="00444DE0"/>
    <w:rsid w:val="00445626"/>
    <w:rsid w:val="00445B6E"/>
    <w:rsid w:val="00445F4D"/>
    <w:rsid w:val="00446ED2"/>
    <w:rsid w:val="004608DA"/>
    <w:rsid w:val="00462B84"/>
    <w:rsid w:val="004637A5"/>
    <w:rsid w:val="00466A2F"/>
    <w:rsid w:val="00490641"/>
    <w:rsid w:val="004A39EA"/>
    <w:rsid w:val="004A6154"/>
    <w:rsid w:val="004A6EA5"/>
    <w:rsid w:val="004B5F06"/>
    <w:rsid w:val="004C5F9C"/>
    <w:rsid w:val="004D0E87"/>
    <w:rsid w:val="004D18D3"/>
    <w:rsid w:val="004D31BF"/>
    <w:rsid w:val="004E08F2"/>
    <w:rsid w:val="004F31E2"/>
    <w:rsid w:val="004F7900"/>
    <w:rsid w:val="00500E2B"/>
    <w:rsid w:val="00501B2B"/>
    <w:rsid w:val="00502D7D"/>
    <w:rsid w:val="005113BC"/>
    <w:rsid w:val="00520BF5"/>
    <w:rsid w:val="00526E8E"/>
    <w:rsid w:val="00534A35"/>
    <w:rsid w:val="00535EED"/>
    <w:rsid w:val="005368FF"/>
    <w:rsid w:val="00541502"/>
    <w:rsid w:val="00555715"/>
    <w:rsid w:val="00560240"/>
    <w:rsid w:val="0056128A"/>
    <w:rsid w:val="005648A1"/>
    <w:rsid w:val="005674D4"/>
    <w:rsid w:val="005720B6"/>
    <w:rsid w:val="00572965"/>
    <w:rsid w:val="0057407D"/>
    <w:rsid w:val="0058543A"/>
    <w:rsid w:val="0058628E"/>
    <w:rsid w:val="00597411"/>
    <w:rsid w:val="005975FA"/>
    <w:rsid w:val="00597CD9"/>
    <w:rsid w:val="005A0522"/>
    <w:rsid w:val="005A1A37"/>
    <w:rsid w:val="005A4CAD"/>
    <w:rsid w:val="005A7820"/>
    <w:rsid w:val="005B07A5"/>
    <w:rsid w:val="005B0B62"/>
    <w:rsid w:val="005B4FE3"/>
    <w:rsid w:val="005C40C7"/>
    <w:rsid w:val="005C7FC2"/>
    <w:rsid w:val="005D2FBC"/>
    <w:rsid w:val="005D53C7"/>
    <w:rsid w:val="005E1050"/>
    <w:rsid w:val="005E5668"/>
    <w:rsid w:val="005F0CB9"/>
    <w:rsid w:val="005F28C6"/>
    <w:rsid w:val="00601E6F"/>
    <w:rsid w:val="00611C7F"/>
    <w:rsid w:val="00612B4D"/>
    <w:rsid w:val="00613072"/>
    <w:rsid w:val="006142FB"/>
    <w:rsid w:val="006173D5"/>
    <w:rsid w:val="00632DBE"/>
    <w:rsid w:val="00642937"/>
    <w:rsid w:val="00643F01"/>
    <w:rsid w:val="00644D52"/>
    <w:rsid w:val="00652ADB"/>
    <w:rsid w:val="00654AD8"/>
    <w:rsid w:val="006564CC"/>
    <w:rsid w:val="00657F77"/>
    <w:rsid w:val="00660B3F"/>
    <w:rsid w:val="00671115"/>
    <w:rsid w:val="006734FE"/>
    <w:rsid w:val="0067356C"/>
    <w:rsid w:val="00674F09"/>
    <w:rsid w:val="0067515E"/>
    <w:rsid w:val="00692A82"/>
    <w:rsid w:val="006936B9"/>
    <w:rsid w:val="006958DF"/>
    <w:rsid w:val="006A2842"/>
    <w:rsid w:val="006A783B"/>
    <w:rsid w:val="006B1778"/>
    <w:rsid w:val="006B325D"/>
    <w:rsid w:val="006B3C5A"/>
    <w:rsid w:val="006B4B47"/>
    <w:rsid w:val="006B535C"/>
    <w:rsid w:val="006C1784"/>
    <w:rsid w:val="006C1A03"/>
    <w:rsid w:val="006C4202"/>
    <w:rsid w:val="006C4261"/>
    <w:rsid w:val="006C4277"/>
    <w:rsid w:val="006C46ED"/>
    <w:rsid w:val="006C622F"/>
    <w:rsid w:val="006D1C4E"/>
    <w:rsid w:val="006D397C"/>
    <w:rsid w:val="006F00CB"/>
    <w:rsid w:val="006F4B8E"/>
    <w:rsid w:val="006F5087"/>
    <w:rsid w:val="006F6178"/>
    <w:rsid w:val="006F74B7"/>
    <w:rsid w:val="006F7F70"/>
    <w:rsid w:val="0070586E"/>
    <w:rsid w:val="00707734"/>
    <w:rsid w:val="007122B6"/>
    <w:rsid w:val="00713995"/>
    <w:rsid w:val="00714896"/>
    <w:rsid w:val="00715D2B"/>
    <w:rsid w:val="00717ACD"/>
    <w:rsid w:val="00724D13"/>
    <w:rsid w:val="00725484"/>
    <w:rsid w:val="0072650B"/>
    <w:rsid w:val="00726DEB"/>
    <w:rsid w:val="00727058"/>
    <w:rsid w:val="00733FF7"/>
    <w:rsid w:val="007404F9"/>
    <w:rsid w:val="00740B59"/>
    <w:rsid w:val="007411CF"/>
    <w:rsid w:val="00743BA6"/>
    <w:rsid w:val="007449C9"/>
    <w:rsid w:val="00746631"/>
    <w:rsid w:val="00746BCE"/>
    <w:rsid w:val="00753FFF"/>
    <w:rsid w:val="0076751D"/>
    <w:rsid w:val="00770471"/>
    <w:rsid w:val="00772218"/>
    <w:rsid w:val="0077374F"/>
    <w:rsid w:val="00796ED0"/>
    <w:rsid w:val="007A096A"/>
    <w:rsid w:val="007A0ADD"/>
    <w:rsid w:val="007A32B4"/>
    <w:rsid w:val="007A6907"/>
    <w:rsid w:val="007A703E"/>
    <w:rsid w:val="007B35F1"/>
    <w:rsid w:val="007B54EB"/>
    <w:rsid w:val="007B7867"/>
    <w:rsid w:val="007C02E1"/>
    <w:rsid w:val="007C2650"/>
    <w:rsid w:val="007C2AC3"/>
    <w:rsid w:val="007C4269"/>
    <w:rsid w:val="007C4511"/>
    <w:rsid w:val="007D23C1"/>
    <w:rsid w:val="007E596F"/>
    <w:rsid w:val="007E6958"/>
    <w:rsid w:val="007F0BB5"/>
    <w:rsid w:val="007F7494"/>
    <w:rsid w:val="00806A1B"/>
    <w:rsid w:val="00813FA6"/>
    <w:rsid w:val="0082148D"/>
    <w:rsid w:val="00833611"/>
    <w:rsid w:val="0084190D"/>
    <w:rsid w:val="0084556B"/>
    <w:rsid w:val="008471A1"/>
    <w:rsid w:val="008540F1"/>
    <w:rsid w:val="00854E7B"/>
    <w:rsid w:val="00860D68"/>
    <w:rsid w:val="00863A1D"/>
    <w:rsid w:val="0086673D"/>
    <w:rsid w:val="00872B31"/>
    <w:rsid w:val="00872FA1"/>
    <w:rsid w:val="00874D5E"/>
    <w:rsid w:val="00876F51"/>
    <w:rsid w:val="008803F4"/>
    <w:rsid w:val="00881366"/>
    <w:rsid w:val="0089032C"/>
    <w:rsid w:val="00893385"/>
    <w:rsid w:val="008A111B"/>
    <w:rsid w:val="008A5928"/>
    <w:rsid w:val="008B1EC7"/>
    <w:rsid w:val="008C59C1"/>
    <w:rsid w:val="008C5B7E"/>
    <w:rsid w:val="008D0D99"/>
    <w:rsid w:val="008D14D5"/>
    <w:rsid w:val="008D1F88"/>
    <w:rsid w:val="008D2E0A"/>
    <w:rsid w:val="008D4D79"/>
    <w:rsid w:val="008E71D3"/>
    <w:rsid w:val="008E7C09"/>
    <w:rsid w:val="008F11E5"/>
    <w:rsid w:val="008F145A"/>
    <w:rsid w:val="009063AD"/>
    <w:rsid w:val="00907499"/>
    <w:rsid w:val="0091312F"/>
    <w:rsid w:val="009164AE"/>
    <w:rsid w:val="00916EEE"/>
    <w:rsid w:val="009269D9"/>
    <w:rsid w:val="009327A7"/>
    <w:rsid w:val="00941378"/>
    <w:rsid w:val="00941ED3"/>
    <w:rsid w:val="00943350"/>
    <w:rsid w:val="009444E1"/>
    <w:rsid w:val="009451E0"/>
    <w:rsid w:val="00951760"/>
    <w:rsid w:val="0095267E"/>
    <w:rsid w:val="0095348F"/>
    <w:rsid w:val="00953662"/>
    <w:rsid w:val="009544CE"/>
    <w:rsid w:val="00957FB7"/>
    <w:rsid w:val="00966269"/>
    <w:rsid w:val="00976ACD"/>
    <w:rsid w:val="009842B1"/>
    <w:rsid w:val="009875E5"/>
    <w:rsid w:val="009911D4"/>
    <w:rsid w:val="00992F36"/>
    <w:rsid w:val="00996FDC"/>
    <w:rsid w:val="009A1E47"/>
    <w:rsid w:val="009A3295"/>
    <w:rsid w:val="009A61E3"/>
    <w:rsid w:val="009A6C92"/>
    <w:rsid w:val="009B1206"/>
    <w:rsid w:val="009C3A79"/>
    <w:rsid w:val="009D4BD2"/>
    <w:rsid w:val="009D511C"/>
    <w:rsid w:val="009E132D"/>
    <w:rsid w:val="009E338E"/>
    <w:rsid w:val="009E7562"/>
    <w:rsid w:val="009F04DA"/>
    <w:rsid w:val="009F6394"/>
    <w:rsid w:val="00A06A84"/>
    <w:rsid w:val="00A11D07"/>
    <w:rsid w:val="00A11DD8"/>
    <w:rsid w:val="00A13A3A"/>
    <w:rsid w:val="00A232DA"/>
    <w:rsid w:val="00A251C2"/>
    <w:rsid w:val="00A26FE2"/>
    <w:rsid w:val="00A35153"/>
    <w:rsid w:val="00A37CF7"/>
    <w:rsid w:val="00A464F6"/>
    <w:rsid w:val="00A47C86"/>
    <w:rsid w:val="00A53862"/>
    <w:rsid w:val="00A57C27"/>
    <w:rsid w:val="00A606FE"/>
    <w:rsid w:val="00A61113"/>
    <w:rsid w:val="00A75448"/>
    <w:rsid w:val="00A816E6"/>
    <w:rsid w:val="00A93C7A"/>
    <w:rsid w:val="00A97E61"/>
    <w:rsid w:val="00AA5EC2"/>
    <w:rsid w:val="00AB077E"/>
    <w:rsid w:val="00AB3675"/>
    <w:rsid w:val="00AB77D6"/>
    <w:rsid w:val="00AC4EDD"/>
    <w:rsid w:val="00AC76E6"/>
    <w:rsid w:val="00AD04ED"/>
    <w:rsid w:val="00AD6232"/>
    <w:rsid w:val="00AE17D2"/>
    <w:rsid w:val="00AE2610"/>
    <w:rsid w:val="00AE52DA"/>
    <w:rsid w:val="00AE70E8"/>
    <w:rsid w:val="00AF645E"/>
    <w:rsid w:val="00B005B0"/>
    <w:rsid w:val="00B0257D"/>
    <w:rsid w:val="00B062AB"/>
    <w:rsid w:val="00B12720"/>
    <w:rsid w:val="00B1295D"/>
    <w:rsid w:val="00B12EDF"/>
    <w:rsid w:val="00B219A0"/>
    <w:rsid w:val="00B226F4"/>
    <w:rsid w:val="00B246D0"/>
    <w:rsid w:val="00B26446"/>
    <w:rsid w:val="00B30B15"/>
    <w:rsid w:val="00B35162"/>
    <w:rsid w:val="00B356F2"/>
    <w:rsid w:val="00B35F6F"/>
    <w:rsid w:val="00B414CA"/>
    <w:rsid w:val="00B44F8B"/>
    <w:rsid w:val="00B460EB"/>
    <w:rsid w:val="00B510CF"/>
    <w:rsid w:val="00B52CA8"/>
    <w:rsid w:val="00B53196"/>
    <w:rsid w:val="00B54038"/>
    <w:rsid w:val="00B57C42"/>
    <w:rsid w:val="00B631B2"/>
    <w:rsid w:val="00B76B98"/>
    <w:rsid w:val="00B8581A"/>
    <w:rsid w:val="00B864F8"/>
    <w:rsid w:val="00B86ACB"/>
    <w:rsid w:val="00B901E4"/>
    <w:rsid w:val="00B93E29"/>
    <w:rsid w:val="00B95B7D"/>
    <w:rsid w:val="00B96749"/>
    <w:rsid w:val="00B96A42"/>
    <w:rsid w:val="00B9713B"/>
    <w:rsid w:val="00BA313B"/>
    <w:rsid w:val="00BB3804"/>
    <w:rsid w:val="00BB4F61"/>
    <w:rsid w:val="00BB6CEB"/>
    <w:rsid w:val="00BC24F3"/>
    <w:rsid w:val="00BC26AD"/>
    <w:rsid w:val="00BD440A"/>
    <w:rsid w:val="00BF0B22"/>
    <w:rsid w:val="00BF6691"/>
    <w:rsid w:val="00C028D4"/>
    <w:rsid w:val="00C034B9"/>
    <w:rsid w:val="00C04A6A"/>
    <w:rsid w:val="00C06ED2"/>
    <w:rsid w:val="00C10D64"/>
    <w:rsid w:val="00C16258"/>
    <w:rsid w:val="00C17971"/>
    <w:rsid w:val="00C229AB"/>
    <w:rsid w:val="00C242CA"/>
    <w:rsid w:val="00C261C3"/>
    <w:rsid w:val="00C338DC"/>
    <w:rsid w:val="00C42C3E"/>
    <w:rsid w:val="00C44488"/>
    <w:rsid w:val="00C467AD"/>
    <w:rsid w:val="00C5459A"/>
    <w:rsid w:val="00C55637"/>
    <w:rsid w:val="00C61547"/>
    <w:rsid w:val="00C65B64"/>
    <w:rsid w:val="00C663B9"/>
    <w:rsid w:val="00C70015"/>
    <w:rsid w:val="00C739B7"/>
    <w:rsid w:val="00C7746A"/>
    <w:rsid w:val="00C82398"/>
    <w:rsid w:val="00C831BD"/>
    <w:rsid w:val="00C873A7"/>
    <w:rsid w:val="00C8770C"/>
    <w:rsid w:val="00C915AF"/>
    <w:rsid w:val="00C92786"/>
    <w:rsid w:val="00C93742"/>
    <w:rsid w:val="00C94ABB"/>
    <w:rsid w:val="00C94E46"/>
    <w:rsid w:val="00CA3D04"/>
    <w:rsid w:val="00CA4D83"/>
    <w:rsid w:val="00CA689F"/>
    <w:rsid w:val="00CB2AE4"/>
    <w:rsid w:val="00CC0404"/>
    <w:rsid w:val="00CC3AE3"/>
    <w:rsid w:val="00CD04FE"/>
    <w:rsid w:val="00CD11E8"/>
    <w:rsid w:val="00CD1F49"/>
    <w:rsid w:val="00CD32E1"/>
    <w:rsid w:val="00CD5418"/>
    <w:rsid w:val="00CD601D"/>
    <w:rsid w:val="00CE2682"/>
    <w:rsid w:val="00CE713B"/>
    <w:rsid w:val="00CF0D26"/>
    <w:rsid w:val="00CF26C0"/>
    <w:rsid w:val="00D0077E"/>
    <w:rsid w:val="00D01D71"/>
    <w:rsid w:val="00D12E6A"/>
    <w:rsid w:val="00D1362A"/>
    <w:rsid w:val="00D201A4"/>
    <w:rsid w:val="00D222FE"/>
    <w:rsid w:val="00D267F3"/>
    <w:rsid w:val="00D316E5"/>
    <w:rsid w:val="00D31D58"/>
    <w:rsid w:val="00D35EE8"/>
    <w:rsid w:val="00D45560"/>
    <w:rsid w:val="00D4629D"/>
    <w:rsid w:val="00D47177"/>
    <w:rsid w:val="00D6560F"/>
    <w:rsid w:val="00D731B5"/>
    <w:rsid w:val="00D8225A"/>
    <w:rsid w:val="00D8709F"/>
    <w:rsid w:val="00D87F3C"/>
    <w:rsid w:val="00D90C55"/>
    <w:rsid w:val="00DA5B39"/>
    <w:rsid w:val="00DA7106"/>
    <w:rsid w:val="00DB111F"/>
    <w:rsid w:val="00DB5E1C"/>
    <w:rsid w:val="00DB64A6"/>
    <w:rsid w:val="00DB67F1"/>
    <w:rsid w:val="00DC0261"/>
    <w:rsid w:val="00DC290E"/>
    <w:rsid w:val="00DC3828"/>
    <w:rsid w:val="00DC3F1B"/>
    <w:rsid w:val="00DC4472"/>
    <w:rsid w:val="00DD1200"/>
    <w:rsid w:val="00DD269D"/>
    <w:rsid w:val="00DD63EE"/>
    <w:rsid w:val="00DE5547"/>
    <w:rsid w:val="00DF117A"/>
    <w:rsid w:val="00E02299"/>
    <w:rsid w:val="00E02874"/>
    <w:rsid w:val="00E03BB0"/>
    <w:rsid w:val="00E06C45"/>
    <w:rsid w:val="00E072F6"/>
    <w:rsid w:val="00E120B6"/>
    <w:rsid w:val="00E13839"/>
    <w:rsid w:val="00E16ABA"/>
    <w:rsid w:val="00E21611"/>
    <w:rsid w:val="00E21CEE"/>
    <w:rsid w:val="00E268C5"/>
    <w:rsid w:val="00E27FAB"/>
    <w:rsid w:val="00E32FB0"/>
    <w:rsid w:val="00E33720"/>
    <w:rsid w:val="00E342F1"/>
    <w:rsid w:val="00E40E30"/>
    <w:rsid w:val="00E47894"/>
    <w:rsid w:val="00E47FF9"/>
    <w:rsid w:val="00E532C5"/>
    <w:rsid w:val="00E54B1E"/>
    <w:rsid w:val="00E57BE8"/>
    <w:rsid w:val="00E603F4"/>
    <w:rsid w:val="00E653BF"/>
    <w:rsid w:val="00E8048B"/>
    <w:rsid w:val="00E865C1"/>
    <w:rsid w:val="00E8677F"/>
    <w:rsid w:val="00E86CF5"/>
    <w:rsid w:val="00E87387"/>
    <w:rsid w:val="00E87F05"/>
    <w:rsid w:val="00E92108"/>
    <w:rsid w:val="00E93A9E"/>
    <w:rsid w:val="00EA1311"/>
    <w:rsid w:val="00EA1580"/>
    <w:rsid w:val="00EA3283"/>
    <w:rsid w:val="00EA3E31"/>
    <w:rsid w:val="00EB0C1F"/>
    <w:rsid w:val="00EB51F3"/>
    <w:rsid w:val="00EB6731"/>
    <w:rsid w:val="00EC61D3"/>
    <w:rsid w:val="00ED0F84"/>
    <w:rsid w:val="00ED16F2"/>
    <w:rsid w:val="00ED2103"/>
    <w:rsid w:val="00ED7CD9"/>
    <w:rsid w:val="00EE0F7B"/>
    <w:rsid w:val="00EE4622"/>
    <w:rsid w:val="00EE7054"/>
    <w:rsid w:val="00EF1CC7"/>
    <w:rsid w:val="00EF1F5B"/>
    <w:rsid w:val="00EF3583"/>
    <w:rsid w:val="00EF539D"/>
    <w:rsid w:val="00EF620A"/>
    <w:rsid w:val="00EF7030"/>
    <w:rsid w:val="00F050AF"/>
    <w:rsid w:val="00F07979"/>
    <w:rsid w:val="00F11617"/>
    <w:rsid w:val="00F11E66"/>
    <w:rsid w:val="00F13C39"/>
    <w:rsid w:val="00F14139"/>
    <w:rsid w:val="00F154DA"/>
    <w:rsid w:val="00F257E6"/>
    <w:rsid w:val="00F33773"/>
    <w:rsid w:val="00F37486"/>
    <w:rsid w:val="00F37D2C"/>
    <w:rsid w:val="00F41A1E"/>
    <w:rsid w:val="00F46C6D"/>
    <w:rsid w:val="00F504EF"/>
    <w:rsid w:val="00F509A3"/>
    <w:rsid w:val="00F51D6D"/>
    <w:rsid w:val="00F525EC"/>
    <w:rsid w:val="00F6357B"/>
    <w:rsid w:val="00F6423C"/>
    <w:rsid w:val="00F66E5B"/>
    <w:rsid w:val="00F67586"/>
    <w:rsid w:val="00F72F5A"/>
    <w:rsid w:val="00F8175A"/>
    <w:rsid w:val="00F824B1"/>
    <w:rsid w:val="00F84815"/>
    <w:rsid w:val="00F917B2"/>
    <w:rsid w:val="00F93D06"/>
    <w:rsid w:val="00F95B95"/>
    <w:rsid w:val="00FA1F9D"/>
    <w:rsid w:val="00FA392F"/>
    <w:rsid w:val="00FA733A"/>
    <w:rsid w:val="00FB05D4"/>
    <w:rsid w:val="00FB3353"/>
    <w:rsid w:val="00FC2B36"/>
    <w:rsid w:val="00FC531E"/>
    <w:rsid w:val="00FD0378"/>
    <w:rsid w:val="00FD6FDC"/>
    <w:rsid w:val="00FE6DAB"/>
    <w:rsid w:val="00FE7150"/>
    <w:rsid w:val="00FF1299"/>
    <w:rsid w:val="00FF2DD2"/>
    <w:rsid w:val="00FF74F4"/>
    <w:rsid w:val="00FF7BEC"/>
    <w:rsid w:val="18452AC3"/>
    <w:rsid w:val="2EC52C9F"/>
    <w:rsid w:val="359F1872"/>
    <w:rsid w:val="4FCD4D5E"/>
    <w:rsid w:val="55E6CA9A"/>
    <w:rsid w:val="5B34273C"/>
    <w:rsid w:val="6A5A3A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19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232"/>
    <w:pPr>
      <w:keepNext/>
      <w:keepLines/>
      <w:spacing w:before="360" w:after="80"/>
      <w:outlineLvl w:val="0"/>
    </w:pPr>
    <w:rPr>
      <w:rFonts w:ascii="Montserrat SemiBold" w:eastAsiaTheme="majorEastAsia" w:hAnsi="Montserrat SemiBold" w:cstheme="majorBidi"/>
      <w:b/>
      <w:bCs/>
      <w:color w:val="0F4761" w:themeColor="accent1" w:themeShade="BF"/>
      <w:sz w:val="36"/>
      <w:szCs w:val="36"/>
    </w:rPr>
  </w:style>
  <w:style w:type="paragraph" w:styleId="Heading2">
    <w:name w:val="heading 2"/>
    <w:basedOn w:val="Normal"/>
    <w:next w:val="Normal"/>
    <w:link w:val="Heading2Char"/>
    <w:uiPriority w:val="9"/>
    <w:unhideWhenUsed/>
    <w:qFormat/>
    <w:rsid w:val="00A97E61"/>
    <w:pPr>
      <w:keepNext/>
      <w:keepLines/>
      <w:numPr>
        <w:ilvl w:val="1"/>
        <w:numId w:val="32"/>
      </w:numPr>
      <w:spacing w:before="240" w:after="80"/>
      <w:outlineLvl w:val="1"/>
    </w:pPr>
    <w:rPr>
      <w:rFonts w:ascii="Montserrat SemiBold" w:eastAsiaTheme="majorEastAsia" w:hAnsi="Montserrat SemiBold" w:cs="Times New Roman (Headings CS)"/>
      <w:b/>
      <w:bCs/>
      <w:color w:val="BF4E14" w:themeColor="accent2" w:themeShade="BF"/>
      <w:sz w:val="32"/>
      <w:szCs w:val="32"/>
    </w:rPr>
  </w:style>
  <w:style w:type="paragraph" w:styleId="Heading3">
    <w:name w:val="heading 3"/>
    <w:basedOn w:val="Normal"/>
    <w:next w:val="Normal"/>
    <w:link w:val="Heading3Char"/>
    <w:uiPriority w:val="9"/>
    <w:unhideWhenUsed/>
    <w:qFormat/>
    <w:rsid w:val="0031044B"/>
    <w:pPr>
      <w:keepNext/>
      <w:keepLines/>
      <w:numPr>
        <w:ilvl w:val="2"/>
        <w:numId w:val="32"/>
      </w:numPr>
      <w:spacing w:before="240" w:after="80"/>
      <w:outlineLvl w:val="2"/>
    </w:pPr>
    <w:rPr>
      <w:rFonts w:ascii="Montserrat SemiBold" w:eastAsiaTheme="majorEastAsia" w:hAnsi="Montserrat SemiBold" w:cstheme="majorBidi"/>
      <w:b/>
      <w:bCs/>
      <w:color w:val="0F4761" w:themeColor="accent1" w:themeShade="BF"/>
      <w:sz w:val="28"/>
      <w:szCs w:val="28"/>
    </w:rPr>
  </w:style>
  <w:style w:type="paragraph" w:styleId="Heading4">
    <w:name w:val="heading 4"/>
    <w:basedOn w:val="Normal"/>
    <w:next w:val="Normal"/>
    <w:link w:val="Heading4Char"/>
    <w:uiPriority w:val="9"/>
    <w:unhideWhenUsed/>
    <w:qFormat/>
    <w:rsid w:val="0076751D"/>
    <w:pPr>
      <w:keepNext/>
      <w:keepLines/>
      <w:numPr>
        <w:ilvl w:val="3"/>
        <w:numId w:val="32"/>
      </w:numPr>
      <w:spacing w:before="240" w:after="40"/>
      <w:outlineLvl w:val="3"/>
    </w:pPr>
    <w:rPr>
      <w:rFonts w:ascii="Montserrat Medium" w:eastAsiaTheme="majorEastAsia" w:hAnsi="Montserrat Medium" w:cstheme="majorBidi"/>
      <w:color w:val="0F4761" w:themeColor="accent1" w:themeShade="BF"/>
    </w:rPr>
  </w:style>
  <w:style w:type="paragraph" w:styleId="Heading5">
    <w:name w:val="heading 5"/>
    <w:basedOn w:val="Normal"/>
    <w:next w:val="Normal"/>
    <w:link w:val="Heading5Char"/>
    <w:uiPriority w:val="9"/>
    <w:unhideWhenUsed/>
    <w:qFormat/>
    <w:rsid w:val="00AE70E8"/>
    <w:pPr>
      <w:keepNext/>
      <w:keepLines/>
      <w:numPr>
        <w:ilvl w:val="4"/>
        <w:numId w:val="3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E70E8"/>
    <w:pPr>
      <w:keepNext/>
      <w:keepLines/>
      <w:numPr>
        <w:ilvl w:val="5"/>
        <w:numId w:val="3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0E8"/>
    <w:pPr>
      <w:keepNext/>
      <w:keepLines/>
      <w:numPr>
        <w:ilvl w:val="6"/>
        <w:numId w:val="3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0E8"/>
    <w:pPr>
      <w:keepNext/>
      <w:keepLines/>
      <w:numPr>
        <w:ilvl w:val="7"/>
        <w:numId w:val="3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0E8"/>
    <w:pPr>
      <w:keepNext/>
      <w:keepLines/>
      <w:numPr>
        <w:ilvl w:val="8"/>
        <w:numId w:val="3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232"/>
    <w:rPr>
      <w:rFonts w:ascii="Montserrat SemiBold" w:eastAsiaTheme="majorEastAsia" w:hAnsi="Montserrat SemiBold" w:cstheme="majorBidi"/>
      <w:b/>
      <w:bCs/>
      <w:color w:val="0F4761" w:themeColor="accent1" w:themeShade="BF"/>
      <w:sz w:val="36"/>
      <w:szCs w:val="36"/>
    </w:rPr>
  </w:style>
  <w:style w:type="character" w:customStyle="1" w:styleId="Heading2Char">
    <w:name w:val="Heading 2 Char"/>
    <w:basedOn w:val="DefaultParagraphFont"/>
    <w:link w:val="Heading2"/>
    <w:uiPriority w:val="9"/>
    <w:rsid w:val="00A97E61"/>
    <w:rPr>
      <w:rFonts w:ascii="Montserrat SemiBold" w:eastAsiaTheme="majorEastAsia" w:hAnsi="Montserrat SemiBold" w:cs="Times New Roman (Headings CS)"/>
      <w:b/>
      <w:bCs/>
      <w:color w:val="BF4E14" w:themeColor="accent2" w:themeShade="BF"/>
      <w:sz w:val="32"/>
      <w:szCs w:val="32"/>
    </w:rPr>
  </w:style>
  <w:style w:type="character" w:customStyle="1" w:styleId="Heading3Char">
    <w:name w:val="Heading 3 Char"/>
    <w:basedOn w:val="DefaultParagraphFont"/>
    <w:link w:val="Heading3"/>
    <w:uiPriority w:val="9"/>
    <w:rsid w:val="0031044B"/>
    <w:rPr>
      <w:rFonts w:ascii="Montserrat SemiBold" w:eastAsiaTheme="majorEastAsia" w:hAnsi="Montserrat SemiBold" w:cstheme="majorBidi"/>
      <w:b/>
      <w:bCs/>
      <w:color w:val="0F4761" w:themeColor="accent1" w:themeShade="BF"/>
      <w:sz w:val="28"/>
      <w:szCs w:val="28"/>
    </w:rPr>
  </w:style>
  <w:style w:type="character" w:customStyle="1" w:styleId="Heading4Char">
    <w:name w:val="Heading 4 Char"/>
    <w:basedOn w:val="DefaultParagraphFont"/>
    <w:link w:val="Heading4"/>
    <w:uiPriority w:val="9"/>
    <w:rsid w:val="0076751D"/>
    <w:rPr>
      <w:rFonts w:ascii="Montserrat Medium" w:eastAsiaTheme="majorEastAsia" w:hAnsi="Montserrat Medium" w:cstheme="majorBidi"/>
      <w:color w:val="0F4761" w:themeColor="accent1" w:themeShade="BF"/>
    </w:rPr>
  </w:style>
  <w:style w:type="character" w:customStyle="1" w:styleId="Heading5Char">
    <w:name w:val="Heading 5 Char"/>
    <w:basedOn w:val="DefaultParagraphFont"/>
    <w:link w:val="Heading5"/>
    <w:uiPriority w:val="9"/>
    <w:rsid w:val="00AE7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E7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0E8"/>
    <w:rPr>
      <w:rFonts w:eastAsiaTheme="majorEastAsia" w:cstheme="majorBidi"/>
      <w:color w:val="272727" w:themeColor="text1" w:themeTint="D8"/>
    </w:rPr>
  </w:style>
  <w:style w:type="paragraph" w:styleId="Title">
    <w:name w:val="Title"/>
    <w:basedOn w:val="Normal"/>
    <w:next w:val="Normal"/>
    <w:link w:val="TitleChar"/>
    <w:uiPriority w:val="10"/>
    <w:qFormat/>
    <w:rsid w:val="00F050AF"/>
    <w:pPr>
      <w:spacing w:after="80" w:line="240" w:lineRule="auto"/>
      <w:contextualSpacing/>
    </w:pPr>
    <w:rPr>
      <w:rFonts w:asciiTheme="majorHAnsi" w:eastAsiaTheme="majorEastAsia" w:hAnsiTheme="majorHAnsi" w:cs="Times New Roman (Headings CS)"/>
      <w:b/>
      <w:bCs/>
      <w:kern w:val="28"/>
      <w:sz w:val="56"/>
      <w:szCs w:val="56"/>
    </w:rPr>
  </w:style>
  <w:style w:type="character" w:customStyle="1" w:styleId="TitleChar">
    <w:name w:val="Title Char"/>
    <w:basedOn w:val="DefaultParagraphFont"/>
    <w:link w:val="Title"/>
    <w:uiPriority w:val="10"/>
    <w:rsid w:val="00F050AF"/>
    <w:rPr>
      <w:rFonts w:asciiTheme="majorHAnsi" w:eastAsiaTheme="majorEastAsia" w:hAnsiTheme="majorHAnsi" w:cs="Times New Roman (Headings CS)"/>
      <w:b/>
      <w:bCs/>
      <w:kern w:val="28"/>
      <w:sz w:val="56"/>
      <w:szCs w:val="56"/>
    </w:rPr>
  </w:style>
  <w:style w:type="paragraph" w:styleId="Subtitle">
    <w:name w:val="Subtitle"/>
    <w:basedOn w:val="Normal"/>
    <w:next w:val="Normal"/>
    <w:link w:val="SubtitleChar"/>
    <w:uiPriority w:val="11"/>
    <w:qFormat/>
    <w:rsid w:val="005D2FBC"/>
    <w:pPr>
      <w:numPr>
        <w:ilvl w:val="1"/>
      </w:numPr>
      <w:spacing w:before="240"/>
    </w:pPr>
    <w:rPr>
      <w:rFonts w:eastAsiaTheme="majorEastAsia" w:cs="Times New Roman (Headings CS)"/>
      <w:color w:val="000000" w:themeColor="text1"/>
      <w:sz w:val="32"/>
      <w:szCs w:val="32"/>
      <w:lang w:val="en-US"/>
    </w:rPr>
  </w:style>
  <w:style w:type="character" w:customStyle="1" w:styleId="SubtitleChar">
    <w:name w:val="Subtitle Char"/>
    <w:basedOn w:val="DefaultParagraphFont"/>
    <w:link w:val="Subtitle"/>
    <w:uiPriority w:val="11"/>
    <w:rsid w:val="005D2FBC"/>
    <w:rPr>
      <w:rFonts w:eastAsiaTheme="majorEastAsia" w:cs="Times New Roman (Headings CS)"/>
      <w:color w:val="000000" w:themeColor="text1"/>
      <w:sz w:val="32"/>
      <w:szCs w:val="32"/>
      <w:lang w:val="en-US"/>
    </w:rPr>
  </w:style>
  <w:style w:type="paragraph" w:styleId="Quote">
    <w:name w:val="Quote"/>
    <w:basedOn w:val="Normal"/>
    <w:next w:val="Normal"/>
    <w:link w:val="QuoteChar"/>
    <w:uiPriority w:val="29"/>
    <w:qFormat/>
    <w:rsid w:val="00AE70E8"/>
    <w:pPr>
      <w:spacing w:before="160"/>
      <w:jc w:val="center"/>
    </w:pPr>
    <w:rPr>
      <w:i/>
      <w:iCs/>
      <w:color w:val="404040" w:themeColor="text1" w:themeTint="BF"/>
    </w:rPr>
  </w:style>
  <w:style w:type="character" w:customStyle="1" w:styleId="QuoteChar">
    <w:name w:val="Quote Char"/>
    <w:basedOn w:val="DefaultParagraphFont"/>
    <w:link w:val="Quote"/>
    <w:uiPriority w:val="29"/>
    <w:rsid w:val="00AE70E8"/>
    <w:rPr>
      <w:i/>
      <w:iCs/>
      <w:color w:val="404040" w:themeColor="text1" w:themeTint="BF"/>
    </w:rPr>
  </w:style>
  <w:style w:type="paragraph" w:styleId="ListParagraph">
    <w:name w:val="List Paragraph"/>
    <w:basedOn w:val="Normal"/>
    <w:uiPriority w:val="34"/>
    <w:qFormat/>
    <w:rsid w:val="00AE70E8"/>
    <w:pPr>
      <w:ind w:left="720"/>
      <w:contextualSpacing/>
    </w:pPr>
  </w:style>
  <w:style w:type="character" w:styleId="IntenseEmphasis">
    <w:name w:val="Intense Emphasis"/>
    <w:basedOn w:val="DefaultParagraphFont"/>
    <w:uiPriority w:val="21"/>
    <w:qFormat/>
    <w:rsid w:val="00AE70E8"/>
    <w:rPr>
      <w:i/>
      <w:iCs/>
      <w:color w:val="0F4761" w:themeColor="accent1" w:themeShade="BF"/>
    </w:rPr>
  </w:style>
  <w:style w:type="paragraph" w:styleId="IntenseQuote">
    <w:name w:val="Intense Quote"/>
    <w:basedOn w:val="Normal"/>
    <w:next w:val="Normal"/>
    <w:link w:val="IntenseQuoteChar"/>
    <w:uiPriority w:val="30"/>
    <w:qFormat/>
    <w:rsid w:val="00AE7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0E8"/>
    <w:rPr>
      <w:i/>
      <w:iCs/>
      <w:color w:val="0F4761" w:themeColor="accent1" w:themeShade="BF"/>
    </w:rPr>
  </w:style>
  <w:style w:type="character" w:styleId="IntenseReference">
    <w:name w:val="Intense Reference"/>
    <w:basedOn w:val="DefaultParagraphFont"/>
    <w:uiPriority w:val="32"/>
    <w:qFormat/>
    <w:rsid w:val="00AE70E8"/>
    <w:rPr>
      <w:b/>
      <w:bCs/>
      <w:smallCaps/>
      <w:color w:val="0F4761" w:themeColor="accent1" w:themeShade="BF"/>
      <w:spacing w:val="5"/>
    </w:rPr>
  </w:style>
  <w:style w:type="paragraph" w:styleId="BalloonText">
    <w:name w:val="Balloon Text"/>
    <w:basedOn w:val="Normal"/>
    <w:link w:val="BalloonTextChar"/>
    <w:uiPriority w:val="99"/>
    <w:semiHidden/>
    <w:unhideWhenUsed/>
    <w:rsid w:val="00AE70E8"/>
    <w:pPr>
      <w:spacing w:after="120" w:line="240" w:lineRule="auto"/>
    </w:pPr>
    <w:rPr>
      <w:rFonts w:eastAsia="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AE70E8"/>
    <w:rPr>
      <w:rFonts w:eastAsia="Times New Roman" w:cs="Times New Roman"/>
      <w:kern w:val="0"/>
      <w:sz w:val="18"/>
      <w:szCs w:val="18"/>
      <w14:ligatures w14:val="none"/>
    </w:rPr>
  </w:style>
  <w:style w:type="paragraph" w:styleId="Caption">
    <w:name w:val="caption"/>
    <w:basedOn w:val="Normal"/>
    <w:next w:val="Normal"/>
    <w:uiPriority w:val="35"/>
    <w:semiHidden/>
    <w:unhideWhenUsed/>
    <w:qFormat/>
    <w:rsid w:val="00AE70E8"/>
    <w:pPr>
      <w:spacing w:after="200" w:line="240" w:lineRule="auto"/>
    </w:pPr>
    <w:rPr>
      <w:rFonts w:eastAsia="Times New Roman" w:cs="Times New Roman"/>
      <w:i/>
      <w:iCs/>
      <w:color w:val="0E2841" w:themeColor="text2"/>
      <w:kern w:val="0"/>
      <w:sz w:val="18"/>
      <w:szCs w:val="18"/>
      <w14:ligatures w14:val="none"/>
    </w:rPr>
  </w:style>
  <w:style w:type="character" w:styleId="Strong">
    <w:name w:val="Strong"/>
    <w:basedOn w:val="DefaultParagraphFont"/>
    <w:uiPriority w:val="22"/>
    <w:qFormat/>
    <w:rsid w:val="00AE70E8"/>
    <w:rPr>
      <w:b/>
      <w:bCs/>
    </w:rPr>
  </w:style>
  <w:style w:type="character" w:styleId="Emphasis">
    <w:name w:val="Emphasis"/>
    <w:basedOn w:val="DefaultParagraphFont"/>
    <w:uiPriority w:val="20"/>
    <w:qFormat/>
    <w:rsid w:val="00AE70E8"/>
    <w:rPr>
      <w:i/>
      <w:iCs/>
      <w:color w:val="auto"/>
    </w:rPr>
  </w:style>
  <w:style w:type="paragraph" w:styleId="NoSpacing">
    <w:name w:val="No Spacing"/>
    <w:uiPriority w:val="1"/>
    <w:qFormat/>
    <w:rsid w:val="00AE70E8"/>
    <w:pPr>
      <w:spacing w:after="0" w:line="240" w:lineRule="auto"/>
    </w:pPr>
    <w:rPr>
      <w:rFonts w:eastAsiaTheme="minorEastAsia"/>
      <w:kern w:val="0"/>
      <w:sz w:val="22"/>
      <w:szCs w:val="22"/>
      <w:lang w:val="en-US"/>
      <w14:ligatures w14:val="none"/>
    </w:rPr>
  </w:style>
  <w:style w:type="character" w:styleId="SubtleEmphasis">
    <w:name w:val="Subtle Emphasis"/>
    <w:basedOn w:val="DefaultParagraphFont"/>
    <w:uiPriority w:val="19"/>
    <w:qFormat/>
    <w:rsid w:val="00AE70E8"/>
    <w:rPr>
      <w:i/>
      <w:iCs/>
      <w:color w:val="404040" w:themeColor="text1" w:themeTint="BF"/>
    </w:rPr>
  </w:style>
  <w:style w:type="character" w:styleId="SubtleReference">
    <w:name w:val="Subtle Reference"/>
    <w:basedOn w:val="DefaultParagraphFont"/>
    <w:uiPriority w:val="31"/>
    <w:qFormat/>
    <w:rsid w:val="00AE70E8"/>
    <w:rPr>
      <w:smallCaps/>
      <w:color w:val="404040" w:themeColor="text1" w:themeTint="BF"/>
    </w:rPr>
  </w:style>
  <w:style w:type="character" w:styleId="BookTitle">
    <w:name w:val="Book Title"/>
    <w:basedOn w:val="DefaultParagraphFont"/>
    <w:uiPriority w:val="33"/>
    <w:qFormat/>
    <w:rsid w:val="00AE70E8"/>
    <w:rPr>
      <w:b/>
      <w:bCs/>
      <w:i/>
      <w:iCs/>
      <w:spacing w:val="5"/>
    </w:rPr>
  </w:style>
  <w:style w:type="paragraph" w:styleId="TOCHeading">
    <w:name w:val="TOC Heading"/>
    <w:basedOn w:val="Heading1"/>
    <w:next w:val="Normal"/>
    <w:uiPriority w:val="39"/>
    <w:semiHidden/>
    <w:unhideWhenUsed/>
    <w:qFormat/>
    <w:rsid w:val="00AE70E8"/>
    <w:pPr>
      <w:keepNext w:val="0"/>
      <w:keepLines w:val="0"/>
      <w:spacing w:before="240" w:after="120" w:line="240" w:lineRule="auto"/>
      <w:outlineLvl w:val="9"/>
    </w:pPr>
    <w:rPr>
      <w:rFonts w:cs="Times New Roman (Headings CS)"/>
      <w:b w:val="0"/>
      <w:color w:val="002060"/>
      <w:kern w:val="0"/>
      <w:szCs w:val="32"/>
      <w14:ligatures w14:val="none"/>
    </w:rPr>
  </w:style>
  <w:style w:type="paragraph" w:styleId="NormalWeb">
    <w:name w:val="Normal (Web)"/>
    <w:basedOn w:val="Normal"/>
    <w:uiPriority w:val="99"/>
    <w:unhideWhenUsed/>
    <w:rsid w:val="00AE70E8"/>
    <w:pPr>
      <w:spacing w:before="100" w:beforeAutospacing="1" w:after="100" w:afterAutospacing="1" w:line="240" w:lineRule="auto"/>
    </w:pPr>
    <w:rPr>
      <w:rFonts w:eastAsia="Times New Roman" w:cs="Times New Roman"/>
      <w:kern w:val="0"/>
      <w14:ligatures w14:val="none"/>
    </w:rPr>
  </w:style>
  <w:style w:type="character" w:customStyle="1" w:styleId="line-clamp-1">
    <w:name w:val="line-clamp-1"/>
    <w:basedOn w:val="DefaultParagraphFont"/>
    <w:rsid w:val="00AE70E8"/>
  </w:style>
  <w:style w:type="character" w:styleId="CommentReference">
    <w:name w:val="annotation reference"/>
    <w:basedOn w:val="DefaultParagraphFont"/>
    <w:uiPriority w:val="99"/>
    <w:semiHidden/>
    <w:unhideWhenUsed/>
    <w:rsid w:val="00AE70E8"/>
    <w:rPr>
      <w:sz w:val="16"/>
      <w:szCs w:val="16"/>
    </w:rPr>
  </w:style>
  <w:style w:type="paragraph" w:styleId="CommentText">
    <w:name w:val="annotation text"/>
    <w:basedOn w:val="Normal"/>
    <w:link w:val="CommentTextChar"/>
    <w:uiPriority w:val="99"/>
    <w:unhideWhenUsed/>
    <w:rsid w:val="00AE70E8"/>
    <w:pPr>
      <w:spacing w:after="120" w:line="240" w:lineRule="auto"/>
    </w:pPr>
    <w:rPr>
      <w:rFonts w:eastAsia="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AE70E8"/>
    <w:rPr>
      <w:rFonts w:eastAsia="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E70E8"/>
    <w:rPr>
      <w:b/>
      <w:bCs/>
    </w:rPr>
  </w:style>
  <w:style w:type="character" w:customStyle="1" w:styleId="CommentSubjectChar">
    <w:name w:val="Comment Subject Char"/>
    <w:basedOn w:val="CommentTextChar"/>
    <w:link w:val="CommentSubject"/>
    <w:uiPriority w:val="99"/>
    <w:semiHidden/>
    <w:rsid w:val="00AE70E8"/>
    <w:rPr>
      <w:rFonts w:eastAsia="Times New Roman" w:cs="Times New Roman"/>
      <w:b/>
      <w:bCs/>
      <w:kern w:val="0"/>
      <w:sz w:val="20"/>
      <w:szCs w:val="20"/>
      <w14:ligatures w14:val="none"/>
    </w:rPr>
  </w:style>
  <w:style w:type="character" w:customStyle="1" w:styleId="overflow-hidden">
    <w:name w:val="overflow-hidden"/>
    <w:basedOn w:val="DefaultParagraphFont"/>
    <w:rsid w:val="00AE70E8"/>
  </w:style>
  <w:style w:type="paragraph" w:customStyle="1" w:styleId="ListActionItems">
    <w:name w:val="List Action Items"/>
    <w:basedOn w:val="ListParagraph"/>
    <w:qFormat/>
    <w:rsid w:val="00AE70E8"/>
    <w:pPr>
      <w:spacing w:after="120" w:line="240" w:lineRule="auto"/>
      <w:ind w:hanging="360"/>
    </w:pPr>
    <w:rPr>
      <w:rFonts w:eastAsia="Times New Roman" w:cs="Times New Roman"/>
      <w:i/>
      <w:iCs/>
      <w:kern w:val="0"/>
      <w:sz w:val="22"/>
      <w:szCs w:val="22"/>
      <w14:ligatures w14:val="none"/>
    </w:rPr>
  </w:style>
  <w:style w:type="numbering" w:customStyle="1" w:styleId="CurrentList1">
    <w:name w:val="Current List1"/>
    <w:uiPriority w:val="99"/>
    <w:rsid w:val="00AE70E8"/>
    <w:pPr>
      <w:numPr>
        <w:numId w:val="4"/>
      </w:numPr>
    </w:pPr>
  </w:style>
  <w:style w:type="numbering" w:customStyle="1" w:styleId="CurrentList2">
    <w:name w:val="Current List2"/>
    <w:uiPriority w:val="99"/>
    <w:rsid w:val="00AE70E8"/>
    <w:pPr>
      <w:numPr>
        <w:numId w:val="5"/>
      </w:numPr>
    </w:pPr>
  </w:style>
  <w:style w:type="paragraph" w:styleId="Footer">
    <w:name w:val="footer"/>
    <w:basedOn w:val="Normal"/>
    <w:link w:val="FooterChar"/>
    <w:uiPriority w:val="99"/>
    <w:unhideWhenUsed/>
    <w:rsid w:val="00AE70E8"/>
    <w:pPr>
      <w:tabs>
        <w:tab w:val="center" w:pos="4680"/>
        <w:tab w:val="right" w:pos="9360"/>
      </w:tabs>
      <w:spacing w:after="0" w:line="240" w:lineRule="auto"/>
    </w:pPr>
    <w:rPr>
      <w:rFonts w:eastAsia="Times New Roman" w:cs="Times New Roman"/>
      <w:kern w:val="0"/>
      <w14:ligatures w14:val="none"/>
    </w:rPr>
  </w:style>
  <w:style w:type="character" w:customStyle="1" w:styleId="FooterChar">
    <w:name w:val="Footer Char"/>
    <w:basedOn w:val="DefaultParagraphFont"/>
    <w:link w:val="Footer"/>
    <w:uiPriority w:val="99"/>
    <w:rsid w:val="00AE70E8"/>
    <w:rPr>
      <w:rFonts w:eastAsia="Times New Roman" w:cs="Times New Roman"/>
      <w:kern w:val="0"/>
      <w14:ligatures w14:val="none"/>
    </w:rPr>
  </w:style>
  <w:style w:type="character" w:styleId="PageNumber">
    <w:name w:val="page number"/>
    <w:basedOn w:val="DefaultParagraphFont"/>
    <w:uiPriority w:val="99"/>
    <w:semiHidden/>
    <w:unhideWhenUsed/>
    <w:rsid w:val="00AE70E8"/>
  </w:style>
  <w:style w:type="paragraph" w:styleId="TOC1">
    <w:name w:val="toc 1"/>
    <w:basedOn w:val="Normal"/>
    <w:next w:val="Normal"/>
    <w:autoRedefine/>
    <w:uiPriority w:val="39"/>
    <w:unhideWhenUsed/>
    <w:rsid w:val="00081EA0"/>
    <w:pPr>
      <w:tabs>
        <w:tab w:val="left" w:pos="480"/>
        <w:tab w:val="right" w:leader="dot" w:pos="9350"/>
      </w:tabs>
      <w:spacing w:before="120" w:after="120"/>
    </w:pPr>
    <w:rPr>
      <w:szCs w:val="20"/>
      <w:lang w:val="en-US"/>
    </w:rPr>
  </w:style>
  <w:style w:type="paragraph" w:styleId="TOC2">
    <w:name w:val="toc 2"/>
    <w:basedOn w:val="Normal"/>
    <w:next w:val="Normal"/>
    <w:autoRedefine/>
    <w:uiPriority w:val="39"/>
    <w:unhideWhenUsed/>
    <w:rsid w:val="009B1206"/>
    <w:pPr>
      <w:tabs>
        <w:tab w:val="left" w:pos="960"/>
        <w:tab w:val="right" w:leader="dot" w:pos="9350"/>
      </w:tabs>
      <w:spacing w:after="0"/>
      <w:ind w:left="240"/>
    </w:pPr>
    <w:rPr>
      <w:noProof/>
      <w:szCs w:val="20"/>
    </w:rPr>
  </w:style>
  <w:style w:type="paragraph" w:styleId="TOC3">
    <w:name w:val="toc 3"/>
    <w:basedOn w:val="Normal"/>
    <w:next w:val="Normal"/>
    <w:autoRedefine/>
    <w:uiPriority w:val="39"/>
    <w:unhideWhenUsed/>
    <w:rsid w:val="009B1206"/>
    <w:pPr>
      <w:tabs>
        <w:tab w:val="left" w:pos="1200"/>
        <w:tab w:val="right" w:leader="dot" w:pos="9350"/>
      </w:tabs>
      <w:spacing w:after="0"/>
      <w:ind w:left="480"/>
    </w:pPr>
    <w:rPr>
      <w:i/>
      <w:iCs/>
      <w:noProof/>
      <w:szCs w:val="20"/>
    </w:rPr>
  </w:style>
  <w:style w:type="character" w:styleId="Hyperlink">
    <w:name w:val="Hyperlink"/>
    <w:basedOn w:val="DefaultParagraphFont"/>
    <w:uiPriority w:val="99"/>
    <w:unhideWhenUsed/>
    <w:rsid w:val="00AE70E8"/>
    <w:rPr>
      <w:color w:val="467886" w:themeColor="hyperlink"/>
      <w:u w:val="single"/>
    </w:rPr>
  </w:style>
  <w:style w:type="paragraph" w:styleId="Header">
    <w:name w:val="header"/>
    <w:basedOn w:val="Normal"/>
    <w:link w:val="HeaderChar"/>
    <w:uiPriority w:val="99"/>
    <w:unhideWhenUsed/>
    <w:rsid w:val="00AE70E8"/>
    <w:pPr>
      <w:tabs>
        <w:tab w:val="center" w:pos="4680"/>
        <w:tab w:val="right" w:pos="9360"/>
      </w:tabs>
      <w:spacing w:after="0" w:line="240" w:lineRule="auto"/>
    </w:pPr>
    <w:rPr>
      <w:rFonts w:eastAsia="Times New Roman" w:cs="Times New Roman"/>
      <w:kern w:val="0"/>
      <w14:ligatures w14:val="none"/>
    </w:rPr>
  </w:style>
  <w:style w:type="character" w:customStyle="1" w:styleId="HeaderChar">
    <w:name w:val="Header Char"/>
    <w:basedOn w:val="DefaultParagraphFont"/>
    <w:link w:val="Header"/>
    <w:uiPriority w:val="99"/>
    <w:rsid w:val="00AE70E8"/>
    <w:rPr>
      <w:rFonts w:eastAsia="Times New Roman" w:cs="Times New Roman"/>
      <w:kern w:val="0"/>
      <w14:ligatures w14:val="none"/>
    </w:rPr>
  </w:style>
  <w:style w:type="numbering" w:customStyle="1" w:styleId="CurrentList3">
    <w:name w:val="Current List3"/>
    <w:uiPriority w:val="99"/>
    <w:rsid w:val="00AE70E8"/>
    <w:pPr>
      <w:numPr>
        <w:numId w:val="6"/>
      </w:numPr>
    </w:pPr>
  </w:style>
  <w:style w:type="character" w:styleId="FollowedHyperlink">
    <w:name w:val="FollowedHyperlink"/>
    <w:basedOn w:val="DefaultParagraphFont"/>
    <w:uiPriority w:val="99"/>
    <w:semiHidden/>
    <w:unhideWhenUsed/>
    <w:rsid w:val="00AE70E8"/>
    <w:rPr>
      <w:color w:val="96607D" w:themeColor="followedHyperlink"/>
      <w:u w:val="single"/>
    </w:rPr>
  </w:style>
  <w:style w:type="character" w:styleId="UnresolvedMention">
    <w:name w:val="Unresolved Mention"/>
    <w:basedOn w:val="DefaultParagraphFont"/>
    <w:uiPriority w:val="99"/>
    <w:rsid w:val="00AE70E8"/>
    <w:rPr>
      <w:color w:val="605E5C"/>
      <w:shd w:val="clear" w:color="auto" w:fill="E1DFDD"/>
    </w:rPr>
  </w:style>
  <w:style w:type="paragraph" w:styleId="Revision">
    <w:name w:val="Revision"/>
    <w:hidden/>
    <w:uiPriority w:val="99"/>
    <w:semiHidden/>
    <w:rsid w:val="00AE70E8"/>
    <w:pPr>
      <w:spacing w:after="0" w:line="240" w:lineRule="auto"/>
    </w:pPr>
    <w:rPr>
      <w:rFonts w:eastAsia="Times New Roman" w:cs="Times New Roman"/>
      <w:kern w:val="0"/>
      <w14:ligatures w14:val="none"/>
    </w:rPr>
  </w:style>
  <w:style w:type="numbering" w:styleId="1ai">
    <w:name w:val="Outline List 1"/>
    <w:basedOn w:val="NoList"/>
    <w:uiPriority w:val="99"/>
    <w:semiHidden/>
    <w:unhideWhenUsed/>
    <w:rsid w:val="00AE70E8"/>
    <w:pPr>
      <w:numPr>
        <w:numId w:val="7"/>
      </w:numPr>
    </w:pPr>
  </w:style>
  <w:style w:type="paragraph" w:styleId="TOC4">
    <w:name w:val="toc 4"/>
    <w:basedOn w:val="Normal"/>
    <w:next w:val="Normal"/>
    <w:autoRedefine/>
    <w:uiPriority w:val="39"/>
    <w:unhideWhenUsed/>
    <w:rsid w:val="009B1206"/>
    <w:pPr>
      <w:tabs>
        <w:tab w:val="left" w:pos="1680"/>
        <w:tab w:val="right" w:leader="dot" w:pos="9350"/>
      </w:tabs>
      <w:spacing w:after="0"/>
      <w:ind w:left="720"/>
    </w:pPr>
    <w:rPr>
      <w:noProof/>
      <w:szCs w:val="18"/>
    </w:rPr>
  </w:style>
  <w:style w:type="paragraph" w:styleId="TOC5">
    <w:name w:val="toc 5"/>
    <w:basedOn w:val="Normal"/>
    <w:next w:val="Normal"/>
    <w:autoRedefine/>
    <w:uiPriority w:val="39"/>
    <w:unhideWhenUsed/>
    <w:rsid w:val="00C82398"/>
    <w:pPr>
      <w:spacing w:after="0"/>
      <w:ind w:left="960"/>
    </w:pPr>
    <w:rPr>
      <w:sz w:val="18"/>
      <w:szCs w:val="18"/>
    </w:rPr>
  </w:style>
  <w:style w:type="paragraph" w:styleId="TOC6">
    <w:name w:val="toc 6"/>
    <w:basedOn w:val="Normal"/>
    <w:next w:val="Normal"/>
    <w:autoRedefine/>
    <w:uiPriority w:val="39"/>
    <w:unhideWhenUsed/>
    <w:rsid w:val="00C82398"/>
    <w:pPr>
      <w:spacing w:after="0"/>
      <w:ind w:left="1200"/>
    </w:pPr>
    <w:rPr>
      <w:sz w:val="18"/>
      <w:szCs w:val="18"/>
    </w:rPr>
  </w:style>
  <w:style w:type="paragraph" w:styleId="TOC7">
    <w:name w:val="toc 7"/>
    <w:basedOn w:val="Normal"/>
    <w:next w:val="Normal"/>
    <w:autoRedefine/>
    <w:uiPriority w:val="39"/>
    <w:unhideWhenUsed/>
    <w:rsid w:val="00C82398"/>
    <w:pPr>
      <w:spacing w:after="0"/>
      <w:ind w:left="1440"/>
    </w:pPr>
    <w:rPr>
      <w:sz w:val="18"/>
      <w:szCs w:val="18"/>
    </w:rPr>
  </w:style>
  <w:style w:type="paragraph" w:styleId="TOC8">
    <w:name w:val="toc 8"/>
    <w:basedOn w:val="Normal"/>
    <w:next w:val="Normal"/>
    <w:autoRedefine/>
    <w:uiPriority w:val="39"/>
    <w:unhideWhenUsed/>
    <w:rsid w:val="00C82398"/>
    <w:pPr>
      <w:spacing w:after="0"/>
      <w:ind w:left="1680"/>
    </w:pPr>
    <w:rPr>
      <w:sz w:val="18"/>
      <w:szCs w:val="18"/>
    </w:rPr>
  </w:style>
  <w:style w:type="paragraph" w:styleId="TOC9">
    <w:name w:val="toc 9"/>
    <w:basedOn w:val="Normal"/>
    <w:next w:val="Normal"/>
    <w:autoRedefine/>
    <w:uiPriority w:val="39"/>
    <w:unhideWhenUsed/>
    <w:rsid w:val="00C82398"/>
    <w:pPr>
      <w:spacing w:after="0"/>
      <w:ind w:left="1920"/>
    </w:pPr>
    <w:rPr>
      <w:sz w:val="18"/>
      <w:szCs w:val="18"/>
    </w:rPr>
  </w:style>
  <w:style w:type="paragraph" w:customStyle="1" w:styleId="paragraph">
    <w:name w:val="paragraph"/>
    <w:basedOn w:val="Normal"/>
    <w:rsid w:val="00C44488"/>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normaltextrun">
    <w:name w:val="normaltextrun"/>
    <w:basedOn w:val="DefaultParagraphFont"/>
    <w:rsid w:val="00C44488"/>
  </w:style>
  <w:style w:type="character" w:customStyle="1" w:styleId="eop">
    <w:name w:val="eop"/>
    <w:basedOn w:val="DefaultParagraphFont"/>
    <w:rsid w:val="00C4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855258">
      <w:bodyDiv w:val="1"/>
      <w:marLeft w:val="0"/>
      <w:marRight w:val="0"/>
      <w:marTop w:val="0"/>
      <w:marBottom w:val="0"/>
      <w:divBdr>
        <w:top w:val="none" w:sz="0" w:space="0" w:color="auto"/>
        <w:left w:val="none" w:sz="0" w:space="0" w:color="auto"/>
        <w:bottom w:val="none" w:sz="0" w:space="0" w:color="auto"/>
        <w:right w:val="none" w:sz="0" w:space="0" w:color="auto"/>
      </w:divBdr>
    </w:div>
    <w:div w:id="1715502873">
      <w:bodyDiv w:val="1"/>
      <w:marLeft w:val="0"/>
      <w:marRight w:val="0"/>
      <w:marTop w:val="0"/>
      <w:marBottom w:val="0"/>
      <w:divBdr>
        <w:top w:val="none" w:sz="0" w:space="0" w:color="auto"/>
        <w:left w:val="none" w:sz="0" w:space="0" w:color="auto"/>
        <w:bottom w:val="none" w:sz="0" w:space="0" w:color="auto"/>
        <w:right w:val="none" w:sz="0" w:space="0" w:color="auto"/>
      </w:divBdr>
    </w:div>
    <w:div w:id="18344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reativecommons.org/licenses/by/4.0/legalcode.f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svg"/><Relationship Id="rId10" Type="http://schemas.openxmlformats.org/officeDocument/2006/relationships/endnotes" Target="endnotes.xml"/><Relationship Id="rId19" Type="http://schemas.openxmlformats.org/officeDocument/2006/relationships/hyperlink" Target="https://accessibilite.canada.ca/en-301-549-exigences-daccessibilite-pour-les-produits-et-services-t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a7f579a-07c7-430a-9665-07d240587318">
      <Terms xmlns="http://schemas.microsoft.com/office/infopath/2007/PartnerControls"/>
    </lcf76f155ced4ddcb4097134ff3c332f>
    <TaxCatchAll xmlns="48fda17e-6284-4bdc-b8c9-8123acd18ac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0C8D150997A1428DF79E449A3BEEA5" ma:contentTypeVersion="14" ma:contentTypeDescription="Create a new document." ma:contentTypeScope="" ma:versionID="90f858e7ad0a9fd23d992eb434673f49">
  <xsd:schema xmlns:xsd="http://www.w3.org/2001/XMLSchema" xmlns:xs="http://www.w3.org/2001/XMLSchema" xmlns:p="http://schemas.microsoft.com/office/2006/metadata/properties" xmlns:ns2="9a7f579a-07c7-430a-9665-07d240587318" xmlns:ns3="48fda17e-6284-4bdc-b8c9-8123acd18ac8" targetNamespace="http://schemas.microsoft.com/office/2006/metadata/properties" ma:root="true" ma:fieldsID="1a4276dc3bdaa6511f4dc7148c706a6d" ns2:_="" ns3:_="">
    <xsd:import namespace="9a7f579a-07c7-430a-9665-07d240587318"/>
    <xsd:import namespace="48fda17e-6284-4bdc-b8c9-8123acd18ac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f579a-07c7-430a-9665-07d24058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fda17e-6284-4bdc-b8c9-8123acd18ac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fabf008-e5d1-4acc-97f1-accc545f062a}" ma:internalName="TaxCatchAll" ma:showField="CatchAllData" ma:web="48fda17e-6284-4bdc-b8c9-8123acd18ac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4D390B-529D-4BE6-98F8-B48FC8CD041E}">
  <ds:schemaRefs>
    <ds:schemaRef ds:uri="http://schemas.microsoft.com/office/2006/metadata/properties"/>
    <ds:schemaRef ds:uri="http://schemas.microsoft.com/office/infopath/2007/PartnerControls"/>
    <ds:schemaRef ds:uri="9a7f579a-07c7-430a-9665-07d240587318"/>
    <ds:schemaRef ds:uri="48fda17e-6284-4bdc-b8c9-8123acd18ac8"/>
  </ds:schemaRefs>
</ds:datastoreItem>
</file>

<file path=customXml/itemProps2.xml><?xml version="1.0" encoding="utf-8"?>
<ds:datastoreItem xmlns:ds="http://schemas.openxmlformats.org/officeDocument/2006/customXml" ds:itemID="{E388312E-C4D5-4253-9D3F-BA5438418680}">
  <ds:schemaRefs>
    <ds:schemaRef ds:uri="http://schemas.openxmlformats.org/officeDocument/2006/bibliography"/>
  </ds:schemaRefs>
</ds:datastoreItem>
</file>

<file path=customXml/itemProps3.xml><?xml version="1.0" encoding="utf-8"?>
<ds:datastoreItem xmlns:ds="http://schemas.openxmlformats.org/officeDocument/2006/customXml" ds:itemID="{874B3E58-0046-4215-9929-67C3587DA219}">
  <ds:schemaRefs>
    <ds:schemaRef ds:uri="http://schemas.microsoft.com/sharepoint/v3/contenttype/forms"/>
  </ds:schemaRefs>
</ds:datastoreItem>
</file>

<file path=customXml/itemProps4.xml><?xml version="1.0" encoding="utf-8"?>
<ds:datastoreItem xmlns:ds="http://schemas.openxmlformats.org/officeDocument/2006/customXml" ds:itemID="{1A967D8A-05F9-4863-AA61-2600601CC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f579a-07c7-430a-9665-07d240587318"/>
    <ds:schemaRef ds:uri="48fda17e-6284-4bdc-b8c9-8123acd18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7350</Words>
  <Characters>41900</Characters>
  <Application>Microsoft Office Word</Application>
  <DocSecurity>4</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49152</CharactersWithSpaces>
  <SharedDoc>false</SharedDoc>
  <HLinks>
    <vt:vector size="252" baseType="variant">
      <vt:variant>
        <vt:i4>5111872</vt:i4>
      </vt:variant>
      <vt:variant>
        <vt:i4>249</vt:i4>
      </vt:variant>
      <vt:variant>
        <vt:i4>0</vt:i4>
      </vt:variant>
      <vt:variant>
        <vt:i4>5</vt:i4>
      </vt:variant>
      <vt:variant>
        <vt:lpwstr>https://accessibilite.canada.ca/en-301-549-exigences-daccessibilite-pour-les-produits-et-services-tic</vt:lpwstr>
      </vt:variant>
      <vt:variant>
        <vt:lpwstr/>
      </vt:variant>
      <vt:variant>
        <vt:i4>1835065</vt:i4>
      </vt:variant>
      <vt:variant>
        <vt:i4>242</vt:i4>
      </vt:variant>
      <vt:variant>
        <vt:i4>0</vt:i4>
      </vt:variant>
      <vt:variant>
        <vt:i4>5</vt:i4>
      </vt:variant>
      <vt:variant>
        <vt:lpwstr/>
      </vt:variant>
      <vt:variant>
        <vt:lpwstr>_Toc179379669</vt:lpwstr>
      </vt:variant>
      <vt:variant>
        <vt:i4>1835065</vt:i4>
      </vt:variant>
      <vt:variant>
        <vt:i4>236</vt:i4>
      </vt:variant>
      <vt:variant>
        <vt:i4>0</vt:i4>
      </vt:variant>
      <vt:variant>
        <vt:i4>5</vt:i4>
      </vt:variant>
      <vt:variant>
        <vt:lpwstr/>
      </vt:variant>
      <vt:variant>
        <vt:lpwstr>_Toc179379668</vt:lpwstr>
      </vt:variant>
      <vt:variant>
        <vt:i4>1835065</vt:i4>
      </vt:variant>
      <vt:variant>
        <vt:i4>230</vt:i4>
      </vt:variant>
      <vt:variant>
        <vt:i4>0</vt:i4>
      </vt:variant>
      <vt:variant>
        <vt:i4>5</vt:i4>
      </vt:variant>
      <vt:variant>
        <vt:lpwstr/>
      </vt:variant>
      <vt:variant>
        <vt:lpwstr>_Toc179379667</vt:lpwstr>
      </vt:variant>
      <vt:variant>
        <vt:i4>1835065</vt:i4>
      </vt:variant>
      <vt:variant>
        <vt:i4>224</vt:i4>
      </vt:variant>
      <vt:variant>
        <vt:i4>0</vt:i4>
      </vt:variant>
      <vt:variant>
        <vt:i4>5</vt:i4>
      </vt:variant>
      <vt:variant>
        <vt:lpwstr/>
      </vt:variant>
      <vt:variant>
        <vt:lpwstr>_Toc179379666</vt:lpwstr>
      </vt:variant>
      <vt:variant>
        <vt:i4>1835065</vt:i4>
      </vt:variant>
      <vt:variant>
        <vt:i4>218</vt:i4>
      </vt:variant>
      <vt:variant>
        <vt:i4>0</vt:i4>
      </vt:variant>
      <vt:variant>
        <vt:i4>5</vt:i4>
      </vt:variant>
      <vt:variant>
        <vt:lpwstr/>
      </vt:variant>
      <vt:variant>
        <vt:lpwstr>_Toc179379665</vt:lpwstr>
      </vt:variant>
      <vt:variant>
        <vt:i4>1835065</vt:i4>
      </vt:variant>
      <vt:variant>
        <vt:i4>212</vt:i4>
      </vt:variant>
      <vt:variant>
        <vt:i4>0</vt:i4>
      </vt:variant>
      <vt:variant>
        <vt:i4>5</vt:i4>
      </vt:variant>
      <vt:variant>
        <vt:lpwstr/>
      </vt:variant>
      <vt:variant>
        <vt:lpwstr>_Toc179379664</vt:lpwstr>
      </vt:variant>
      <vt:variant>
        <vt:i4>1835065</vt:i4>
      </vt:variant>
      <vt:variant>
        <vt:i4>206</vt:i4>
      </vt:variant>
      <vt:variant>
        <vt:i4>0</vt:i4>
      </vt:variant>
      <vt:variant>
        <vt:i4>5</vt:i4>
      </vt:variant>
      <vt:variant>
        <vt:lpwstr/>
      </vt:variant>
      <vt:variant>
        <vt:lpwstr>_Toc179379663</vt:lpwstr>
      </vt:variant>
      <vt:variant>
        <vt:i4>1835065</vt:i4>
      </vt:variant>
      <vt:variant>
        <vt:i4>200</vt:i4>
      </vt:variant>
      <vt:variant>
        <vt:i4>0</vt:i4>
      </vt:variant>
      <vt:variant>
        <vt:i4>5</vt:i4>
      </vt:variant>
      <vt:variant>
        <vt:lpwstr/>
      </vt:variant>
      <vt:variant>
        <vt:lpwstr>_Toc179379662</vt:lpwstr>
      </vt:variant>
      <vt:variant>
        <vt:i4>1835065</vt:i4>
      </vt:variant>
      <vt:variant>
        <vt:i4>194</vt:i4>
      </vt:variant>
      <vt:variant>
        <vt:i4>0</vt:i4>
      </vt:variant>
      <vt:variant>
        <vt:i4>5</vt:i4>
      </vt:variant>
      <vt:variant>
        <vt:lpwstr/>
      </vt:variant>
      <vt:variant>
        <vt:lpwstr>_Toc179379661</vt:lpwstr>
      </vt:variant>
      <vt:variant>
        <vt:i4>1835065</vt:i4>
      </vt:variant>
      <vt:variant>
        <vt:i4>188</vt:i4>
      </vt:variant>
      <vt:variant>
        <vt:i4>0</vt:i4>
      </vt:variant>
      <vt:variant>
        <vt:i4>5</vt:i4>
      </vt:variant>
      <vt:variant>
        <vt:lpwstr/>
      </vt:variant>
      <vt:variant>
        <vt:lpwstr>_Toc179379660</vt:lpwstr>
      </vt:variant>
      <vt:variant>
        <vt:i4>2031673</vt:i4>
      </vt:variant>
      <vt:variant>
        <vt:i4>182</vt:i4>
      </vt:variant>
      <vt:variant>
        <vt:i4>0</vt:i4>
      </vt:variant>
      <vt:variant>
        <vt:i4>5</vt:i4>
      </vt:variant>
      <vt:variant>
        <vt:lpwstr/>
      </vt:variant>
      <vt:variant>
        <vt:lpwstr>_Toc179379659</vt:lpwstr>
      </vt:variant>
      <vt:variant>
        <vt:i4>2031673</vt:i4>
      </vt:variant>
      <vt:variant>
        <vt:i4>176</vt:i4>
      </vt:variant>
      <vt:variant>
        <vt:i4>0</vt:i4>
      </vt:variant>
      <vt:variant>
        <vt:i4>5</vt:i4>
      </vt:variant>
      <vt:variant>
        <vt:lpwstr/>
      </vt:variant>
      <vt:variant>
        <vt:lpwstr>_Toc179379658</vt:lpwstr>
      </vt:variant>
      <vt:variant>
        <vt:i4>2031673</vt:i4>
      </vt:variant>
      <vt:variant>
        <vt:i4>170</vt:i4>
      </vt:variant>
      <vt:variant>
        <vt:i4>0</vt:i4>
      </vt:variant>
      <vt:variant>
        <vt:i4>5</vt:i4>
      </vt:variant>
      <vt:variant>
        <vt:lpwstr/>
      </vt:variant>
      <vt:variant>
        <vt:lpwstr>_Toc179379657</vt:lpwstr>
      </vt:variant>
      <vt:variant>
        <vt:i4>2031673</vt:i4>
      </vt:variant>
      <vt:variant>
        <vt:i4>164</vt:i4>
      </vt:variant>
      <vt:variant>
        <vt:i4>0</vt:i4>
      </vt:variant>
      <vt:variant>
        <vt:i4>5</vt:i4>
      </vt:variant>
      <vt:variant>
        <vt:lpwstr/>
      </vt:variant>
      <vt:variant>
        <vt:lpwstr>_Toc179379656</vt:lpwstr>
      </vt:variant>
      <vt:variant>
        <vt:i4>2031673</vt:i4>
      </vt:variant>
      <vt:variant>
        <vt:i4>158</vt:i4>
      </vt:variant>
      <vt:variant>
        <vt:i4>0</vt:i4>
      </vt:variant>
      <vt:variant>
        <vt:i4>5</vt:i4>
      </vt:variant>
      <vt:variant>
        <vt:lpwstr/>
      </vt:variant>
      <vt:variant>
        <vt:lpwstr>_Toc179379655</vt:lpwstr>
      </vt:variant>
      <vt:variant>
        <vt:i4>2031673</vt:i4>
      </vt:variant>
      <vt:variant>
        <vt:i4>152</vt:i4>
      </vt:variant>
      <vt:variant>
        <vt:i4>0</vt:i4>
      </vt:variant>
      <vt:variant>
        <vt:i4>5</vt:i4>
      </vt:variant>
      <vt:variant>
        <vt:lpwstr/>
      </vt:variant>
      <vt:variant>
        <vt:lpwstr>_Toc179379654</vt:lpwstr>
      </vt:variant>
      <vt:variant>
        <vt:i4>2031673</vt:i4>
      </vt:variant>
      <vt:variant>
        <vt:i4>146</vt:i4>
      </vt:variant>
      <vt:variant>
        <vt:i4>0</vt:i4>
      </vt:variant>
      <vt:variant>
        <vt:i4>5</vt:i4>
      </vt:variant>
      <vt:variant>
        <vt:lpwstr/>
      </vt:variant>
      <vt:variant>
        <vt:lpwstr>_Toc179379653</vt:lpwstr>
      </vt:variant>
      <vt:variant>
        <vt:i4>2031673</vt:i4>
      </vt:variant>
      <vt:variant>
        <vt:i4>140</vt:i4>
      </vt:variant>
      <vt:variant>
        <vt:i4>0</vt:i4>
      </vt:variant>
      <vt:variant>
        <vt:i4>5</vt:i4>
      </vt:variant>
      <vt:variant>
        <vt:lpwstr/>
      </vt:variant>
      <vt:variant>
        <vt:lpwstr>_Toc179379652</vt:lpwstr>
      </vt:variant>
      <vt:variant>
        <vt:i4>2031673</vt:i4>
      </vt:variant>
      <vt:variant>
        <vt:i4>134</vt:i4>
      </vt:variant>
      <vt:variant>
        <vt:i4>0</vt:i4>
      </vt:variant>
      <vt:variant>
        <vt:i4>5</vt:i4>
      </vt:variant>
      <vt:variant>
        <vt:lpwstr/>
      </vt:variant>
      <vt:variant>
        <vt:lpwstr>_Toc179379651</vt:lpwstr>
      </vt:variant>
      <vt:variant>
        <vt:i4>2031673</vt:i4>
      </vt:variant>
      <vt:variant>
        <vt:i4>128</vt:i4>
      </vt:variant>
      <vt:variant>
        <vt:i4>0</vt:i4>
      </vt:variant>
      <vt:variant>
        <vt:i4>5</vt:i4>
      </vt:variant>
      <vt:variant>
        <vt:lpwstr/>
      </vt:variant>
      <vt:variant>
        <vt:lpwstr>_Toc179379650</vt:lpwstr>
      </vt:variant>
      <vt:variant>
        <vt:i4>1966137</vt:i4>
      </vt:variant>
      <vt:variant>
        <vt:i4>122</vt:i4>
      </vt:variant>
      <vt:variant>
        <vt:i4>0</vt:i4>
      </vt:variant>
      <vt:variant>
        <vt:i4>5</vt:i4>
      </vt:variant>
      <vt:variant>
        <vt:lpwstr/>
      </vt:variant>
      <vt:variant>
        <vt:lpwstr>_Toc179379649</vt:lpwstr>
      </vt:variant>
      <vt:variant>
        <vt:i4>1966137</vt:i4>
      </vt:variant>
      <vt:variant>
        <vt:i4>116</vt:i4>
      </vt:variant>
      <vt:variant>
        <vt:i4>0</vt:i4>
      </vt:variant>
      <vt:variant>
        <vt:i4>5</vt:i4>
      </vt:variant>
      <vt:variant>
        <vt:lpwstr/>
      </vt:variant>
      <vt:variant>
        <vt:lpwstr>_Toc179379648</vt:lpwstr>
      </vt:variant>
      <vt:variant>
        <vt:i4>1966137</vt:i4>
      </vt:variant>
      <vt:variant>
        <vt:i4>110</vt:i4>
      </vt:variant>
      <vt:variant>
        <vt:i4>0</vt:i4>
      </vt:variant>
      <vt:variant>
        <vt:i4>5</vt:i4>
      </vt:variant>
      <vt:variant>
        <vt:lpwstr/>
      </vt:variant>
      <vt:variant>
        <vt:lpwstr>_Toc179379647</vt:lpwstr>
      </vt:variant>
      <vt:variant>
        <vt:i4>1966137</vt:i4>
      </vt:variant>
      <vt:variant>
        <vt:i4>104</vt:i4>
      </vt:variant>
      <vt:variant>
        <vt:i4>0</vt:i4>
      </vt:variant>
      <vt:variant>
        <vt:i4>5</vt:i4>
      </vt:variant>
      <vt:variant>
        <vt:lpwstr/>
      </vt:variant>
      <vt:variant>
        <vt:lpwstr>_Toc179379646</vt:lpwstr>
      </vt:variant>
      <vt:variant>
        <vt:i4>1966137</vt:i4>
      </vt:variant>
      <vt:variant>
        <vt:i4>98</vt:i4>
      </vt:variant>
      <vt:variant>
        <vt:i4>0</vt:i4>
      </vt:variant>
      <vt:variant>
        <vt:i4>5</vt:i4>
      </vt:variant>
      <vt:variant>
        <vt:lpwstr/>
      </vt:variant>
      <vt:variant>
        <vt:lpwstr>_Toc179379645</vt:lpwstr>
      </vt:variant>
      <vt:variant>
        <vt:i4>1966137</vt:i4>
      </vt:variant>
      <vt:variant>
        <vt:i4>92</vt:i4>
      </vt:variant>
      <vt:variant>
        <vt:i4>0</vt:i4>
      </vt:variant>
      <vt:variant>
        <vt:i4>5</vt:i4>
      </vt:variant>
      <vt:variant>
        <vt:lpwstr/>
      </vt:variant>
      <vt:variant>
        <vt:lpwstr>_Toc179379644</vt:lpwstr>
      </vt:variant>
      <vt:variant>
        <vt:i4>1966137</vt:i4>
      </vt:variant>
      <vt:variant>
        <vt:i4>86</vt:i4>
      </vt:variant>
      <vt:variant>
        <vt:i4>0</vt:i4>
      </vt:variant>
      <vt:variant>
        <vt:i4>5</vt:i4>
      </vt:variant>
      <vt:variant>
        <vt:lpwstr/>
      </vt:variant>
      <vt:variant>
        <vt:lpwstr>_Toc179379643</vt:lpwstr>
      </vt:variant>
      <vt:variant>
        <vt:i4>1966137</vt:i4>
      </vt:variant>
      <vt:variant>
        <vt:i4>80</vt:i4>
      </vt:variant>
      <vt:variant>
        <vt:i4>0</vt:i4>
      </vt:variant>
      <vt:variant>
        <vt:i4>5</vt:i4>
      </vt:variant>
      <vt:variant>
        <vt:lpwstr/>
      </vt:variant>
      <vt:variant>
        <vt:lpwstr>_Toc179379642</vt:lpwstr>
      </vt:variant>
      <vt:variant>
        <vt:i4>1966137</vt:i4>
      </vt:variant>
      <vt:variant>
        <vt:i4>74</vt:i4>
      </vt:variant>
      <vt:variant>
        <vt:i4>0</vt:i4>
      </vt:variant>
      <vt:variant>
        <vt:i4>5</vt:i4>
      </vt:variant>
      <vt:variant>
        <vt:lpwstr/>
      </vt:variant>
      <vt:variant>
        <vt:lpwstr>_Toc179379641</vt:lpwstr>
      </vt:variant>
      <vt:variant>
        <vt:i4>1966137</vt:i4>
      </vt:variant>
      <vt:variant>
        <vt:i4>68</vt:i4>
      </vt:variant>
      <vt:variant>
        <vt:i4>0</vt:i4>
      </vt:variant>
      <vt:variant>
        <vt:i4>5</vt:i4>
      </vt:variant>
      <vt:variant>
        <vt:lpwstr/>
      </vt:variant>
      <vt:variant>
        <vt:lpwstr>_Toc179379640</vt:lpwstr>
      </vt:variant>
      <vt:variant>
        <vt:i4>1638457</vt:i4>
      </vt:variant>
      <vt:variant>
        <vt:i4>62</vt:i4>
      </vt:variant>
      <vt:variant>
        <vt:i4>0</vt:i4>
      </vt:variant>
      <vt:variant>
        <vt:i4>5</vt:i4>
      </vt:variant>
      <vt:variant>
        <vt:lpwstr/>
      </vt:variant>
      <vt:variant>
        <vt:lpwstr>_Toc179379639</vt:lpwstr>
      </vt:variant>
      <vt:variant>
        <vt:i4>1638457</vt:i4>
      </vt:variant>
      <vt:variant>
        <vt:i4>56</vt:i4>
      </vt:variant>
      <vt:variant>
        <vt:i4>0</vt:i4>
      </vt:variant>
      <vt:variant>
        <vt:i4>5</vt:i4>
      </vt:variant>
      <vt:variant>
        <vt:lpwstr/>
      </vt:variant>
      <vt:variant>
        <vt:lpwstr>_Toc179379638</vt:lpwstr>
      </vt:variant>
      <vt:variant>
        <vt:i4>1638457</vt:i4>
      </vt:variant>
      <vt:variant>
        <vt:i4>50</vt:i4>
      </vt:variant>
      <vt:variant>
        <vt:i4>0</vt:i4>
      </vt:variant>
      <vt:variant>
        <vt:i4>5</vt:i4>
      </vt:variant>
      <vt:variant>
        <vt:lpwstr/>
      </vt:variant>
      <vt:variant>
        <vt:lpwstr>_Toc179379637</vt:lpwstr>
      </vt:variant>
      <vt:variant>
        <vt:i4>1638457</vt:i4>
      </vt:variant>
      <vt:variant>
        <vt:i4>44</vt:i4>
      </vt:variant>
      <vt:variant>
        <vt:i4>0</vt:i4>
      </vt:variant>
      <vt:variant>
        <vt:i4>5</vt:i4>
      </vt:variant>
      <vt:variant>
        <vt:lpwstr/>
      </vt:variant>
      <vt:variant>
        <vt:lpwstr>_Toc179379636</vt:lpwstr>
      </vt:variant>
      <vt:variant>
        <vt:i4>1638457</vt:i4>
      </vt:variant>
      <vt:variant>
        <vt:i4>38</vt:i4>
      </vt:variant>
      <vt:variant>
        <vt:i4>0</vt:i4>
      </vt:variant>
      <vt:variant>
        <vt:i4>5</vt:i4>
      </vt:variant>
      <vt:variant>
        <vt:lpwstr/>
      </vt:variant>
      <vt:variant>
        <vt:lpwstr>_Toc179379635</vt:lpwstr>
      </vt:variant>
      <vt:variant>
        <vt:i4>1638457</vt:i4>
      </vt:variant>
      <vt:variant>
        <vt:i4>32</vt:i4>
      </vt:variant>
      <vt:variant>
        <vt:i4>0</vt:i4>
      </vt:variant>
      <vt:variant>
        <vt:i4>5</vt:i4>
      </vt:variant>
      <vt:variant>
        <vt:lpwstr/>
      </vt:variant>
      <vt:variant>
        <vt:lpwstr>_Toc179379634</vt:lpwstr>
      </vt:variant>
      <vt:variant>
        <vt:i4>1638457</vt:i4>
      </vt:variant>
      <vt:variant>
        <vt:i4>26</vt:i4>
      </vt:variant>
      <vt:variant>
        <vt:i4>0</vt:i4>
      </vt:variant>
      <vt:variant>
        <vt:i4>5</vt:i4>
      </vt:variant>
      <vt:variant>
        <vt:lpwstr/>
      </vt:variant>
      <vt:variant>
        <vt:lpwstr>_Toc179379633</vt:lpwstr>
      </vt:variant>
      <vt:variant>
        <vt:i4>1638457</vt:i4>
      </vt:variant>
      <vt:variant>
        <vt:i4>20</vt:i4>
      </vt:variant>
      <vt:variant>
        <vt:i4>0</vt:i4>
      </vt:variant>
      <vt:variant>
        <vt:i4>5</vt:i4>
      </vt:variant>
      <vt:variant>
        <vt:lpwstr/>
      </vt:variant>
      <vt:variant>
        <vt:lpwstr>_Toc179379632</vt:lpwstr>
      </vt:variant>
      <vt:variant>
        <vt:i4>1638457</vt:i4>
      </vt:variant>
      <vt:variant>
        <vt:i4>14</vt:i4>
      </vt:variant>
      <vt:variant>
        <vt:i4>0</vt:i4>
      </vt:variant>
      <vt:variant>
        <vt:i4>5</vt:i4>
      </vt:variant>
      <vt:variant>
        <vt:lpwstr/>
      </vt:variant>
      <vt:variant>
        <vt:lpwstr>_Toc179379631</vt:lpwstr>
      </vt:variant>
      <vt:variant>
        <vt:i4>1638457</vt:i4>
      </vt:variant>
      <vt:variant>
        <vt:i4>8</vt:i4>
      </vt:variant>
      <vt:variant>
        <vt:i4>0</vt:i4>
      </vt:variant>
      <vt:variant>
        <vt:i4>5</vt:i4>
      </vt:variant>
      <vt:variant>
        <vt:lpwstr/>
      </vt:variant>
      <vt:variant>
        <vt:lpwstr>_Toc179379630</vt:lpwstr>
      </vt:variant>
      <vt:variant>
        <vt:i4>917507</vt:i4>
      </vt:variant>
      <vt:variant>
        <vt:i4>3</vt:i4>
      </vt:variant>
      <vt:variant>
        <vt:i4>0</vt:i4>
      </vt:variant>
      <vt:variant>
        <vt:i4>5</vt:i4>
      </vt:variant>
      <vt:variant>
        <vt:lpwstr>https://creativecommons.org/licenses/by/4.0/legalcode.fr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2024-10-09T16:44:00Z</dcterms:created>
  <dcterms:modified xsi:type="dcterms:W3CDTF">2024-10-09T19:20:00Z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0x010100C20C8D150997A1428DF79E449A3BEEA5</vt:lpwstr>
  </property>
</Properties>
</file>