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510B" w14:textId="77777777" w:rsidR="004E3297" w:rsidRPr="00580681" w:rsidRDefault="00000000" w:rsidP="00580681">
      <w:pPr>
        <w:pStyle w:val="Title"/>
      </w:pPr>
      <w:r w:rsidRPr="00580681">
        <w:t xml:space="preserve">The </w:t>
      </w:r>
      <w:r w:rsidRPr="00580681">
        <w:rPr>
          <w:rStyle w:val="Strong1"/>
          <w:rFonts w:asciiTheme="majorHAnsi"/>
          <w:bCs/>
        </w:rPr>
        <w:t>We Count</w:t>
      </w:r>
      <w:r w:rsidRPr="00580681">
        <w:t xml:space="preserve"> Recount: June 2021</w:t>
      </w:r>
    </w:p>
    <w:p w14:paraId="00405F90" w14:textId="67ABE1BB" w:rsidR="004E3297" w:rsidRDefault="00000000" w:rsidP="00780E8F">
      <w:pPr>
        <w:jc w:val="center"/>
      </w:pPr>
      <w:r>
        <w:rPr>
          <w:noProof/>
        </w:rPr>
        <w:drawing>
          <wp:inline distT="0" distB="0" distL="0" distR="0" wp14:anchorId="40F36A19" wp14:editId="635C58A1">
            <wp:extent cx="814812" cy="814812"/>
            <wp:effectExtent l="0" t="0" r="0" b="0"/>
            <wp:docPr id="1" name="Picture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a:extLst>
                        <a:ext uri="{C183D7F6-B498-43B3-948B-1728B52AA6E4}">
                          <adec:decorative xmlns:adec="http://schemas.microsoft.com/office/drawing/2017/decorative" val="1"/>
                        </a:ext>
                      </a:extLst>
                    </pic:cNvPr>
                    <pic:cNvPicPr/>
                  </pic:nvPicPr>
                  <pic:blipFill>
                    <a:blip r:embed="rId5" cstate="print"/>
                    <a:stretch>
                      <a:fillRect/>
                    </a:stretch>
                  </pic:blipFill>
                  <pic:spPr>
                    <a:xfrm>
                      <a:off x="0" y="0"/>
                      <a:ext cx="857206" cy="857206"/>
                    </a:xfrm>
                    <a:prstGeom prst="rect">
                      <a:avLst/>
                    </a:prstGeom>
                  </pic:spPr>
                </pic:pic>
              </a:graphicData>
            </a:graphic>
          </wp:inline>
        </w:drawing>
      </w:r>
    </w:p>
    <w:p w14:paraId="409EBB81" w14:textId="77777777" w:rsidR="004E3297" w:rsidRPr="007B1320" w:rsidRDefault="00000000" w:rsidP="00DD270E">
      <w:pPr>
        <w:rPr>
          <w:rStyle w:val="IntenseReference"/>
          <w:sz w:val="20"/>
          <w:szCs w:val="20"/>
        </w:rPr>
      </w:pPr>
      <w:r w:rsidRPr="007B1320">
        <w:rPr>
          <w:rStyle w:val="IntenseReference"/>
          <w:sz w:val="20"/>
          <w:szCs w:val="20"/>
        </w:rPr>
        <w:t>We Count is a community-driven project that addresses the inherent bias against small minorities and outliers in artificial intelligence and data analytics.</w:t>
      </w:r>
    </w:p>
    <w:p w14:paraId="2CD2942B" w14:textId="77777777" w:rsidR="004E3297" w:rsidRDefault="00000000">
      <w:pPr>
        <w:pStyle w:val="Heading1"/>
      </w:pPr>
      <w:r>
        <w:t>A Message from Our Director</w:t>
      </w:r>
    </w:p>
    <w:p w14:paraId="258AFF5A" w14:textId="77777777" w:rsidR="004E3297" w:rsidRDefault="00000000" w:rsidP="00780E8F">
      <w:r>
        <w:t>Friends and colleagues,</w:t>
      </w:r>
    </w:p>
    <w:p w14:paraId="6072EF58" w14:textId="77777777" w:rsidR="004E3297" w:rsidRDefault="00000000" w:rsidP="00780E8F">
      <w:r>
        <w:t xml:space="preserve">One of the lessons of the We Count project is that data is not objective, it is not synonymous with truth, and it will never tell the whole story. Every stage of the data </w:t>
      </w:r>
      <w:proofErr w:type="gramStart"/>
      <w:r>
        <w:t>life-cycle</w:t>
      </w:r>
      <w:proofErr w:type="gramEnd"/>
      <w:r>
        <w:t xml:space="preserve"> is biased: what questions are asked, what is posed as a hypothesis, how the hypothesis is proved or disproved, what data is collected, how the data is analyzed, and how this guides decisions. At each stage there is a choice to ignore and make invisible a part of the truth. What the data means and what can stand in for missing data is interpreted subjectively. To make matters worse, data systems tend to become self-reinforcing and self-perpetuating. Not only does what is measured get done, but what is measured becomes the norm that people conform to and accept as convention. What is measured becomes what is valued.</w:t>
      </w:r>
    </w:p>
    <w:p w14:paraId="3454E008" w14:textId="77777777" w:rsidR="004E3297" w:rsidRDefault="00000000" w:rsidP="00780E8F">
      <w:r>
        <w:t xml:space="preserve">One of the casualties of currently accepted data practices is the perspectives and truths of minorities. Despite what we know about the fallibility of data, majority data not only rules but is sanctioned as the basis of proof and is seen as the truth. </w:t>
      </w:r>
    </w:p>
    <w:p w14:paraId="37235D50" w14:textId="77777777" w:rsidR="004E3297" w:rsidRDefault="00000000" w:rsidP="00780E8F">
      <w:r>
        <w:t xml:space="preserve">One of the questions we have been asking in the We Count project is: What are the risks to minorities in a world where majority rules? A particularly troubling risk is the risk to a sense of identity and self-worth. In We Count we are looking at ways to wrest back control over your own data and how it is used. How can we defend the truths that are made invisible and devalued by our data practices? How can </w:t>
      </w:r>
      <w:proofErr w:type="gramStart"/>
      <w:r>
        <w:t>we as a society</w:t>
      </w:r>
      <w:proofErr w:type="gramEnd"/>
      <w:r>
        <w:t xml:space="preserve"> find a way to acknowledge a more complete and diverse truth?  </w:t>
      </w:r>
    </w:p>
    <w:p w14:paraId="62BF87B3" w14:textId="77777777" w:rsidR="004E3297" w:rsidRDefault="00000000" w:rsidP="00780E8F">
      <w:r>
        <w:t>We will be organizing more opportunities to collectively explore these questions and to co-design more inclusive alternatives. Please join us.</w:t>
      </w:r>
    </w:p>
    <w:p w14:paraId="68C5BC5C" w14:textId="77777777" w:rsidR="004E3297" w:rsidRDefault="00000000" w:rsidP="00780E8F">
      <w:r>
        <w:t>All my best,</w:t>
      </w:r>
    </w:p>
    <w:p w14:paraId="04D80991" w14:textId="77777777" w:rsidR="004E3297" w:rsidRDefault="00000000" w:rsidP="00780E8F">
      <w:r>
        <w:t>Jutta</w:t>
      </w:r>
    </w:p>
    <w:p w14:paraId="6EF3A19E" w14:textId="77777777" w:rsidR="004E3297" w:rsidRPr="00780E8F" w:rsidRDefault="00000000" w:rsidP="00780E8F">
      <w:pPr>
        <w:pStyle w:val="Heading1"/>
      </w:pPr>
      <w:r w:rsidRPr="00780E8F">
        <w:lastRenderedPageBreak/>
        <w:t>News from the Field</w:t>
      </w:r>
    </w:p>
    <w:p w14:paraId="138C0F1B" w14:textId="77777777" w:rsidR="004E3297" w:rsidRDefault="00000000">
      <w:pPr>
        <w:jc w:val="center"/>
      </w:pPr>
      <w:r>
        <w:rPr>
          <w:noProof/>
        </w:rPr>
        <w:drawing>
          <wp:inline distT="0" distB="0" distL="0" distR="0" wp14:anchorId="2FB1F238" wp14:editId="58A62662">
            <wp:extent cx="2971800" cy="1555242"/>
            <wp:effectExtent l="0" t="0" r="0" b="0"/>
            <wp:docPr id="2" name="Picture2" descr="National AccessAbility Week, May 30-Ju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6" cstate="print"/>
                    <a:stretch>
                      <a:fillRect/>
                    </a:stretch>
                  </pic:blipFill>
                  <pic:spPr>
                    <a:xfrm>
                      <a:off x="0" y="0"/>
                      <a:ext cx="2971800" cy="1555242"/>
                    </a:xfrm>
                    <a:prstGeom prst="rect">
                      <a:avLst/>
                    </a:prstGeom>
                  </pic:spPr>
                </pic:pic>
              </a:graphicData>
            </a:graphic>
          </wp:inline>
        </w:drawing>
      </w:r>
    </w:p>
    <w:p w14:paraId="7F2C3714" w14:textId="77777777" w:rsidR="004E3297" w:rsidRDefault="00000000">
      <w:pPr>
        <w:pStyle w:val="IntenseQuote"/>
      </w:pPr>
      <w:r>
        <w:t xml:space="preserve">Happy National </w:t>
      </w:r>
      <w:proofErr w:type="spellStart"/>
      <w:r>
        <w:t>AccessAbility</w:t>
      </w:r>
      <w:proofErr w:type="spellEnd"/>
      <w:r>
        <w:t xml:space="preserve"> Week!</w:t>
      </w:r>
    </w:p>
    <w:p w14:paraId="5E49E3EA" w14:textId="77777777" w:rsidR="004E3297" w:rsidRPr="00780E8F" w:rsidRDefault="00000000" w:rsidP="00780E8F">
      <w:pPr>
        <w:pStyle w:val="Heading20"/>
        <w:rPr>
          <w:u w:val="single"/>
        </w:rPr>
      </w:pPr>
      <w:hyperlink r:id="rId7">
        <w:r w:rsidRPr="00780E8F">
          <w:rPr>
            <w:rStyle w:val="BoldHyperlink"/>
            <w:rFonts w:ascii="Calibri Light"/>
            <w:b w:val="0"/>
            <w:color w:val="4472C4" w:themeColor="accent1"/>
          </w:rPr>
          <w:t>Making Geology Accessible for Blind Students</w:t>
        </w:r>
      </w:hyperlink>
    </w:p>
    <w:p w14:paraId="53B96657" w14:textId="77777777" w:rsidR="004E3297" w:rsidRDefault="00000000" w:rsidP="0099741C">
      <w:r>
        <w:t xml:space="preserve">With few resources to support a </w:t>
      </w:r>
      <w:proofErr w:type="gramStart"/>
      <w:r>
        <w:t>blind student studying geosciences</w:t>
      </w:r>
      <w:proofErr w:type="gramEnd"/>
      <w:r>
        <w:t xml:space="preserve">, a University of Kentucky professor created a library of tactile graphics as a way to share visual data and make geology classes more accessible. The </w:t>
      </w:r>
      <w:hyperlink r:id="rId8">
        <w:r>
          <w:rPr>
            <w:rStyle w:val="SwayHyperlink"/>
          </w:rPr>
          <w:t>resource set</w:t>
        </w:r>
      </w:hyperlink>
      <w:r>
        <w:t xml:space="preserve"> has been shared for others to use and add to. </w:t>
      </w:r>
    </w:p>
    <w:p w14:paraId="0A980BBF" w14:textId="77777777" w:rsidR="004E3297" w:rsidRPr="00780E8F" w:rsidRDefault="00000000" w:rsidP="00780E8F">
      <w:pPr>
        <w:pStyle w:val="Heading20"/>
        <w:rPr>
          <w:u w:val="single"/>
        </w:rPr>
      </w:pPr>
      <w:hyperlink r:id="rId9">
        <w:r w:rsidRPr="00780E8F">
          <w:rPr>
            <w:rStyle w:val="BoldHyperlink"/>
            <w:rFonts w:ascii="Calibri Light"/>
            <w:b w:val="0"/>
            <w:color w:val="4472C4" w:themeColor="accent1"/>
          </w:rPr>
          <w:t>Artificial Intelligence and Accessibility: Examples of a Technology that Serves People with Disabilities</w:t>
        </w:r>
      </w:hyperlink>
    </w:p>
    <w:p w14:paraId="060766B2" w14:textId="77777777" w:rsidR="004E3297" w:rsidRDefault="00000000" w:rsidP="0099741C">
      <w:r>
        <w:t>AI has the power to revolutionize accessibility and inclusion. Discover how accessible AI technology can benefit the lives of persons with disabilities.</w:t>
      </w:r>
    </w:p>
    <w:p w14:paraId="64FB7901" w14:textId="77777777" w:rsidR="004E3297" w:rsidRPr="00780E8F" w:rsidRDefault="00000000" w:rsidP="00780E8F">
      <w:pPr>
        <w:pStyle w:val="Heading20"/>
        <w:rPr>
          <w:u w:val="single"/>
        </w:rPr>
      </w:pPr>
      <w:hyperlink r:id="rId10">
        <w:r w:rsidRPr="00780E8F">
          <w:rPr>
            <w:rStyle w:val="BoldHyperlink"/>
            <w:rFonts w:ascii="Calibri Light"/>
            <w:b w:val="0"/>
            <w:color w:val="4472C4" w:themeColor="accent1"/>
          </w:rPr>
          <w:t>Microsoft Announces "Doubling Down" on Prioritizing Accessibility and Narrowing the Disability Gap</w:t>
        </w:r>
      </w:hyperlink>
    </w:p>
    <w:p w14:paraId="1E5DFA00" w14:textId="77777777" w:rsidR="004E3297" w:rsidRDefault="00000000" w:rsidP="0099741C">
      <w:r>
        <w:t>Microsoft announced a new five-year initiative designed to help bridge the "disability divide." The program will focus on accessibility tech, talent development and inclusive workspaces.</w:t>
      </w:r>
    </w:p>
    <w:p w14:paraId="164C954A" w14:textId="77777777" w:rsidR="004E3297" w:rsidRPr="00780E8F" w:rsidRDefault="00000000" w:rsidP="00780E8F">
      <w:pPr>
        <w:pStyle w:val="Heading20"/>
        <w:rPr>
          <w:u w:val="single"/>
        </w:rPr>
      </w:pPr>
      <w:hyperlink r:id="rId11">
        <w:r w:rsidRPr="00780E8F">
          <w:rPr>
            <w:rStyle w:val="BoldHyperlink"/>
            <w:rFonts w:ascii="Calibri Light"/>
            <w:b w:val="0"/>
            <w:color w:val="4472C4" w:themeColor="accent1"/>
          </w:rPr>
          <w:t>Physics Webpages Create Barriers to Participation for People with Disabilities</w:t>
        </w:r>
      </w:hyperlink>
    </w:p>
    <w:p w14:paraId="1307EFB5" w14:textId="77777777" w:rsidR="004E3297" w:rsidRDefault="00000000" w:rsidP="0099741C">
      <w:r>
        <w:t>A new paper reveals five common accessibility errors identified on university physics webpages, their solutions, and their implications.</w:t>
      </w:r>
    </w:p>
    <w:p w14:paraId="3283B298" w14:textId="77777777" w:rsidR="004E3297" w:rsidRPr="00780E8F" w:rsidRDefault="00000000" w:rsidP="00780E8F">
      <w:pPr>
        <w:pStyle w:val="Heading20"/>
        <w:rPr>
          <w:u w:val="single"/>
        </w:rPr>
      </w:pPr>
      <w:hyperlink r:id="rId12">
        <w:r w:rsidRPr="00780E8F">
          <w:rPr>
            <w:rStyle w:val="BoldHyperlink"/>
            <w:rFonts w:ascii="Calibri Light"/>
            <w:b w:val="0"/>
            <w:color w:val="4472C4" w:themeColor="accent1"/>
          </w:rPr>
          <w:t>Making Kin with the Machines</w:t>
        </w:r>
      </w:hyperlink>
    </w:p>
    <w:p w14:paraId="016741C5" w14:textId="77777777" w:rsidR="004E3297" w:rsidRDefault="00000000" w:rsidP="0099741C">
      <w:r>
        <w:t xml:space="preserve">Learn how Indigenous epistemologies can be used to analyze AI's place in society and its development in this essay by Jason Edward Lewis, Noelani Arista, Archer </w:t>
      </w:r>
      <w:proofErr w:type="spellStart"/>
      <w:r>
        <w:t>Pechawis</w:t>
      </w:r>
      <w:proofErr w:type="spellEnd"/>
      <w:r>
        <w:t xml:space="preserve"> and Suzanne Kite.</w:t>
      </w:r>
    </w:p>
    <w:p w14:paraId="7152E028" w14:textId="77777777" w:rsidR="004E3297" w:rsidRPr="00780E8F" w:rsidRDefault="00000000" w:rsidP="00780E8F">
      <w:pPr>
        <w:pStyle w:val="Heading20"/>
        <w:rPr>
          <w:u w:val="single"/>
        </w:rPr>
      </w:pPr>
      <w:hyperlink r:id="rId13">
        <w:r w:rsidRPr="00780E8F">
          <w:rPr>
            <w:rStyle w:val="BoldHyperlink"/>
            <w:rFonts w:ascii="Calibri Light"/>
            <w:b w:val="0"/>
            <w:color w:val="4472C4" w:themeColor="accent1"/>
          </w:rPr>
          <w:t>We Are AI</w:t>
        </w:r>
      </w:hyperlink>
    </w:p>
    <w:p w14:paraId="136E4437" w14:textId="77777777" w:rsidR="004E3297" w:rsidRDefault="00000000" w:rsidP="0099741C">
      <w:r>
        <w:t>Want to learn more about AI? Try this five-week learning circle course on the basics of AI, the social and ethical dimensions of AI, and how AI is used.</w:t>
      </w:r>
    </w:p>
    <w:p w14:paraId="083B9D5E" w14:textId="77777777" w:rsidR="004E3297" w:rsidRPr="00780E8F" w:rsidRDefault="00000000" w:rsidP="00780E8F">
      <w:pPr>
        <w:pStyle w:val="Heading20"/>
        <w:rPr>
          <w:u w:val="single"/>
        </w:rPr>
      </w:pPr>
      <w:hyperlink r:id="rId14">
        <w:r w:rsidRPr="00780E8F">
          <w:rPr>
            <w:rStyle w:val="BoldHyperlink"/>
            <w:rFonts w:ascii="Calibri Light"/>
            <w:b w:val="0"/>
            <w:color w:val="4472C4" w:themeColor="accent1"/>
          </w:rPr>
          <w:t>A.I. Nation</w:t>
        </w:r>
      </w:hyperlink>
    </w:p>
    <w:p w14:paraId="7210D924" w14:textId="77777777" w:rsidR="004E3297" w:rsidRDefault="00000000" w:rsidP="0099741C">
      <w:r>
        <w:t>A.I. Nation, a new podcast from WHYY and Princeton University, reveals how AI is operating in the background, and sometimes foreground, of every major story, trend, and event in our modern lives.</w:t>
      </w:r>
    </w:p>
    <w:p w14:paraId="0B672A8D" w14:textId="77777777" w:rsidR="004E3297" w:rsidRPr="00780E8F" w:rsidRDefault="00000000" w:rsidP="00780E8F">
      <w:pPr>
        <w:pStyle w:val="Heading20"/>
        <w:rPr>
          <w:u w:val="single"/>
        </w:rPr>
      </w:pPr>
      <w:hyperlink r:id="rId15">
        <w:r w:rsidRPr="00780E8F">
          <w:rPr>
            <w:rStyle w:val="BoldHyperlink"/>
            <w:rFonts w:ascii="Calibri Light"/>
            <w:b w:val="0"/>
            <w:color w:val="4472C4" w:themeColor="accent1"/>
          </w:rPr>
          <w:t>The Chronicles of AI Ethics: The Man, the Machine, and the Black Box</w:t>
        </w:r>
      </w:hyperlink>
    </w:p>
    <w:p w14:paraId="0FD80911" w14:textId="77777777" w:rsidR="004E3297" w:rsidRDefault="00000000" w:rsidP="0099741C">
      <w:r>
        <w:t xml:space="preserve">This Forbes article by Aparna </w:t>
      </w:r>
      <w:proofErr w:type="spellStart"/>
      <w:r>
        <w:t>Dhinakaran</w:t>
      </w:r>
      <w:proofErr w:type="spellEnd"/>
      <w:r>
        <w:t xml:space="preserve"> discusses how major technological advances are imperfectly regulated and effectively shielded from social responsibility, while their users face major repercussions.</w:t>
      </w:r>
    </w:p>
    <w:p w14:paraId="6DE07A3C" w14:textId="77777777" w:rsidR="004E3297" w:rsidRPr="00780E8F" w:rsidRDefault="00000000" w:rsidP="00780E8F">
      <w:pPr>
        <w:pStyle w:val="Heading20"/>
      </w:pPr>
      <w:hyperlink r:id="rId16">
        <w:r w:rsidRPr="00780E8F">
          <w:rPr>
            <w:rStyle w:val="BoldHyperlink"/>
            <w:rFonts w:ascii="Calibri Light"/>
            <w:b w:val="0"/>
            <w:color w:val="4472C4" w:themeColor="accent1"/>
            <w:u w:val="none"/>
          </w:rPr>
          <w:t xml:space="preserve">Want to Get Along </w:t>
        </w:r>
        <w:proofErr w:type="gramStart"/>
        <w:r w:rsidRPr="00780E8F">
          <w:rPr>
            <w:rStyle w:val="BoldHyperlink"/>
            <w:rFonts w:ascii="Calibri Light"/>
            <w:b w:val="0"/>
            <w:color w:val="4472C4" w:themeColor="accent1"/>
            <w:u w:val="none"/>
          </w:rPr>
          <w:t>With</w:t>
        </w:r>
        <w:proofErr w:type="gramEnd"/>
        <w:r w:rsidRPr="00780E8F">
          <w:rPr>
            <w:rStyle w:val="BoldHyperlink"/>
            <w:rFonts w:ascii="Calibri Light"/>
            <w:b w:val="0"/>
            <w:color w:val="4472C4" w:themeColor="accent1"/>
            <w:u w:val="none"/>
          </w:rPr>
          <w:t xml:space="preserve"> Robots? Pretend They</w:t>
        </w:r>
        <w:r w:rsidRPr="00780E8F">
          <w:rPr>
            <w:rStyle w:val="BoldHyperlink"/>
            <w:rFonts w:ascii="Calibri Light"/>
            <w:b w:val="0"/>
            <w:color w:val="4472C4" w:themeColor="accent1"/>
            <w:u w:val="none"/>
          </w:rPr>
          <w:t>’</w:t>
        </w:r>
        <w:r w:rsidRPr="00780E8F">
          <w:rPr>
            <w:rStyle w:val="BoldHyperlink"/>
            <w:rFonts w:ascii="Calibri Light"/>
            <w:b w:val="0"/>
            <w:color w:val="4472C4" w:themeColor="accent1"/>
            <w:u w:val="none"/>
          </w:rPr>
          <w:t>re Animals</w:t>
        </w:r>
      </w:hyperlink>
    </w:p>
    <w:p w14:paraId="57BE3E51" w14:textId="77777777" w:rsidR="004E3297" w:rsidRDefault="00000000" w:rsidP="0099741C">
      <w:r>
        <w:t xml:space="preserve">This Wired article presents an interesting take on the human-AI relationship and how we can reframe how we interact with AI. </w:t>
      </w:r>
    </w:p>
    <w:p w14:paraId="38698045" w14:textId="77777777" w:rsidR="004E3297" w:rsidRPr="00780E8F" w:rsidRDefault="00000000" w:rsidP="00780E8F">
      <w:pPr>
        <w:pStyle w:val="Heading20"/>
        <w:rPr>
          <w:u w:val="single"/>
        </w:rPr>
      </w:pPr>
      <w:hyperlink r:id="rId17">
        <w:r w:rsidRPr="00780E8F">
          <w:rPr>
            <w:rStyle w:val="BoldHyperlink"/>
            <w:rFonts w:ascii="Calibri Light"/>
            <w:b w:val="0"/>
            <w:color w:val="4472C4" w:themeColor="accent1"/>
          </w:rPr>
          <w:t>AI Has a Racism Problem, but Fixing It Is Complicated, Say Experts</w:t>
        </w:r>
      </w:hyperlink>
    </w:p>
    <w:p w14:paraId="426A9E8C" w14:textId="77777777" w:rsidR="004E3297" w:rsidRDefault="00000000" w:rsidP="0099741C">
      <w:r>
        <w:t xml:space="preserve">AI is used for translation apps and other software, but as this CBC article explores, it </w:t>
      </w:r>
      <w:proofErr w:type="gramStart"/>
      <w:r>
        <w:t>isn't able to</w:t>
      </w:r>
      <w:proofErr w:type="gramEnd"/>
      <w:r>
        <w:t xml:space="preserve"> differentiate between legitimate terms and ones that might be biased or racist.</w:t>
      </w:r>
    </w:p>
    <w:p w14:paraId="3BE963D1" w14:textId="476A8128" w:rsidR="004E3297" w:rsidRDefault="00000000" w:rsidP="00DD270E">
      <w:pPr>
        <w:pStyle w:val="Heading1"/>
      </w:pPr>
      <w:r>
        <w:t>This Month</w:t>
      </w:r>
    </w:p>
    <w:p w14:paraId="03A72E75" w14:textId="77777777" w:rsidR="004E3297" w:rsidRPr="00DD270E" w:rsidRDefault="00000000" w:rsidP="00DD270E">
      <w:pPr>
        <w:pStyle w:val="Heading20"/>
        <w:rPr>
          <w:b/>
          <w:bCs/>
        </w:rPr>
      </w:pPr>
      <w:r w:rsidRPr="00DD270E">
        <w:rPr>
          <w:rStyle w:val="Strong1"/>
          <w:b w:val="0"/>
          <w:bCs/>
        </w:rPr>
        <w:t>New W3C Group: Portable Personal Data Preferences Community Group</w:t>
      </w:r>
    </w:p>
    <w:p w14:paraId="5FA13B3D" w14:textId="77777777" w:rsidR="00DD270E" w:rsidRDefault="00DD270E" w:rsidP="007B1320">
      <w:pPr>
        <w:jc w:val="center"/>
      </w:pPr>
      <w:r>
        <w:rPr>
          <w:noProof/>
        </w:rPr>
        <w:drawing>
          <wp:inline distT="0" distB="0" distL="0" distR="0" wp14:anchorId="2C1835B0" wp14:editId="37D071C9">
            <wp:extent cx="2143125" cy="2143125"/>
            <wp:effectExtent l="0" t="0" r="0" b="0"/>
            <wp:docPr id="3" name="Picture3" descr="W3C Community and Business Grou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8" cstate="print"/>
                    <a:stretch>
                      <a:fillRect/>
                    </a:stretch>
                  </pic:blipFill>
                  <pic:spPr>
                    <a:xfrm>
                      <a:off x="0" y="0"/>
                      <a:ext cx="2143125" cy="2143125"/>
                    </a:xfrm>
                    <a:prstGeom prst="rect">
                      <a:avLst/>
                    </a:prstGeom>
                  </pic:spPr>
                </pic:pic>
              </a:graphicData>
            </a:graphic>
          </wp:inline>
        </w:drawing>
      </w:r>
    </w:p>
    <w:p w14:paraId="3FADF6B3" w14:textId="52AA057C" w:rsidR="004E3297" w:rsidRDefault="00000000" w:rsidP="0099741C">
      <w:r>
        <w:lastRenderedPageBreak/>
        <w:t>We need your support!</w:t>
      </w:r>
    </w:p>
    <w:p w14:paraId="0FDE13B6" w14:textId="77777777" w:rsidR="004E3297" w:rsidRDefault="00000000" w:rsidP="0099741C">
      <w:r>
        <w:t xml:space="preserve">A new W3C group has been created by the IDRC to address problems with terms of service agreements. Often, these agreements are complicated and require an all-or-none acceptance or rejection and may also be in a form that is not accessible to persons with disabilities, making it difficult to make an informed decision. The mission of this community group is to find ways to help consumers access and understand what they are being asked to commit to, as well as provide a finer level of control in terms of what they are willing to share. </w:t>
      </w:r>
    </w:p>
    <w:p w14:paraId="55A6E90F" w14:textId="77777777" w:rsidR="004E3297" w:rsidRDefault="00000000" w:rsidP="0099741C">
      <w:r>
        <w:t>People interested in educating consumers regarding personal data and data sharing, inclusive user interface design, and the use of plain language in policies and service agreements are encouraged to participate once the group is launched.</w:t>
      </w:r>
    </w:p>
    <w:p w14:paraId="7F47CA46" w14:textId="77777777" w:rsidR="004E3297" w:rsidRDefault="00000000" w:rsidP="0099741C">
      <w:r>
        <w:t xml:space="preserve">You can </w:t>
      </w:r>
      <w:hyperlink r:id="rId19">
        <w:r>
          <w:rPr>
            <w:rStyle w:val="SwayHyperlink"/>
          </w:rPr>
          <w:t>join the Personal Data Preference Group</w:t>
        </w:r>
      </w:hyperlink>
      <w:r>
        <w:t xml:space="preserve"> now. </w:t>
      </w:r>
    </w:p>
    <w:p w14:paraId="0027D9DE" w14:textId="77777777" w:rsidR="004E3297" w:rsidRDefault="00000000">
      <w:pPr>
        <w:jc w:val="center"/>
      </w:pPr>
      <w:r>
        <w:rPr>
          <w:noProof/>
        </w:rPr>
        <w:drawing>
          <wp:anchor distT="0" distB="0" distL="114300" distR="114300" simplePos="0" relativeHeight="251660288" behindDoc="0" locked="0" layoutInCell="1" allowOverlap="1" wp14:anchorId="646637BA" wp14:editId="7BBD3CAE">
            <wp:simplePos x="0" y="0"/>
            <wp:positionH relativeFrom="column">
              <wp:posOffset>1755775</wp:posOffset>
            </wp:positionH>
            <wp:positionV relativeFrom="paragraph">
              <wp:posOffset>3810</wp:posOffset>
            </wp:positionV>
            <wp:extent cx="2430335" cy="3132499"/>
            <wp:effectExtent l="0" t="0" r="0" b="4445"/>
            <wp:wrapTopAndBottom/>
            <wp:docPr id="4" name="Picture4" descr="Future of Work and Disability: Inclusion, Artificial Intelligence, Machine Learning and Work. A report to Accessibility Standards Canada. May 1,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30335" cy="3132499"/>
                    </a:xfrm>
                    <a:prstGeom prst="rect">
                      <a:avLst/>
                    </a:prstGeom>
                  </pic:spPr>
                </pic:pic>
              </a:graphicData>
            </a:graphic>
            <wp14:sizeRelH relativeFrom="page">
              <wp14:pctWidth>0</wp14:pctWidth>
            </wp14:sizeRelH>
            <wp14:sizeRelV relativeFrom="page">
              <wp14:pctHeight>0</wp14:pctHeight>
            </wp14:sizeRelV>
          </wp:anchor>
        </w:drawing>
      </w:r>
    </w:p>
    <w:p w14:paraId="13DDC5A2" w14:textId="77777777" w:rsidR="004E3297" w:rsidRDefault="00000000">
      <w:pPr>
        <w:pStyle w:val="Caption1"/>
      </w:pPr>
      <w:r>
        <w:fldChar w:fldCharType="begin"/>
      </w:r>
      <w:r>
        <w:instrText xml:space="preserve"> SEQ Figure \*ARABIC </w:instrText>
      </w:r>
      <w:r>
        <w:fldChar w:fldCharType="separate"/>
      </w:r>
      <w:r>
        <w:t>1</w:t>
      </w:r>
      <w:r>
        <w:fldChar w:fldCharType="end"/>
      </w:r>
      <w:r>
        <w:t xml:space="preserve"> - </w:t>
      </w:r>
      <w:hyperlink r:id="rId21">
        <w:r>
          <w:rPr>
            <w:rStyle w:val="SwayHyperlink"/>
          </w:rPr>
          <w:t>Future of Work and Disability Report</w:t>
        </w:r>
      </w:hyperlink>
    </w:p>
    <w:p w14:paraId="3DF3A33B" w14:textId="77777777" w:rsidR="004E3297" w:rsidRPr="00DD270E" w:rsidRDefault="00000000" w:rsidP="00DD270E">
      <w:pPr>
        <w:pStyle w:val="Heading20"/>
      </w:pPr>
      <w:r w:rsidRPr="00DD270E">
        <w:rPr>
          <w:rStyle w:val="Strong1"/>
          <w:rFonts w:ascii="Calibri Light"/>
          <w:b w:val="0"/>
        </w:rPr>
        <w:t>Future of Work and Disability Report</w:t>
      </w:r>
    </w:p>
    <w:p w14:paraId="46C9EC4D" w14:textId="77777777" w:rsidR="004E3297" w:rsidRDefault="00000000" w:rsidP="0099741C">
      <w:r>
        <w:t xml:space="preserve">The Future of Work and Disability project has released a report that summarizes the group's efforts to understand and examine intersecting topics of AI, automation, </w:t>
      </w:r>
      <w:proofErr w:type="gramStart"/>
      <w:r>
        <w:t>standards</w:t>
      </w:r>
      <w:proofErr w:type="gramEnd"/>
      <w:r>
        <w:t xml:space="preserve"> and employment as they relate to persons with disabilities.</w:t>
      </w:r>
    </w:p>
    <w:p w14:paraId="4B7B182B" w14:textId="2DF689CF" w:rsidR="004E3297" w:rsidRDefault="00000000" w:rsidP="0099741C">
      <w:r>
        <w:t xml:space="preserve">You can download the report in English or French or find out more about the project on the </w:t>
      </w:r>
      <w:hyperlink r:id="rId22">
        <w:r>
          <w:rPr>
            <w:rStyle w:val="SwayHyperlink"/>
          </w:rPr>
          <w:t>Future of Work and Disability website</w:t>
        </w:r>
      </w:hyperlink>
      <w:r>
        <w:t>.</w:t>
      </w:r>
    </w:p>
    <w:p w14:paraId="4C5B0D6D" w14:textId="77777777" w:rsidR="004E3297" w:rsidRDefault="00000000">
      <w:pPr>
        <w:pStyle w:val="Heading1"/>
      </w:pPr>
      <w:r>
        <w:lastRenderedPageBreak/>
        <w:t>Initiatives</w:t>
      </w:r>
    </w:p>
    <w:p w14:paraId="5B8CAA9E" w14:textId="361CE382" w:rsidR="0099741C" w:rsidRDefault="0099741C" w:rsidP="0099741C">
      <w:pPr>
        <w:pStyle w:val="Heading2"/>
        <w:rPr>
          <w:rStyle w:val="SwayHyperlink"/>
          <w:rFonts w:asciiTheme="majorHAnsi"/>
          <w:color w:val="2F5496" w:themeColor="accent1" w:themeShade="BF"/>
        </w:rPr>
      </w:pPr>
      <w:hyperlink r:id="rId23">
        <w:r w:rsidRPr="0099741C">
          <w:rPr>
            <w:rStyle w:val="SwayHyperlink"/>
            <w:rFonts w:asciiTheme="majorHAnsi"/>
            <w:color w:val="2F5496" w:themeColor="accent1" w:themeShade="BF"/>
          </w:rPr>
          <w:t>The Metric Society and the Unmeasurable</w:t>
        </w:r>
      </w:hyperlink>
    </w:p>
    <w:p w14:paraId="0D50B8D0" w14:textId="51EC0552" w:rsidR="0099741C" w:rsidRPr="0099741C" w:rsidRDefault="0099741C" w:rsidP="0099741C">
      <w:r>
        <w:t xml:space="preserve">The Metric Society and the Unmeasurable webinar, with Steffen Mau, Virginia </w:t>
      </w:r>
      <w:proofErr w:type="gramStart"/>
      <w:r>
        <w:t>Eubanks</w:t>
      </w:r>
      <w:proofErr w:type="gramEnd"/>
      <w:r>
        <w:t xml:space="preserve"> and Jutta Treviranus in conversation, is now available for viewing! The webinar is a fascinating discussion about the implications of how metrics have become a form of social conditioning, impacting everything from annual university rankings, ratings agencies and fitness tracking technologies to our credit score and health status.</w:t>
      </w:r>
    </w:p>
    <w:p w14:paraId="5C1EE656" w14:textId="77777777" w:rsidR="004E3297" w:rsidRDefault="00000000">
      <w:pPr>
        <w:jc w:val="center"/>
      </w:pPr>
      <w:r>
        <w:rPr>
          <w:noProof/>
        </w:rPr>
        <w:drawing>
          <wp:anchor distT="0" distB="0" distL="114300" distR="114300" simplePos="0" relativeHeight="251658240" behindDoc="0" locked="0" layoutInCell="1" allowOverlap="1" wp14:anchorId="5853D0A7" wp14:editId="6E840B97">
            <wp:simplePos x="0" y="0"/>
            <wp:positionH relativeFrom="column">
              <wp:posOffset>1484630</wp:posOffset>
            </wp:positionH>
            <wp:positionV relativeFrom="paragraph">
              <wp:posOffset>3810</wp:posOffset>
            </wp:positionV>
            <wp:extent cx="2971799" cy="1671637"/>
            <wp:effectExtent l="0" t="0" r="635" b="5080"/>
            <wp:wrapTopAndBottom/>
            <wp:docPr id="5" name="Picture5" descr="Webinar: The Metric Society and the Unmeasurable&#10;&#10;In today’s world, numbers are in the ascendancy. Societies dominated by star ratings, scores, likes and lists are rapidly emerging, as data are collected on virtually every aspect of our lives. From annual university rankings, ratings agencies and fitness tracking technologies to our credit score and health status, everything and everybody is measured and evaluated. In this webinar, our panellists Steffen Mau, Virginia Eubanks, and Jutta Treviranus were in conversation for a critical analysis of this increasingly pervasive phenomenon. &#10;&#10;Guest Panelists:&#10;&#10;Steffen Mau works in the fields of comparative welfare research, social inequality and European integration. In his most recent book, The Metric Society: On the Quantification of the Social, Steffen Mau shows how metrics have become a form of social conditioning and how the rise of quantification has strengthened social hierarchies.&#10;&#10;Virginia Eubanks is an Associate Professor of Political Science at the University at Albany, SUNY. She is the author of Automating Inequality: How High-Tech Tools Profile, Police, and Punish the Poor; Digital Dead End: Fighting for Social Justice in the Information Age; and co-editor, with Alethia Jones, of Ain’t Gonna Let Nobody Turn Me Around: Forty Years of Movement Building with Barbara Smith. Her writing about technology and social justice has appeared in Scientific American, The Nation, Harper’s, and Wired. For two decades, Eubanks has worked in community technology and economic justice movements. She was a founding member of the Our Data Bodies Project and a 2016–2017 Fellow at New America. She lives in Troy, NY.&#10;&#10;Jutta Treviranus is a full Professor at the Ontario College of Art and Design University (OCADU) in Toronto, Canada. She is the Director and Founder of the Inclusive Design Research Centre (IDRC) and the Inclusive Design Institute (IDI). Treviranus is a world expert in the field of Inclusive Design and has made appearances at the White House and the United Nations. An outspoken opponent of the scientific method and statistical reasoning, she has &quot;led many international multi‐partner research networks that have created broadly implemented technical innovations that support inclusion.&quot; Her work has included designing open source content and helping implement accessibility legislation, standards, and specifications. In 2013, the Governor General of Canada awarded Treviranus the Queen's Diamond Jubilee Medal. ZoomerMedia chose Treviranus as one of Canada's Top 45 over 45 in 2012.&#10;&#10;Originally recorded on April 28, 2021.&#10;&#10;We Count, a project of the Inclusive Design Research Centre at OCAD University, was created to address bias, discrimination and barriers to participation and employment for persons with disabilities within the field of data science and data-driven systems. Learn more at: https://wecount.inclusivedesign.c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type='text/html' width='1280' height='720' src='https://www.youtube.com/embed/G1gbAFlZjGE?autoplay=1&amp;rel=0' frameborder='0'&gt;&lt;/iframe&gt;" h="720" w="1280"/>
                        </a:ext>
                      </a:extLst>
                    </a:blip>
                    <a:stretch>
                      <a:fillRect/>
                    </a:stretch>
                  </pic:blipFill>
                  <pic:spPr>
                    <a:xfrm>
                      <a:off x="0" y="0"/>
                      <a:ext cx="2971799" cy="1671637"/>
                    </a:xfrm>
                    <a:prstGeom prst="rect">
                      <a:avLst/>
                    </a:prstGeom>
                  </pic:spPr>
                </pic:pic>
              </a:graphicData>
            </a:graphic>
            <wp14:sizeRelH relativeFrom="page">
              <wp14:pctWidth>0</wp14:pctWidth>
            </wp14:sizeRelH>
            <wp14:sizeRelV relativeFrom="page">
              <wp14:pctHeight>0</wp14:pctHeight>
            </wp14:sizeRelV>
          </wp:anchor>
        </w:drawing>
      </w:r>
    </w:p>
    <w:p w14:paraId="287765FB" w14:textId="2F722D4B" w:rsidR="004E3297" w:rsidRDefault="00000000">
      <w:pPr>
        <w:pStyle w:val="Caption1"/>
      </w:pPr>
      <w:r>
        <w:fldChar w:fldCharType="begin"/>
      </w:r>
      <w:r>
        <w:instrText xml:space="preserve"> SEQ Figure \*ARABIC </w:instrText>
      </w:r>
      <w:r>
        <w:fldChar w:fldCharType="separate"/>
      </w:r>
      <w:r>
        <w:t>2</w:t>
      </w:r>
      <w:r>
        <w:fldChar w:fldCharType="end"/>
      </w:r>
      <w:r>
        <w:t xml:space="preserve"> - The Metric Society and the Unmeasurable</w:t>
      </w:r>
    </w:p>
    <w:p w14:paraId="22CB882E" w14:textId="77777777" w:rsidR="0099741C" w:rsidRPr="0099741C" w:rsidRDefault="0099741C" w:rsidP="0099741C">
      <w:pPr>
        <w:pStyle w:val="Heading20"/>
        <w:rPr>
          <w:u w:val="single"/>
        </w:rPr>
      </w:pPr>
      <w:hyperlink r:id="rId26">
        <w:r w:rsidRPr="0099741C">
          <w:rPr>
            <w:rStyle w:val="SwayHyperlink"/>
            <w:rFonts w:ascii="Calibri Light"/>
            <w:color w:val="4472C4" w:themeColor="accent1"/>
          </w:rPr>
          <w:t>COVID-19 Vaccination Centre Data Monitor: Accessibility Map Demonstration</w:t>
        </w:r>
      </w:hyperlink>
    </w:p>
    <w:p w14:paraId="7534008F" w14:textId="77777777" w:rsidR="0099741C" w:rsidRDefault="0099741C" w:rsidP="0099741C">
      <w:r>
        <w:t xml:space="preserve">With the evolving COVID-19 public health measures and rapid emergence of testing centres, there were several access barriers to obtain information to get tested for COVID-19. </w:t>
      </w:r>
    </w:p>
    <w:p w14:paraId="67066276" w14:textId="77777777" w:rsidR="0099741C" w:rsidRDefault="0099741C" w:rsidP="0099741C">
      <w:r>
        <w:t>Our team has created a map demonstration to show how these data gaps can be addressed, providing a way to find accessibility information that is not included in these data sets. The map demonstration uses an example data set and demonstrates how data visualization can be designed in an accessible format. Accessibility features in the map </w:t>
      </w:r>
      <w:proofErr w:type="gramStart"/>
      <w:r>
        <w:t>include:</w:t>
      </w:r>
      <w:proofErr w:type="gramEnd"/>
      <w:r>
        <w:t> accessible entrances, accessible washrooms, accessible parking, individual service and wait accommodations.</w:t>
      </w:r>
    </w:p>
    <w:p w14:paraId="4A4060B9" w14:textId="38672D6C" w:rsidR="0099741C" w:rsidRPr="0099741C" w:rsidRDefault="0099741C" w:rsidP="0099741C">
      <w:r>
        <w:t xml:space="preserve">Find out more about the map and try it out on our </w:t>
      </w:r>
      <w:hyperlink r:id="rId27">
        <w:r>
          <w:rPr>
            <w:rStyle w:val="SwayHyperlink"/>
          </w:rPr>
          <w:t>Views page</w:t>
        </w:r>
      </w:hyperlink>
      <w:r>
        <w:t>.</w:t>
      </w:r>
    </w:p>
    <w:p w14:paraId="517D93CD" w14:textId="6176928E" w:rsidR="004E3297" w:rsidRDefault="00000000">
      <w:pPr>
        <w:jc w:val="center"/>
      </w:pPr>
      <w:r>
        <w:rPr>
          <w:noProof/>
        </w:rPr>
        <w:lastRenderedPageBreak/>
        <w:drawing>
          <wp:inline distT="0" distB="0" distL="0" distR="0" wp14:anchorId="01A09B7B" wp14:editId="53D2110A">
            <wp:extent cx="5871410" cy="2743200"/>
            <wp:effectExtent l="0" t="0" r="0" b="0"/>
            <wp:docPr id="6" name="Picture6" descr="Accessibility map demonstration for COVID-19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8" cstate="print"/>
                    <a:stretch>
                      <a:fillRect/>
                    </a:stretch>
                  </pic:blipFill>
                  <pic:spPr>
                    <a:xfrm>
                      <a:off x="0" y="0"/>
                      <a:ext cx="6107704" cy="2853600"/>
                    </a:xfrm>
                    <a:prstGeom prst="rect">
                      <a:avLst/>
                    </a:prstGeom>
                  </pic:spPr>
                </pic:pic>
              </a:graphicData>
            </a:graphic>
          </wp:inline>
        </w:drawing>
      </w:r>
    </w:p>
    <w:p w14:paraId="06CA1513" w14:textId="77777777" w:rsidR="007B1320" w:rsidRPr="0099741C" w:rsidRDefault="007B1320" w:rsidP="007B1320">
      <w:pPr>
        <w:pStyle w:val="Heading20"/>
        <w:rPr>
          <w:u w:val="single"/>
        </w:rPr>
      </w:pPr>
      <w:hyperlink r:id="rId29">
        <w:r w:rsidRPr="0099741C">
          <w:rPr>
            <w:rStyle w:val="SwayHyperlink"/>
            <w:rFonts w:ascii="Calibri Light"/>
            <w:color w:val="4472C4" w:themeColor="accent1"/>
          </w:rPr>
          <w:t>Inverted Wordles</w:t>
        </w:r>
      </w:hyperlink>
    </w:p>
    <w:p w14:paraId="119721EB" w14:textId="77777777" w:rsidR="007B1320" w:rsidRDefault="007B1320" w:rsidP="007B1320">
      <w:r>
        <w:t xml:space="preserve">When word cloud centres build wordles based on people's answers to a question, majority answers are emphasized while minority answers fade to the background. </w:t>
      </w:r>
      <w:proofErr w:type="gramStart"/>
      <w:r>
        <w:t>In order to</w:t>
      </w:r>
      <w:proofErr w:type="gramEnd"/>
      <w:r>
        <w:t xml:space="preserve"> make minority voices heard, the development team is building a wordle tool that allows users to have the option to flip the algorithm to highlight minority or majority answers.</w:t>
      </w:r>
    </w:p>
    <w:p w14:paraId="1CE13565" w14:textId="1A5181C4" w:rsidR="007B1320" w:rsidRDefault="007B1320" w:rsidP="007B1320">
      <w:r>
        <w:t xml:space="preserve">Find out more about the project on our </w:t>
      </w:r>
      <w:hyperlink r:id="rId30">
        <w:r>
          <w:rPr>
            <w:rStyle w:val="SwayHyperlink"/>
          </w:rPr>
          <w:t>Views page</w:t>
        </w:r>
      </w:hyperlink>
      <w:r>
        <w:t>.</w:t>
      </w:r>
    </w:p>
    <w:p w14:paraId="46398B95" w14:textId="4E81AA6F" w:rsidR="004E3297" w:rsidRDefault="00000000" w:rsidP="007B1320">
      <w:pPr>
        <w:jc w:val="center"/>
      </w:pPr>
      <w:r>
        <w:rPr>
          <w:noProof/>
        </w:rPr>
        <w:drawing>
          <wp:inline distT="0" distB="0" distL="0" distR="0" wp14:anchorId="11DA7060" wp14:editId="3EE69A6D">
            <wp:extent cx="4419744" cy="3115237"/>
            <wp:effectExtent l="0" t="0" r="0" b="0"/>
            <wp:docPr id="7" name="Picture7" descr="Wordle example for the question: What are three most important problems to be addressed by inclus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1" cstate="print"/>
                    <a:stretch>
                      <a:fillRect/>
                    </a:stretch>
                  </pic:blipFill>
                  <pic:spPr>
                    <a:xfrm>
                      <a:off x="0" y="0"/>
                      <a:ext cx="4516255" cy="3183262"/>
                    </a:xfrm>
                    <a:prstGeom prst="rect">
                      <a:avLst/>
                    </a:prstGeom>
                  </pic:spPr>
                </pic:pic>
              </a:graphicData>
            </a:graphic>
          </wp:inline>
        </w:drawing>
      </w:r>
    </w:p>
    <w:p w14:paraId="055D21C9" w14:textId="15C51584" w:rsidR="004E3297" w:rsidRDefault="00000000">
      <w:pPr>
        <w:pStyle w:val="IntenseQuote"/>
      </w:pPr>
      <w:r>
        <w:lastRenderedPageBreak/>
        <w:t>Discover how we're helping to create an inclusive and balanced data ecosystem for persons with disabilities through our ongoing call for challenges and challenge workshops.</w:t>
      </w:r>
    </w:p>
    <w:p w14:paraId="0DA3A008" w14:textId="77777777" w:rsidR="007B1320" w:rsidRDefault="007B1320" w:rsidP="007B1320">
      <w:hyperlink r:id="rId32">
        <w:r>
          <w:rPr>
            <w:rStyle w:val="SwayHyperlink"/>
          </w:rPr>
          <w:t>Future of Work and Disability: Bias in Candidate Selection</w:t>
        </w:r>
      </w:hyperlink>
    </w:p>
    <w:p w14:paraId="593EFB97" w14:textId="77777777" w:rsidR="007B1320" w:rsidRDefault="007B1320" w:rsidP="007B1320">
      <w:r>
        <w:t>It's not too late to participate in our Future of Work and Disability webinar series!</w:t>
      </w:r>
    </w:p>
    <w:p w14:paraId="6046C1E5" w14:textId="77777777" w:rsidR="007B1320" w:rsidRDefault="007B1320" w:rsidP="007B1320">
      <w:r>
        <w:t>Our installment on Bias in Candidate Selection explores policy through a co-design activity, working in groups to co-create approaches to AI and ML challenges in employment systems. This webinar features:</w:t>
      </w:r>
    </w:p>
    <w:p w14:paraId="44D72B44" w14:textId="513DCE51" w:rsidR="007B1320" w:rsidRPr="007B1320" w:rsidRDefault="007B1320" w:rsidP="007B1320">
      <w:r>
        <w:t>Abhishek Gupta, Montreal AI Ethics Institute</w:t>
      </w:r>
    </w:p>
    <w:p w14:paraId="60E5C501" w14:textId="77777777" w:rsidR="004E3297" w:rsidRDefault="00000000">
      <w:pPr>
        <w:jc w:val="center"/>
      </w:pPr>
      <w:r>
        <w:rPr>
          <w:noProof/>
        </w:rPr>
        <w:drawing>
          <wp:inline distT="0" distB="0" distL="0" distR="0" wp14:anchorId="5F780B4F" wp14:editId="1B56C92B">
            <wp:extent cx="2971800" cy="2228850"/>
            <wp:effectExtent l="0" t="0" r="0" b="0"/>
            <wp:docPr id="9" name="Picture9" descr="Workshop: Addressing Bias in Machine Learning Models on Candidate Selection &#10;&#10;In this module, participants explored policy through a co-design activity, working in groups to co-create approaches to AI and ML challenges in employment systems. Abhishek Gupta helped guide us through this activity. Abhishek introduced and framed the co-design activity that engaged teams and encouraged them to work through practical situations and challenges related to policies and standards around employment, disability and AI. &#10;&#10;Guest Speaker:&#10;&#10;Abhishek Gupta is the Founder and Principal Researcher at the Montreal AI Ethics Institute and a Machine Learning Engineer at Microsoft, where he serves on the CSE Responsible AI Board. He is representing Canada for the International Visitor Leaders Program (IVLP) administered by the U.S. State Department as an expert on the future of work. His research focuses on applied technical and policy methods to address ethical, safety and inclusivity concerns in using AI in different domains. He has built the largest community-driven, public consultation group on AI Ethics in the world.&#10;&#10;Originally recorded on November 24, 2020.&#10;&#10;We Count, a project of the Inclusive Design Research Centre at OCAD University, was created to address bias, discrimination and barriers to participation and employment for persons with disabilities within the field of data science and data-driven systems. Learn more at: https://wecount.inclusivedesign.c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3" cstate="print">
                      <a:extLst>
                        <a:ext uri="{C809E66F-F1BF-436E-b5F7-EEA9579F0CBA}">
                          <wp15:webVideoPr xmlns:wp15="http://schemas.microsoft.com/office/word/2012/wordprocessingDrawing" embeddedHtml="&lt;iframe type='text/html' width='480' height='360' src='https://www.youtube.com/embed/0TJiM6xziWQ?autoplay=1&amp;rel=0' frameborder='0'&gt;&lt;/iframe&gt;" h="360" w="480"/>
                        </a:ext>
                      </a:extLst>
                    </a:blip>
                    <a:stretch>
                      <a:fillRect/>
                    </a:stretch>
                  </pic:blipFill>
                  <pic:spPr>
                    <a:xfrm>
                      <a:off x="0" y="0"/>
                      <a:ext cx="2971800" cy="2228850"/>
                    </a:xfrm>
                    <a:prstGeom prst="rect">
                      <a:avLst/>
                    </a:prstGeom>
                  </pic:spPr>
                </pic:pic>
              </a:graphicData>
            </a:graphic>
          </wp:inline>
        </w:drawing>
      </w:r>
    </w:p>
    <w:p w14:paraId="69C39EE9" w14:textId="77777777" w:rsidR="004E3297" w:rsidRDefault="00000000">
      <w:pPr>
        <w:pStyle w:val="Caption1"/>
      </w:pPr>
      <w:r>
        <w:fldChar w:fldCharType="begin"/>
      </w:r>
      <w:r>
        <w:instrText xml:space="preserve"> SEQ Figure \*ARABIC </w:instrText>
      </w:r>
      <w:r>
        <w:fldChar w:fldCharType="separate"/>
      </w:r>
      <w:r>
        <w:t>4</w:t>
      </w:r>
      <w:r>
        <w:fldChar w:fldCharType="end"/>
      </w:r>
      <w:r>
        <w:t xml:space="preserve"> - Future of Work and Disability: Bias in Candidate Selection</w:t>
      </w:r>
    </w:p>
    <w:p w14:paraId="0C8045E6" w14:textId="77777777" w:rsidR="004E3297" w:rsidRDefault="00000000" w:rsidP="007B1320">
      <w:r>
        <w:t xml:space="preserve">Visit our </w:t>
      </w:r>
      <w:hyperlink r:id="rId34">
        <w:r>
          <w:rPr>
            <w:rStyle w:val="SwayHyperlink"/>
          </w:rPr>
          <w:t>YouTube channel</w:t>
        </w:r>
      </w:hyperlink>
      <w:r>
        <w:t xml:space="preserve"> to see past webinar recordings. New videos are released regularly, so be sure to subscribe.</w:t>
      </w:r>
    </w:p>
    <w:p w14:paraId="30063C7B" w14:textId="77777777" w:rsidR="004E3297" w:rsidRDefault="00000000">
      <w:pPr>
        <w:pStyle w:val="Heading1"/>
      </w:pPr>
      <w:r>
        <w:lastRenderedPageBreak/>
        <w:t>We Count Badges</w:t>
      </w:r>
    </w:p>
    <w:p w14:paraId="7A4B0FCD" w14:textId="77777777" w:rsidR="004E3297" w:rsidRDefault="00000000">
      <w:pPr>
        <w:jc w:val="center"/>
      </w:pPr>
      <w:r>
        <w:rPr>
          <w:noProof/>
        </w:rPr>
        <w:drawing>
          <wp:inline distT="0" distB="0" distL="0" distR="0" wp14:anchorId="6B702693" wp14:editId="4884B8D5">
            <wp:extent cx="4457700" cy="2332863"/>
            <wp:effectExtent l="0" t="0" r="0" b="0"/>
            <wp:docPr id="10" name="Picture10" descr="We Count badges: Learner, Brainstormer, Collaborator and Commun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5" cstate="print"/>
                    <a:stretch>
                      <a:fillRect/>
                    </a:stretch>
                  </pic:blipFill>
                  <pic:spPr>
                    <a:xfrm>
                      <a:off x="0" y="0"/>
                      <a:ext cx="4457700" cy="2332863"/>
                    </a:xfrm>
                    <a:prstGeom prst="rect">
                      <a:avLst/>
                    </a:prstGeom>
                  </pic:spPr>
                </pic:pic>
              </a:graphicData>
            </a:graphic>
          </wp:inline>
        </w:drawing>
      </w:r>
    </w:p>
    <w:p w14:paraId="2CAA1280" w14:textId="77777777" w:rsidR="004E3297" w:rsidRDefault="00000000">
      <w:pPr>
        <w:pStyle w:val="IntenseQuote"/>
      </w:pPr>
      <w:r>
        <w:t xml:space="preserve">Earn badges with We Count! Our badges enable earners to showcase their proficiency in AI, data systems and inclusive data practices. To find out more about the types of badges we </w:t>
      </w:r>
      <w:proofErr w:type="gramStart"/>
      <w:r>
        <w:t>offer</w:t>
      </w:r>
      <w:proofErr w:type="gramEnd"/>
      <w:r>
        <w:t xml:space="preserve"> and which badges are currently available, </w:t>
      </w:r>
      <w:hyperlink r:id="rId36">
        <w:r>
          <w:rPr>
            <w:rStyle w:val="SwayHyperlink"/>
          </w:rPr>
          <w:t>visit our website</w:t>
        </w:r>
      </w:hyperlink>
      <w:r>
        <w:t>.</w:t>
      </w:r>
    </w:p>
    <w:p w14:paraId="1394890D" w14:textId="77777777" w:rsidR="004E3297" w:rsidRDefault="00000000">
      <w:pPr>
        <w:jc w:val="center"/>
      </w:pPr>
      <w:r>
        <w:rPr>
          <w:noProof/>
        </w:rPr>
        <w:drawing>
          <wp:inline distT="0" distB="0" distL="0" distR="0" wp14:anchorId="26B39EB8" wp14:editId="7612E772">
            <wp:extent cx="2245260" cy="2245260"/>
            <wp:effectExtent l="0" t="0" r="3175" b="3175"/>
            <wp:docPr id="11" name="Picture11" descr="We Count Learner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7" cstate="print"/>
                    <a:stretch>
                      <a:fillRect/>
                    </a:stretch>
                  </pic:blipFill>
                  <pic:spPr>
                    <a:xfrm>
                      <a:off x="0" y="0"/>
                      <a:ext cx="2263610" cy="2263610"/>
                    </a:xfrm>
                    <a:prstGeom prst="rect">
                      <a:avLst/>
                    </a:prstGeom>
                  </pic:spPr>
                </pic:pic>
              </a:graphicData>
            </a:graphic>
          </wp:inline>
        </w:drawing>
      </w:r>
    </w:p>
    <w:p w14:paraId="445A7550" w14:textId="77777777" w:rsidR="004E3297" w:rsidRDefault="00000000" w:rsidP="0099741C">
      <w:r>
        <w:rPr>
          <w:rStyle w:val="Strong1"/>
        </w:rPr>
        <w:t>Badge Spotlight: The Metric Society and the Unmeasurable Learner Badge</w:t>
      </w:r>
    </w:p>
    <w:p w14:paraId="5D5363BD" w14:textId="77777777" w:rsidR="004E3297" w:rsidRDefault="00000000" w:rsidP="0099741C">
      <w:r>
        <w:t xml:space="preserve">In this webinar, Steffen Mau, Virginia </w:t>
      </w:r>
      <w:proofErr w:type="gramStart"/>
      <w:r>
        <w:t>Eubanks</w:t>
      </w:r>
      <w:proofErr w:type="gramEnd"/>
      <w:r>
        <w:t xml:space="preserve"> and Jutta Treviranus discuss the emergence of societies dominated by star ratings, scores, likes and lists, as data is collected on virtually every aspect of our lives. From annual university rankings, ratings agencies and fitness tracking technologies to our credit score and health status, everything and everybody is measured and evaluated. </w:t>
      </w:r>
    </w:p>
    <w:p w14:paraId="63263628" w14:textId="77777777" w:rsidR="004E3297" w:rsidRDefault="00000000" w:rsidP="0099741C">
      <w:r>
        <w:t>You will learn:</w:t>
      </w:r>
    </w:p>
    <w:p w14:paraId="4BF876F8" w14:textId="77777777" w:rsidR="004E3297" w:rsidRDefault="00000000" w:rsidP="0099741C">
      <w:r>
        <w:lastRenderedPageBreak/>
        <w:t>How the rise of quantification has created and strengthened social hierarchies</w:t>
      </w:r>
    </w:p>
    <w:p w14:paraId="15F8EB27" w14:textId="77777777" w:rsidR="004E3297" w:rsidRDefault="00000000" w:rsidP="0099741C">
      <w:r>
        <w:t>How quantification could lead to standardization but does not necessarily capture social diversity and deviance</w:t>
      </w:r>
    </w:p>
    <w:p w14:paraId="0961EF98" w14:textId="77777777" w:rsidR="004E3297" w:rsidRDefault="00000000" w:rsidP="0099741C">
      <w:r>
        <w:t>About the importance of bottom-up, community-driven initiatives in addressing the top-down mismanagement of personal data and access to social services</w:t>
      </w:r>
    </w:p>
    <w:p w14:paraId="0D314515" w14:textId="77777777" w:rsidR="004E3297" w:rsidRDefault="00000000" w:rsidP="0099741C">
      <w:r>
        <w:t xml:space="preserve">Apply for this badge on our </w:t>
      </w:r>
      <w:hyperlink r:id="rId38">
        <w:r>
          <w:rPr>
            <w:rStyle w:val="SwayHyperlink"/>
          </w:rPr>
          <w:t>Initiatives page</w:t>
        </w:r>
      </w:hyperlink>
      <w:r>
        <w:t>.</w:t>
      </w:r>
    </w:p>
    <w:p w14:paraId="00136636" w14:textId="25CDC737" w:rsidR="004E3297" w:rsidRDefault="00000000" w:rsidP="00513DB3">
      <w:pPr>
        <w:pStyle w:val="Heading1"/>
      </w:pPr>
      <w:r>
        <w:t>IDRC News</w:t>
      </w:r>
    </w:p>
    <w:p w14:paraId="0344C8C3" w14:textId="06318048" w:rsidR="004E3297" w:rsidRDefault="00000000" w:rsidP="0099741C">
      <w:r>
        <w:rPr>
          <w:rStyle w:val="Strong1"/>
        </w:rPr>
        <w:t>Equitable Digital Systems</w:t>
      </w:r>
    </w:p>
    <w:p w14:paraId="00D69B97" w14:textId="3C1B0943" w:rsidR="004E3297" w:rsidRDefault="00000000" w:rsidP="0099741C">
      <w:r>
        <w:t>The Future of Work: Equitable Digital Systems project is an IDRC initiative that examines the accessibility of the digital tools and systems we rely upon for work to ensure that they are meeting the needs of and enabling work for people with disabilities. The project looks specifically at systems used by organizations that are regulated by the Accessible Canada Act, Bill C-81.</w:t>
      </w:r>
    </w:p>
    <w:p w14:paraId="441B9A35" w14:textId="738B2FCB" w:rsidR="004E3297" w:rsidRDefault="00000000" w:rsidP="0099741C">
      <w:r>
        <w:t xml:space="preserve">To fill the regulatory gaps that we find in our research, we are hosting co-design sessions with our partner organizations and people with disabilities, as well as developing an accessible open online resource site where our research will be stored that will provide people with disabilities with up-to-date and accurate information about emerging technology. </w:t>
      </w:r>
    </w:p>
    <w:p w14:paraId="71F7CD4B" w14:textId="339015D1" w:rsidR="004E3297" w:rsidRDefault="00B53D4A" w:rsidP="0099741C">
      <w:r>
        <w:rPr>
          <w:noProof/>
        </w:rPr>
        <w:drawing>
          <wp:anchor distT="0" distB="0" distL="114300" distR="114300" simplePos="0" relativeHeight="251659264" behindDoc="0" locked="0" layoutInCell="1" allowOverlap="1" wp14:anchorId="56359BA8" wp14:editId="75F3F57E">
            <wp:simplePos x="0" y="0"/>
            <wp:positionH relativeFrom="column">
              <wp:posOffset>0</wp:posOffset>
            </wp:positionH>
            <wp:positionV relativeFrom="paragraph">
              <wp:posOffset>474282</wp:posOffset>
            </wp:positionV>
            <wp:extent cx="1964602" cy="1964602"/>
            <wp:effectExtent l="0" t="0" r="4445" b="0"/>
            <wp:wrapTopAndBottom/>
            <wp:docPr id="12" name="Picture12" descr="Equitable Digital Syste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964602" cy="1964602"/>
                    </a:xfrm>
                    <a:prstGeom prst="rect">
                      <a:avLst/>
                    </a:prstGeom>
                  </pic:spPr>
                </pic:pic>
              </a:graphicData>
            </a:graphic>
            <wp14:sizeRelH relativeFrom="page">
              <wp14:pctWidth>0</wp14:pctWidth>
            </wp14:sizeRelH>
            <wp14:sizeRelV relativeFrom="page">
              <wp14:pctHeight>0</wp14:pctHeight>
            </wp14:sizeRelV>
          </wp:anchor>
        </w:drawing>
      </w:r>
      <w:r w:rsidR="00000000">
        <w:t>Throughout the Equitable Digital Systems project, people with disabilities will lead the direction and outcomes of research, as we carve a path toward equitable and inclusive digital systems.</w:t>
      </w:r>
    </w:p>
    <w:p w14:paraId="4A8BBAF2" w14:textId="77777777" w:rsidR="004E3297" w:rsidRDefault="00000000" w:rsidP="0099741C">
      <w:hyperlink r:id="rId40">
        <w:r>
          <w:rPr>
            <w:rStyle w:val="SwayHyperlink"/>
          </w:rPr>
          <w:t>Visit our website to learn more about the project.</w:t>
        </w:r>
      </w:hyperlink>
    </w:p>
    <w:p w14:paraId="6D8FA3C3" w14:textId="77777777" w:rsidR="004E3297" w:rsidRDefault="00000000">
      <w:pPr>
        <w:pStyle w:val="Heading1"/>
      </w:pPr>
      <w:r>
        <w:lastRenderedPageBreak/>
        <w:t>Learn More</w:t>
      </w:r>
    </w:p>
    <w:p w14:paraId="3A8A657A" w14:textId="77777777" w:rsidR="004E3297" w:rsidRDefault="00000000">
      <w:pPr>
        <w:jc w:val="center"/>
      </w:pPr>
      <w:r>
        <w:rPr>
          <w:noProof/>
        </w:rPr>
        <w:drawing>
          <wp:inline distT="0" distB="0" distL="0" distR="0" wp14:anchorId="04CA04CD" wp14:editId="5526DBFA">
            <wp:extent cx="2971799" cy="1671637"/>
            <wp:effectExtent l="0" t="0" r="0" b="0"/>
            <wp:docPr id="13" name="Picture13" descr="Learn about We Count and its work to foster an inclusive, fair and accessible data ecosystem.&#10;https://wecount.inclusivedesign.c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2" cstate="print">
                      <a:extLst>
                        <a:ext uri="{C809E66F-F1BF-436E-b5F7-EEA9579F0CBA}">
                          <wp15:webVideoPr xmlns:wp15="http://schemas.microsoft.com/office/word/2012/wordprocessingDrawing" embeddedHtml="&lt;iframe type='text/html' width='1280' height='720' src='https://www.youtube.com/embed/mFvXgQMLdNw?autoplay=1&amp;rel=0' frameborder='0'&gt;&lt;/iframe&gt;" h="720" w="1280"/>
                        </a:ext>
                      </a:extLst>
                    </a:blip>
                    <a:stretch>
                      <a:fillRect/>
                    </a:stretch>
                  </pic:blipFill>
                  <pic:spPr>
                    <a:xfrm>
                      <a:off x="0" y="0"/>
                      <a:ext cx="2971799" cy="1671637"/>
                    </a:xfrm>
                    <a:prstGeom prst="rect">
                      <a:avLst/>
                    </a:prstGeom>
                  </pic:spPr>
                </pic:pic>
              </a:graphicData>
            </a:graphic>
          </wp:inline>
        </w:drawing>
      </w:r>
    </w:p>
    <w:p w14:paraId="6A63DA0D" w14:textId="77777777" w:rsidR="004E3297" w:rsidRDefault="00000000">
      <w:pPr>
        <w:pStyle w:val="IntenseQuote"/>
      </w:pPr>
      <w:r>
        <w:t>Discover how We Count is addressing bias and developing new machine learning strategies that recognize and serve people with disabilities in this video.</w:t>
      </w:r>
    </w:p>
    <w:p w14:paraId="13B111AC" w14:textId="77777777" w:rsidR="004E3297" w:rsidRDefault="00000000" w:rsidP="0099741C">
      <w:r>
        <w:t xml:space="preserve">Are you interested in hearing about We Count </w:t>
      </w:r>
      <w:proofErr w:type="gramStart"/>
      <w:r>
        <w:t>activities</w:t>
      </w:r>
      <w:proofErr w:type="gramEnd"/>
      <w:r>
        <w:t xml:space="preserve"> or do you want to be contacted to learn about ways you can participate? If you are, then send us your contact information using our </w:t>
      </w:r>
      <w:hyperlink r:id="rId43">
        <w:r>
          <w:rPr>
            <w:rStyle w:val="SwayHyperlink"/>
          </w:rPr>
          <w:t>contact form</w:t>
        </w:r>
      </w:hyperlink>
      <w:r>
        <w:t>.</w:t>
      </w:r>
    </w:p>
    <w:p w14:paraId="0AFFAB03" w14:textId="77777777" w:rsidR="004E3297" w:rsidRDefault="00000000">
      <w:pPr>
        <w:pStyle w:val="Heading1"/>
      </w:pPr>
      <w:r>
        <w:t>Contact Us</w:t>
      </w:r>
    </w:p>
    <w:p w14:paraId="5936981E" w14:textId="1DE1352C" w:rsidR="004E3297" w:rsidRDefault="00000000" w:rsidP="006000F6">
      <w:pPr>
        <w:spacing w:after="0" w:afterAutospacing="0"/>
      </w:pPr>
      <w:r>
        <w:t>We would love to hear from you!</w:t>
      </w:r>
    </w:p>
    <w:p w14:paraId="1E76995B" w14:textId="77777777" w:rsidR="004E3297" w:rsidRDefault="00000000" w:rsidP="006000F6">
      <w:pPr>
        <w:spacing w:after="0" w:afterAutospacing="0"/>
      </w:pPr>
      <w:r>
        <w:rPr>
          <w:rStyle w:val="Strong1"/>
        </w:rPr>
        <w:t>Inclusive Design Research Centre</w:t>
      </w:r>
    </w:p>
    <w:p w14:paraId="46E60576" w14:textId="77777777" w:rsidR="004E3297" w:rsidRDefault="00000000" w:rsidP="006000F6">
      <w:pPr>
        <w:spacing w:after="0" w:afterAutospacing="0"/>
      </w:pPr>
      <w:r>
        <w:t>OCAD University</w:t>
      </w:r>
    </w:p>
    <w:p w14:paraId="016C4BB3" w14:textId="77777777" w:rsidR="004E3297" w:rsidRDefault="00000000" w:rsidP="006000F6">
      <w:pPr>
        <w:spacing w:after="0" w:afterAutospacing="0"/>
      </w:pPr>
      <w:r>
        <w:t>205 Richmond St. W, Toronto, ON, M5V 1V3</w:t>
      </w:r>
    </w:p>
    <w:p w14:paraId="5BBD436F" w14:textId="67BAD8E3" w:rsidR="004E3297" w:rsidRDefault="00000000" w:rsidP="006000F6">
      <w:pPr>
        <w:spacing w:after="0" w:afterAutospacing="0"/>
      </w:pPr>
      <w:hyperlink r:id="rId44">
        <w:r>
          <w:rPr>
            <w:rStyle w:val="SwayHyperlink"/>
          </w:rPr>
          <w:t>wecount@inclusivedesign.ca</w:t>
        </w:r>
      </w:hyperlink>
    </w:p>
    <w:p w14:paraId="665F57B5" w14:textId="72B49F15" w:rsidR="006000F6" w:rsidRDefault="00000000" w:rsidP="006000F6">
      <w:pPr>
        <w:spacing w:after="0" w:afterAutospacing="0"/>
        <w:sectPr w:rsidR="006000F6">
          <w:pgSz w:w="12240" w:h="15840"/>
          <w:pgMar w:top="1440" w:right="1440" w:bottom="1440" w:left="1440" w:header="720" w:footer="720" w:gutter="0"/>
          <w:cols w:space="720"/>
        </w:sectPr>
      </w:pPr>
      <w:r>
        <w:t xml:space="preserve">Visit the </w:t>
      </w:r>
      <w:hyperlink r:id="rId45">
        <w:r>
          <w:rPr>
            <w:rStyle w:val="SwayHyperlink"/>
          </w:rPr>
          <w:t>We Count website</w:t>
        </w:r>
      </w:hyperlink>
      <w:r>
        <w:t xml:space="preserve"> and follow us on social media (@WeCountProject)</w:t>
      </w:r>
    </w:p>
    <w:p w14:paraId="153D48A7" w14:textId="77777777" w:rsidR="004E3297" w:rsidRDefault="00000000">
      <w:pPr>
        <w:pStyle w:val="Heading1"/>
      </w:pPr>
      <w:r>
        <w:rPr>
          <w:rStyle w:val="Strong1"/>
        </w:rPr>
        <w:lastRenderedPageBreak/>
        <w:t>We Count</w:t>
      </w:r>
      <w:r>
        <w:t xml:space="preserve"> acknowledges the support of:</w:t>
      </w:r>
    </w:p>
    <w:p w14:paraId="6B18FC37" w14:textId="77777777" w:rsidR="004E3297" w:rsidRDefault="00000000">
      <w:pPr>
        <w:jc w:val="center"/>
      </w:pPr>
      <w:r>
        <w:rPr>
          <w:noProof/>
        </w:rPr>
        <w:drawing>
          <wp:inline distT="0" distB="0" distL="0" distR="0" wp14:anchorId="4ED1E5CE" wp14:editId="388337A6">
            <wp:extent cx="3329346" cy="1224024"/>
            <wp:effectExtent l="0" t="0" r="0" b="0"/>
            <wp:docPr id="14" name="Picture14" descr="Inclusive Design Research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6" cstate="print"/>
                    <a:stretch>
                      <a:fillRect/>
                    </a:stretch>
                  </pic:blipFill>
                  <pic:spPr>
                    <a:xfrm>
                      <a:off x="0" y="0"/>
                      <a:ext cx="3453778" cy="1269771"/>
                    </a:xfrm>
                    <a:prstGeom prst="rect">
                      <a:avLst/>
                    </a:prstGeom>
                  </pic:spPr>
                </pic:pic>
              </a:graphicData>
            </a:graphic>
          </wp:inline>
        </w:drawing>
      </w:r>
    </w:p>
    <w:p w14:paraId="3890CA1C" w14:textId="77777777" w:rsidR="004E3297" w:rsidRDefault="00000000">
      <w:pPr>
        <w:jc w:val="center"/>
      </w:pPr>
      <w:r>
        <w:rPr>
          <w:noProof/>
        </w:rPr>
        <w:drawing>
          <wp:inline distT="0" distB="0" distL="0" distR="0" wp14:anchorId="2961D89A" wp14:editId="078C9683">
            <wp:extent cx="2544024" cy="1026228"/>
            <wp:effectExtent l="0" t="0" r="0" b="0"/>
            <wp:docPr id="15" name="Picture15" descr="William and Flora Hewlet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7" cstate="print"/>
                    <a:stretch>
                      <a:fillRect/>
                    </a:stretch>
                  </pic:blipFill>
                  <pic:spPr>
                    <a:xfrm>
                      <a:off x="0" y="0"/>
                      <a:ext cx="2624856" cy="1058835"/>
                    </a:xfrm>
                    <a:prstGeom prst="rect">
                      <a:avLst/>
                    </a:prstGeom>
                  </pic:spPr>
                </pic:pic>
              </a:graphicData>
            </a:graphic>
          </wp:inline>
        </w:drawing>
      </w:r>
    </w:p>
    <w:p w14:paraId="25A65F07" w14:textId="77777777" w:rsidR="004E3297" w:rsidRDefault="00000000">
      <w:pPr>
        <w:jc w:val="center"/>
      </w:pPr>
      <w:r>
        <w:rPr>
          <w:noProof/>
        </w:rPr>
        <w:drawing>
          <wp:inline distT="0" distB="0" distL="0" distR="0" wp14:anchorId="2BCDE2EE" wp14:editId="0EFF3463">
            <wp:extent cx="3358836" cy="1332071"/>
            <wp:effectExtent l="0" t="0" r="0" b="1905"/>
            <wp:docPr id="16" name="Picture16" descr="Supported by Innovation, Science and Economic Development Canada’s Accessible Technology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8" cstate="print"/>
                    <a:stretch>
                      <a:fillRect/>
                    </a:stretch>
                  </pic:blipFill>
                  <pic:spPr>
                    <a:xfrm>
                      <a:off x="0" y="0"/>
                      <a:ext cx="3412841" cy="1353489"/>
                    </a:xfrm>
                    <a:prstGeom prst="rect">
                      <a:avLst/>
                    </a:prstGeom>
                  </pic:spPr>
                </pic:pic>
              </a:graphicData>
            </a:graphic>
          </wp:inline>
        </w:drawing>
      </w:r>
    </w:p>
    <w:p w14:paraId="7A9854A0" w14:textId="77777777" w:rsidR="004E3297" w:rsidRDefault="00000000">
      <w:pPr>
        <w:jc w:val="center"/>
      </w:pPr>
      <w:r>
        <w:rPr>
          <w:noProof/>
        </w:rPr>
        <w:drawing>
          <wp:inline distT="0" distB="0" distL="0" distR="0" wp14:anchorId="2F7DBC6B" wp14:editId="7526ACA9">
            <wp:extent cx="2534114" cy="2163778"/>
            <wp:effectExtent l="0" t="0" r="6350" b="0"/>
            <wp:docPr id="17" name="Picture17" descr="OCAD U Imagination Is Every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rotWithShape="1">
                    <a:blip r:embed="rId49" cstate="print"/>
                    <a:srcRect l="23565" t="22084" r="19566" b="15076"/>
                    <a:stretch/>
                  </pic:blipFill>
                  <pic:spPr bwMode="auto">
                    <a:xfrm>
                      <a:off x="0" y="0"/>
                      <a:ext cx="2535050" cy="2164577"/>
                    </a:xfrm>
                    <a:prstGeom prst="rect">
                      <a:avLst/>
                    </a:prstGeom>
                    <a:ln>
                      <a:noFill/>
                    </a:ln>
                    <a:extLst>
                      <a:ext uri="{53640926-AAD7-44D8-BBD7-CCE9431645EC}">
                        <a14:shadowObscured xmlns:a14="http://schemas.microsoft.com/office/drawing/2010/main"/>
                      </a:ext>
                    </a:extLst>
                  </pic:spPr>
                </pic:pic>
              </a:graphicData>
            </a:graphic>
          </wp:inline>
        </w:drawing>
      </w:r>
    </w:p>
    <w:sectPr w:rsidR="004E32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F66A4"/>
    <w:multiLevelType w:val="hybridMultilevel"/>
    <w:tmpl w:val="F2B4A818"/>
    <w:lvl w:ilvl="0" w:tplc="14CAD2CE">
      <w:start w:val="1"/>
      <w:numFmt w:val="bullet"/>
      <w:lvlText w:val="•"/>
      <w:lvlJc w:val="left"/>
      <w:pPr>
        <w:ind w:left="720" w:hanging="360"/>
      </w:pPr>
      <w:rPr>
        <w:rFonts w:ascii="Calibri" w:hAnsi="Calibri" w:hint="default"/>
      </w:rPr>
    </w:lvl>
    <w:lvl w:ilvl="1" w:tplc="B20AD16C" w:tentative="1">
      <w:start w:val="1"/>
      <w:numFmt w:val="bullet"/>
      <w:lvlText w:val="-"/>
      <w:lvlJc w:val="left"/>
      <w:pPr>
        <w:ind w:left="1440" w:hanging="360"/>
      </w:pPr>
      <w:rPr>
        <w:rFonts w:ascii="Courier New" w:hAnsi="Courier New" w:hint="default"/>
      </w:rPr>
    </w:lvl>
    <w:lvl w:ilvl="2" w:tplc="96DAC028" w:tentative="1">
      <w:start w:val="1"/>
      <w:numFmt w:val="bullet"/>
      <w:lvlText w:val="◦"/>
      <w:lvlJc w:val="left"/>
      <w:pPr>
        <w:ind w:left="2160" w:hanging="360"/>
      </w:pPr>
      <w:rPr>
        <w:rFonts w:ascii="Calibri" w:hAnsi="Calibri" w:hint="default"/>
      </w:rPr>
    </w:lvl>
    <w:lvl w:ilvl="3" w:tplc="64406190" w:tentative="1">
      <w:start w:val="1"/>
      <w:numFmt w:val="bullet"/>
      <w:lvlText w:val="•"/>
      <w:lvlJc w:val="left"/>
      <w:pPr>
        <w:ind w:left="2880" w:hanging="360"/>
      </w:pPr>
      <w:rPr>
        <w:rFonts w:ascii="Calibri" w:hAnsi="Calibri" w:hint="default"/>
      </w:rPr>
    </w:lvl>
    <w:lvl w:ilvl="4" w:tplc="373A2B92" w:tentative="1">
      <w:start w:val="1"/>
      <w:numFmt w:val="bullet"/>
      <w:lvlText w:val="-"/>
      <w:lvlJc w:val="left"/>
      <w:pPr>
        <w:ind w:left="3600" w:hanging="360"/>
      </w:pPr>
      <w:rPr>
        <w:rFonts w:ascii="Courier New" w:hAnsi="Courier New" w:hint="default"/>
      </w:rPr>
    </w:lvl>
    <w:lvl w:ilvl="5" w:tplc="D28CE444" w:tentative="1">
      <w:start w:val="1"/>
      <w:numFmt w:val="bullet"/>
      <w:lvlText w:val="◦"/>
      <w:lvlJc w:val="left"/>
      <w:pPr>
        <w:ind w:left="4320" w:hanging="360"/>
      </w:pPr>
      <w:rPr>
        <w:rFonts w:ascii="Calibri" w:hAnsi="Calibri" w:hint="default"/>
      </w:rPr>
    </w:lvl>
    <w:lvl w:ilvl="6" w:tplc="C2F6127E" w:tentative="1">
      <w:start w:val="1"/>
      <w:numFmt w:val="bullet"/>
      <w:lvlText w:val="•"/>
      <w:lvlJc w:val="left"/>
      <w:pPr>
        <w:ind w:left="5040" w:hanging="360"/>
      </w:pPr>
      <w:rPr>
        <w:rFonts w:ascii="Calibri" w:hAnsi="Calibri" w:hint="default"/>
      </w:rPr>
    </w:lvl>
    <w:lvl w:ilvl="7" w:tplc="EC9CE53E" w:tentative="1">
      <w:start w:val="1"/>
      <w:numFmt w:val="bullet"/>
      <w:lvlText w:val="-"/>
      <w:lvlJc w:val="left"/>
      <w:pPr>
        <w:ind w:left="5760" w:hanging="360"/>
      </w:pPr>
      <w:rPr>
        <w:rFonts w:ascii="Courier New" w:hAnsi="Courier New" w:hint="default"/>
      </w:rPr>
    </w:lvl>
    <w:lvl w:ilvl="8" w:tplc="2A34519A" w:tentative="1">
      <w:start w:val="1"/>
      <w:numFmt w:val="bullet"/>
      <w:lvlText w:val="◦"/>
      <w:lvlJc w:val="left"/>
      <w:pPr>
        <w:ind w:left="6480" w:hanging="360"/>
      </w:pPr>
      <w:rPr>
        <w:rFonts w:ascii="Calibri" w:hAnsi="Calibri" w:hint="default"/>
      </w:rPr>
    </w:lvl>
  </w:abstractNum>
  <w:abstractNum w:abstractNumId="1" w15:restartNumberingAfterBreak="0">
    <w:nsid w:val="195E6BEF"/>
    <w:multiLevelType w:val="hybridMultilevel"/>
    <w:tmpl w:val="FCB09984"/>
    <w:lvl w:ilvl="0" w:tplc="C99AD480">
      <w:start w:val="1"/>
      <w:numFmt w:val="bullet"/>
      <w:lvlText w:val="•"/>
      <w:lvlJc w:val="left"/>
      <w:pPr>
        <w:ind w:left="720" w:hanging="360"/>
      </w:pPr>
      <w:rPr>
        <w:rFonts w:ascii="Calibri" w:hAnsi="Calibri" w:hint="default"/>
      </w:rPr>
    </w:lvl>
    <w:lvl w:ilvl="1" w:tplc="C5888434" w:tentative="1">
      <w:start w:val="1"/>
      <w:numFmt w:val="bullet"/>
      <w:lvlText w:val="-"/>
      <w:lvlJc w:val="left"/>
      <w:pPr>
        <w:ind w:left="1440" w:hanging="360"/>
      </w:pPr>
      <w:rPr>
        <w:rFonts w:ascii="Courier New" w:hAnsi="Courier New" w:hint="default"/>
      </w:rPr>
    </w:lvl>
    <w:lvl w:ilvl="2" w:tplc="484AA38C" w:tentative="1">
      <w:start w:val="1"/>
      <w:numFmt w:val="bullet"/>
      <w:lvlText w:val="◦"/>
      <w:lvlJc w:val="left"/>
      <w:pPr>
        <w:ind w:left="2160" w:hanging="360"/>
      </w:pPr>
      <w:rPr>
        <w:rFonts w:ascii="Calibri" w:hAnsi="Calibri" w:hint="default"/>
      </w:rPr>
    </w:lvl>
    <w:lvl w:ilvl="3" w:tplc="B4EC709E" w:tentative="1">
      <w:start w:val="1"/>
      <w:numFmt w:val="bullet"/>
      <w:lvlText w:val="•"/>
      <w:lvlJc w:val="left"/>
      <w:pPr>
        <w:ind w:left="2880" w:hanging="360"/>
      </w:pPr>
      <w:rPr>
        <w:rFonts w:ascii="Calibri" w:hAnsi="Calibri" w:hint="default"/>
      </w:rPr>
    </w:lvl>
    <w:lvl w:ilvl="4" w:tplc="D5EC700A" w:tentative="1">
      <w:start w:val="1"/>
      <w:numFmt w:val="bullet"/>
      <w:lvlText w:val="-"/>
      <w:lvlJc w:val="left"/>
      <w:pPr>
        <w:ind w:left="3600" w:hanging="360"/>
      </w:pPr>
      <w:rPr>
        <w:rFonts w:ascii="Courier New" w:hAnsi="Courier New" w:hint="default"/>
      </w:rPr>
    </w:lvl>
    <w:lvl w:ilvl="5" w:tplc="AD02B708" w:tentative="1">
      <w:start w:val="1"/>
      <w:numFmt w:val="bullet"/>
      <w:lvlText w:val="◦"/>
      <w:lvlJc w:val="left"/>
      <w:pPr>
        <w:ind w:left="4320" w:hanging="360"/>
      </w:pPr>
      <w:rPr>
        <w:rFonts w:ascii="Calibri" w:hAnsi="Calibri" w:hint="default"/>
      </w:rPr>
    </w:lvl>
    <w:lvl w:ilvl="6" w:tplc="4830C660" w:tentative="1">
      <w:start w:val="1"/>
      <w:numFmt w:val="bullet"/>
      <w:lvlText w:val="•"/>
      <w:lvlJc w:val="left"/>
      <w:pPr>
        <w:ind w:left="5040" w:hanging="360"/>
      </w:pPr>
      <w:rPr>
        <w:rFonts w:ascii="Calibri" w:hAnsi="Calibri" w:hint="default"/>
      </w:rPr>
    </w:lvl>
    <w:lvl w:ilvl="7" w:tplc="08BA154C" w:tentative="1">
      <w:start w:val="1"/>
      <w:numFmt w:val="bullet"/>
      <w:lvlText w:val="-"/>
      <w:lvlJc w:val="left"/>
      <w:pPr>
        <w:ind w:left="5760" w:hanging="360"/>
      </w:pPr>
      <w:rPr>
        <w:rFonts w:ascii="Courier New" w:hAnsi="Courier New" w:hint="default"/>
      </w:rPr>
    </w:lvl>
    <w:lvl w:ilvl="8" w:tplc="4DFAEA8C" w:tentative="1">
      <w:start w:val="1"/>
      <w:numFmt w:val="bullet"/>
      <w:lvlText w:val="◦"/>
      <w:lvlJc w:val="left"/>
      <w:pPr>
        <w:ind w:left="6480" w:hanging="360"/>
      </w:pPr>
      <w:rPr>
        <w:rFonts w:ascii="Calibri" w:hAnsi="Calibri" w:hint="default"/>
      </w:rPr>
    </w:lvl>
  </w:abstractNum>
  <w:num w:numId="1" w16cid:durableId="1793940390">
    <w:abstractNumId w:val="0"/>
  </w:num>
  <w:num w:numId="2" w16cid:durableId="46080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297"/>
    <w:rsid w:val="004E3297"/>
    <w:rsid w:val="00513DB3"/>
    <w:rsid w:val="00580681"/>
    <w:rsid w:val="006000F6"/>
    <w:rsid w:val="00780E8F"/>
    <w:rsid w:val="007B1320"/>
    <w:rsid w:val="0099741C"/>
    <w:rsid w:val="00B53D4A"/>
    <w:rsid w:val="00DD270E"/>
    <w:rsid w:val="00FD2D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612E"/>
  <w15:docId w15:val="{EED1DDF1-A9EF-6248-A36A-5C0934E6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D4A"/>
    <w:pPr>
      <w:spacing w:after="100" w:afterAutospacing="1"/>
    </w:pPr>
  </w:style>
  <w:style w:type="paragraph" w:styleId="Heading2">
    <w:name w:val="heading 2"/>
    <w:basedOn w:val="Normal"/>
    <w:next w:val="Normal"/>
    <w:link w:val="Heading2Char"/>
    <w:uiPriority w:val="9"/>
    <w:unhideWhenUsed/>
    <w:qFormat/>
    <w:rsid w:val="00FD2DA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1"/>
    <w:unhideWhenUsed/>
    <w:qFormat/>
    <w:rPr>
      <w:rFonts w:ascii="Calibri"/>
    </w:rPr>
  </w:style>
  <w:style w:type="paragraph" w:customStyle="1" w:styleId="Title1">
    <w:name w:val="Title1"/>
    <w:basedOn w:val="Normal1"/>
    <w:next w:val="Normal1"/>
    <w:uiPriority w:val="1"/>
    <w:unhideWhenUsed/>
    <w:qFormat/>
    <w:rsid w:val="00580681"/>
    <w:pPr>
      <w:jc w:val="center"/>
    </w:pPr>
    <w:rPr>
      <w:rFonts w:ascii="Calibri Light"/>
      <w:sz w:val="52"/>
      <w:szCs w:val="52"/>
    </w:rPr>
  </w:style>
  <w:style w:type="paragraph" w:customStyle="1" w:styleId="Heading1">
    <w:name w:val="Heading1"/>
    <w:basedOn w:val="Normal1"/>
    <w:next w:val="Normal1"/>
    <w:uiPriority w:val="1"/>
    <w:unhideWhenUsed/>
    <w:qFormat/>
    <w:rsid w:val="00B53D4A"/>
    <w:pPr>
      <w:keepNext/>
      <w:pBdr>
        <w:top w:val="single" w:sz="8" w:space="1" w:color="4472C4" w:themeColor="accent1"/>
      </w:pBdr>
      <w:spacing w:before="480" w:after="120"/>
      <w:outlineLvl w:val="0"/>
    </w:pPr>
    <w:rPr>
      <w:rFonts w:ascii="Calibri Light"/>
      <w:b/>
      <w:color w:val="4472C4" w:themeColor="accent1"/>
      <w:sz w:val="36"/>
    </w:rPr>
  </w:style>
  <w:style w:type="paragraph" w:customStyle="1" w:styleId="Heading20">
    <w:name w:val="Heading2"/>
    <w:basedOn w:val="Normal1"/>
    <w:next w:val="Normal1"/>
    <w:uiPriority w:val="1"/>
    <w:unhideWhenUsed/>
    <w:qFormat/>
    <w:rsid w:val="0099741C"/>
    <w:pPr>
      <w:keepNext/>
      <w:spacing w:before="40" w:after="120"/>
      <w:outlineLvl w:val="1"/>
    </w:pPr>
    <w:rPr>
      <w:rFonts w:ascii="Calibri Light"/>
      <w:color w:val="4472C4" w:themeColor="accent1"/>
      <w:sz w:val="26"/>
    </w:rPr>
  </w:style>
  <w:style w:type="character" w:customStyle="1" w:styleId="EmphasizeItalicize">
    <w:name w:val="EmphasizeItalicize"/>
    <w:uiPriority w:val="1"/>
    <w:unhideWhenUsed/>
    <w:qFormat/>
    <w:rPr>
      <w:rFonts w:ascii="Calibri"/>
      <w:b/>
      <w:i/>
    </w:rPr>
  </w:style>
  <w:style w:type="character" w:customStyle="1" w:styleId="Strong1">
    <w:name w:val="Strong1"/>
    <w:uiPriority w:val="1"/>
    <w:unhideWhenUsed/>
    <w:qFormat/>
    <w:rPr>
      <w:rFonts w:ascii="Calibri"/>
      <w:b/>
    </w:rPr>
  </w:style>
  <w:style w:type="character" w:customStyle="1" w:styleId="Emphasis1">
    <w:name w:val="Emphasis1"/>
    <w:uiPriority w:val="1"/>
    <w:unhideWhenUsed/>
    <w:qFormat/>
    <w:rPr>
      <w:rFonts w:ascii="Calibri"/>
      <w:i/>
    </w:rPr>
  </w:style>
  <w:style w:type="character" w:customStyle="1" w:styleId="SwayHyperlink">
    <w:name w:val="SwayHyperlink"/>
    <w:uiPriority w:val="1"/>
    <w:unhideWhenUsed/>
    <w:qFormat/>
    <w:rPr>
      <w:rFonts w:ascii="Calibri"/>
      <w:color w:val="0563C1" w:themeColor="hyperlink"/>
      <w:u w:val="single"/>
    </w:rPr>
  </w:style>
  <w:style w:type="character" w:customStyle="1" w:styleId="BoldHyperlink">
    <w:name w:val="BoldHyperlink"/>
    <w:uiPriority w:val="1"/>
    <w:unhideWhenUsed/>
    <w:qFormat/>
    <w:rPr>
      <w:rFonts w:ascii="Calibri"/>
      <w:b/>
      <w:color w:val="0563C1" w:themeColor="hyperlink"/>
      <w:u w:val="single"/>
    </w:rPr>
  </w:style>
  <w:style w:type="character" w:customStyle="1" w:styleId="ItalicHyperlink">
    <w:name w:val="ItalicHyperlink"/>
    <w:uiPriority w:val="1"/>
    <w:unhideWhenUsed/>
    <w:qFormat/>
    <w:rPr>
      <w:rFonts w:ascii="Calibri"/>
      <w:i/>
      <w:color w:val="0563C1" w:themeColor="hyperlink"/>
      <w:u w:val="single"/>
    </w:rPr>
  </w:style>
  <w:style w:type="character" w:customStyle="1" w:styleId="BoldItalicHyperlink">
    <w:name w:val="BoldItalicHyperlink"/>
    <w:uiPriority w:val="1"/>
    <w:unhideWhenUsed/>
    <w:qFormat/>
    <w:rPr>
      <w:rFonts w:ascii="Calibri"/>
      <w:b/>
      <w:i/>
      <w:color w:val="0563C1" w:themeColor="hyperlink"/>
      <w:u w:val="single"/>
    </w:rPr>
  </w:style>
  <w:style w:type="paragraph" w:customStyle="1" w:styleId="Caption1">
    <w:name w:val="Caption1"/>
    <w:basedOn w:val="Normal1"/>
    <w:next w:val="Normal1"/>
    <w:uiPriority w:val="1"/>
    <w:unhideWhenUsed/>
    <w:qFormat/>
    <w:pPr>
      <w:spacing w:after="200"/>
      <w:jc w:val="center"/>
    </w:pPr>
    <w:rPr>
      <w:i/>
      <w:color w:val="44546A" w:themeColor="text2"/>
      <w:sz w:val="18"/>
    </w:rPr>
  </w:style>
  <w:style w:type="paragraph" w:customStyle="1" w:styleId="FootnoteText">
    <w:name w:val="FootnoteText"/>
    <w:basedOn w:val="Normal1"/>
    <w:next w:val="Normal1"/>
    <w:uiPriority w:val="1"/>
    <w:unhideWhenUsed/>
    <w:qFormat/>
    <w:pPr>
      <w:spacing w:after="0"/>
    </w:pPr>
    <w:rPr>
      <w:sz w:val="20"/>
    </w:rPr>
  </w:style>
  <w:style w:type="paragraph" w:customStyle="1" w:styleId="IntenseQuote">
    <w:name w:val="IntenseQuote"/>
    <w:basedOn w:val="Normal1"/>
    <w:next w:val="Normal1"/>
    <w:uiPriority w:val="1"/>
    <w:unhideWhenUsed/>
    <w:qFormat/>
    <w:pPr>
      <w:pBdr>
        <w:top w:val="single" w:sz="4" w:space="10" w:color="4472C4" w:themeColor="accent1"/>
        <w:bottom w:val="single" w:sz="4" w:space="10" w:color="4472C4" w:themeColor="accent1"/>
      </w:pBdr>
      <w:spacing w:before="360" w:after="360"/>
      <w:jc w:val="center"/>
    </w:pPr>
    <w:rPr>
      <w:i/>
      <w:color w:val="4472C4" w:themeColor="accent1"/>
    </w:rPr>
  </w:style>
  <w:style w:type="character" w:styleId="IntenseReference">
    <w:name w:val="Intense Reference"/>
    <w:basedOn w:val="DefaultParagraphFont"/>
    <w:uiPriority w:val="32"/>
    <w:qFormat/>
    <w:rsid w:val="00DD270E"/>
    <w:rPr>
      <w:b/>
      <w:bCs/>
      <w:smallCaps/>
      <w:color w:val="4472C4" w:themeColor="accent1"/>
      <w:spacing w:val="5"/>
    </w:rPr>
  </w:style>
  <w:style w:type="character" w:customStyle="1" w:styleId="Heading2Char">
    <w:name w:val="Heading 2 Char"/>
    <w:basedOn w:val="DefaultParagraphFont"/>
    <w:link w:val="Heading2"/>
    <w:uiPriority w:val="9"/>
    <w:rsid w:val="00FD2DAF"/>
    <w:rPr>
      <w:rFonts w:asciiTheme="majorHAnsi" w:eastAsiaTheme="majorEastAsia" w:hAnsiTheme="majorHAnsi" w:cstheme="majorBidi"/>
      <w:color w:val="2F5496" w:themeColor="accent1" w:themeShade="BF"/>
      <w:sz w:val="28"/>
      <w:szCs w:val="26"/>
    </w:rPr>
  </w:style>
  <w:style w:type="paragraph" w:styleId="Title">
    <w:name w:val="Title"/>
    <w:basedOn w:val="Normal"/>
    <w:next w:val="Normal"/>
    <w:link w:val="TitleChar"/>
    <w:uiPriority w:val="10"/>
    <w:qFormat/>
    <w:rsid w:val="00580681"/>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6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ataresponsibly.github.io/we-are-ai/" TargetMode="External"/><Relationship Id="rId18" Type="http://schemas.openxmlformats.org/officeDocument/2006/relationships/image" Target="media/image3.jpg"/><Relationship Id="rId26" Type="http://schemas.openxmlformats.org/officeDocument/2006/relationships/hyperlink" Target="https://wecount.inclusivedesign.ca/views/mapdemo/" TargetMode="External"/><Relationship Id="rId39" Type="http://schemas.openxmlformats.org/officeDocument/2006/relationships/image" Target="media/image11.jpg"/><Relationship Id="rId21" Type="http://schemas.openxmlformats.org/officeDocument/2006/relationships/hyperlink" Target="https://wecount.inclusivedesign.ca/views/fwd/" TargetMode="External"/><Relationship Id="rId34" Type="http://schemas.openxmlformats.org/officeDocument/2006/relationships/hyperlink" Target="https://www.youtube.com/channel/UC6iJU0P9YVg9oes1gE6AV3g" TargetMode="External"/><Relationship Id="rId42" Type="http://schemas.openxmlformats.org/officeDocument/2006/relationships/image" Target="media/image12.jpg"/><Relationship Id="rId47" Type="http://schemas.openxmlformats.org/officeDocument/2006/relationships/image" Target="media/image14.jpg"/><Relationship Id="rId50" Type="http://schemas.openxmlformats.org/officeDocument/2006/relationships/fontTable" Target="fontTable.xml"/><Relationship Id="rId7" Type="http://schemas.openxmlformats.org/officeDocument/2006/relationships/hyperlink" Target="https://www.insidehighered.com/news/2021/04/22/repository-aims-open-geosciences-more-blind-college-students" TargetMode="External"/><Relationship Id="rId2" Type="http://schemas.openxmlformats.org/officeDocument/2006/relationships/styles" Target="styles.xml"/><Relationship Id="rId16" Type="http://schemas.openxmlformats.org/officeDocument/2006/relationships/hyperlink" Target="https://www.wired.com/story/want-to-get-along-with-robots-pretend-theyre-animals/" TargetMode="External"/><Relationship Id="rId29" Type="http://schemas.openxmlformats.org/officeDocument/2006/relationships/hyperlink" Target="https://wecount.inclusivedesign.ca/views/inverted-wordles/" TargetMode="External"/><Relationship Id="rId11" Type="http://schemas.openxmlformats.org/officeDocument/2006/relationships/hyperlink" Target="https://stemeducationjournal.springeropen.com/track/pdf/10.1186/s40594-021-00282-3.pdf" TargetMode="External"/><Relationship Id="rId24" Type="http://schemas.openxmlformats.org/officeDocument/2006/relationships/hyperlink" Target="https://youtu.be/G1gbAFlZjGE" TargetMode="External"/><Relationship Id="rId32" Type="http://schemas.openxmlformats.org/officeDocument/2006/relationships/hyperlink" Target="https://youtu.be/0TJiM6xziWQ" TargetMode="External"/><Relationship Id="rId37" Type="http://schemas.openxmlformats.org/officeDocument/2006/relationships/image" Target="media/image10.jpg"/><Relationship Id="rId40" Type="http://schemas.openxmlformats.org/officeDocument/2006/relationships/hyperlink" Target="https://wecount.inclusivedesign.ca/views/EDS/" TargetMode="External"/><Relationship Id="rId45" Type="http://schemas.openxmlformats.org/officeDocument/2006/relationships/hyperlink" Target="https://wecount.inclusivedesign.ca/" TargetMode="External"/><Relationship Id="rId53" Type="http://schemas.openxmlformats.org/officeDocument/2006/relationships/customXml" Target="../customXml/item2.xml"/><Relationship Id="rId5" Type="http://schemas.openxmlformats.org/officeDocument/2006/relationships/image" Target="media/image1.jpg"/><Relationship Id="rId10" Type="http://schemas.openxmlformats.org/officeDocument/2006/relationships/hyperlink" Target="https://www.forbes.com/sites/stevenaquino/2021/04/28/microsoft-announces-doubling-down-on-prioritizing-accessibility-and-narrowing-the-disability-gap/" TargetMode="External"/><Relationship Id="rId19" Type="http://schemas.openxmlformats.org/officeDocument/2006/relationships/hyperlink" Target="https://www.w3.org/community/prtbl-prsnl-prefs/" TargetMode="External"/><Relationship Id="rId31" Type="http://schemas.openxmlformats.org/officeDocument/2006/relationships/image" Target="media/image7.jpg"/><Relationship Id="rId44" Type="http://schemas.openxmlformats.org/officeDocument/2006/relationships/hyperlink" Target="mailto:wecount@inclusivedesign.ca" TargetMode="External"/><Relationship Id="rId52"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inclusivecitymaker.com/artificial-intelligence-accessibility-examples-technology-serves-people-disabilities/" TargetMode="External"/><Relationship Id="rId14" Type="http://schemas.openxmlformats.org/officeDocument/2006/relationships/hyperlink" Target="https://whyy.org/programs/ai-nation/" TargetMode="External"/><Relationship Id="rId22" Type="http://schemas.openxmlformats.org/officeDocument/2006/relationships/hyperlink" Target="https://wecount.inclusivedesign.ca/views/fwd/" TargetMode="External"/><Relationship Id="rId27" Type="http://schemas.openxmlformats.org/officeDocument/2006/relationships/hyperlink" Target="https://wecount.inclusivedesign.ca/views/mapdemo/" TargetMode="External"/><Relationship Id="rId30" Type="http://schemas.openxmlformats.org/officeDocument/2006/relationships/hyperlink" Target="https://wecount.inclusivedesign.ca/views/inverted-wordles/" TargetMode="External"/><Relationship Id="rId35" Type="http://schemas.openxmlformats.org/officeDocument/2006/relationships/image" Target="media/image9.jpg"/><Relationship Id="rId43" Type="http://schemas.openxmlformats.org/officeDocument/2006/relationships/hyperlink" Target="https://forms.gle/WuCk59iQtiRX3sLC7" TargetMode="External"/><Relationship Id="rId48" Type="http://schemas.openxmlformats.org/officeDocument/2006/relationships/image" Target="media/image15.jpg"/><Relationship Id="rId8" Type="http://schemas.openxmlformats.org/officeDocument/2006/relationships/hyperlink" Target="https://tactileimages.theiagd.or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jods.mitpress.mit.edu/pub/lewis-arista-pechawis-kite/release/1" TargetMode="External"/><Relationship Id="rId17" Type="http://schemas.openxmlformats.org/officeDocument/2006/relationships/hyperlink" Target="https://www.cbc.ca/news/science/artificial-intelligence-racism-bias-1.6027150" TargetMode="External"/><Relationship Id="rId25" Type="http://schemas.openxmlformats.org/officeDocument/2006/relationships/image" Target="media/image5.jpeg"/><Relationship Id="rId33" Type="http://schemas.openxmlformats.org/officeDocument/2006/relationships/image" Target="media/image8.jpg"/><Relationship Id="rId38" Type="http://schemas.openxmlformats.org/officeDocument/2006/relationships/hyperlink" Target="https://wecount.inclusivedesign.ca/initiatives/metric-society/" TargetMode="External"/><Relationship Id="rId46" Type="http://schemas.openxmlformats.org/officeDocument/2006/relationships/image" Target="media/image13.jpg"/><Relationship Id="rId20" Type="http://schemas.openxmlformats.org/officeDocument/2006/relationships/image" Target="media/image4.jpeg"/><Relationship Id="rId41" Type="http://schemas.openxmlformats.org/officeDocument/2006/relationships/hyperlink" Target="https://youtu.be/mFvXgQMLdNw"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www.forbes.com/sites/aparnadhinakaran/2021/03/12/the-chronicles-of-ai-ethics-the-man-the-machine-and-the-black-box/" TargetMode="External"/><Relationship Id="rId23" Type="http://schemas.openxmlformats.org/officeDocument/2006/relationships/hyperlink" Target="https://wecount.inclusivedesign.ca/initiatives/metric-society/" TargetMode="External"/><Relationship Id="rId28" Type="http://schemas.openxmlformats.org/officeDocument/2006/relationships/image" Target="media/image6.jpg"/><Relationship Id="rId36" Type="http://schemas.openxmlformats.org/officeDocument/2006/relationships/hyperlink" Target="https://wecount.inclusivedesign.ca/badges/" TargetMode="External"/><Relationship Id="rId49"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8753987E31149B765FF0104E1415D" ma:contentTypeVersion="16" ma:contentTypeDescription="Create a new document." ma:contentTypeScope="" ma:versionID="7ca6fd5bdaed901f6fd4ed155b044de6">
  <xsd:schema xmlns:xsd="http://www.w3.org/2001/XMLSchema" xmlns:xs="http://www.w3.org/2001/XMLSchema" xmlns:p="http://schemas.microsoft.com/office/2006/metadata/properties" xmlns:ns2="8701fac2-bd74-40e9-b98c-6c27a7a2b48a" xmlns:ns3="f3fb5fff-f09c-4d6c-b7cf-f08aee323690" targetNamespace="http://schemas.microsoft.com/office/2006/metadata/properties" ma:root="true" ma:fieldsID="69e774d741152f9a3d421e1a2ba12cef" ns2:_="" ns3:_="">
    <xsd:import namespace="8701fac2-bd74-40e9-b98c-6c27a7a2b48a"/>
    <xsd:import namespace="f3fb5fff-f09c-4d6c-b7cf-f08aee3236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fac2-bd74-40e9-b98c-6c27a7a2b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d0c15d-e55a-4fbe-ac8d-37ddc3b67b51}" ma:internalName="TaxCatchAll" ma:showField="CatchAllData" ma:web="8701fac2-bd74-40e9-b98c-6c27a7a2b4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fb5fff-f09c-4d6c-b7cf-f08aee3236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701fac2-bd74-40e9-b98c-6c27a7a2b48a" xsi:nil="true"/>
    <lcf76f155ced4ddcb4097134ff3c332f xmlns="f3fb5fff-f09c-4d6c-b7cf-f08aee3236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CE711D-3DA0-49F2-84EF-F9713F6C5CF7}"/>
</file>

<file path=customXml/itemProps2.xml><?xml version="1.0" encoding="utf-8"?>
<ds:datastoreItem xmlns:ds="http://schemas.openxmlformats.org/officeDocument/2006/customXml" ds:itemID="{93F2C88E-76B4-4636-B5CE-AE325CE6F6F8}"/>
</file>

<file path=customXml/itemProps3.xml><?xml version="1.0" encoding="utf-8"?>
<ds:datastoreItem xmlns:ds="http://schemas.openxmlformats.org/officeDocument/2006/customXml" ds:itemID="{2822397A-C9B0-49F4-827A-99257D81243B}"/>
</file>

<file path=docProps/app.xml><?xml version="1.0" encoding="utf-8"?>
<Properties xmlns="http://schemas.openxmlformats.org/officeDocument/2006/extended-properties" xmlns:vt="http://schemas.openxmlformats.org/officeDocument/2006/docPropsVTypes">
  <Template>Normal.dotm</Template>
  <TotalTime>33</TotalTime>
  <Pages>11</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Pereyra</cp:lastModifiedBy>
  <cp:revision>4</cp:revision>
  <dcterms:created xsi:type="dcterms:W3CDTF">2022-09-13T14:37:00Z</dcterms:created>
  <dcterms:modified xsi:type="dcterms:W3CDTF">2022-09-13T16:15:00Z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0x0101002708753987E31149B765FF0104E1415D</vt:lpwstr>
  </property>
</Properties>
</file>