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FC19" w14:textId="77777777" w:rsidR="008A094D" w:rsidRDefault="0016558E" w:rsidP="00BD4B59">
      <w:pPr>
        <w:pStyle w:val="Title1"/>
        <w:jc w:val="center"/>
      </w:pPr>
      <w:r>
        <w:t xml:space="preserve">The </w:t>
      </w:r>
      <w:r>
        <w:rPr>
          <w:rStyle w:val="Strong1"/>
        </w:rPr>
        <w:t>We Count</w:t>
      </w:r>
      <w:r>
        <w:t xml:space="preserve"> Recount: May 2021</w:t>
      </w:r>
    </w:p>
    <w:p w14:paraId="4389FC1C" w14:textId="0DEADB22" w:rsidR="008A094D" w:rsidRPr="00F94C18" w:rsidRDefault="0016558E" w:rsidP="00F94C18">
      <w:pPr>
        <w:jc w:val="center"/>
        <w:rPr>
          <w:rStyle w:val="IntenseReference"/>
          <w:b w:val="0"/>
          <w:bCs w:val="0"/>
          <w:smallCaps w:val="0"/>
          <w:color w:val="auto"/>
          <w:spacing w:val="0"/>
        </w:rPr>
      </w:pPr>
      <w:r>
        <w:rPr>
          <w:noProof/>
        </w:rPr>
        <w:drawing>
          <wp:inline distT="0" distB="0" distL="0" distR="0" wp14:anchorId="4389FC6E" wp14:editId="07907D66">
            <wp:extent cx="896293" cy="896293"/>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8" cstate="print"/>
                    <a:stretch>
                      <a:fillRect/>
                    </a:stretch>
                  </pic:blipFill>
                  <pic:spPr>
                    <a:xfrm>
                      <a:off x="0" y="0"/>
                      <a:ext cx="923157" cy="923157"/>
                    </a:xfrm>
                    <a:prstGeom prst="rect">
                      <a:avLst/>
                    </a:prstGeom>
                  </pic:spPr>
                </pic:pic>
              </a:graphicData>
            </a:graphic>
          </wp:inline>
        </w:drawing>
      </w:r>
    </w:p>
    <w:p w14:paraId="4389FC1D" w14:textId="77777777" w:rsidR="008A094D" w:rsidRPr="00F6483B" w:rsidRDefault="0016558E" w:rsidP="00323AE8">
      <w:pPr>
        <w:rPr>
          <w:rStyle w:val="IntenseReference"/>
          <w:sz w:val="20"/>
          <w:szCs w:val="20"/>
        </w:rPr>
      </w:pPr>
      <w:r w:rsidRPr="00F6483B">
        <w:rPr>
          <w:rStyle w:val="IntenseReference"/>
          <w:sz w:val="20"/>
          <w:szCs w:val="20"/>
        </w:rPr>
        <w:t>We Count is a community-driven project that addresses the inherent bias against small minorities and outliers in artificial intelligence and data analytics.</w:t>
      </w:r>
    </w:p>
    <w:p w14:paraId="4389FC1F" w14:textId="77777777" w:rsidR="008A094D" w:rsidRDefault="0016558E">
      <w:pPr>
        <w:pStyle w:val="Heading1"/>
      </w:pPr>
      <w:r>
        <w:t>A Message from Our Director</w:t>
      </w:r>
    </w:p>
    <w:p w14:paraId="4389FC20" w14:textId="77777777" w:rsidR="008A094D" w:rsidRDefault="0016558E" w:rsidP="00F94C18">
      <w:r>
        <w:t>Friends and colleagues,</w:t>
      </w:r>
    </w:p>
    <w:p w14:paraId="4389FC21" w14:textId="77777777" w:rsidR="008A094D" w:rsidRDefault="0016558E" w:rsidP="00F94C18">
      <w:r>
        <w:t>This National Accessible Awareness Week and Global Accessibility Awareness Day, we hope to address some of the underlyin</w:t>
      </w:r>
      <w:r>
        <w:t>g systemic barriers in our systems of research and decision-making.</w:t>
      </w:r>
    </w:p>
    <w:p w14:paraId="4389FC22" w14:textId="77777777" w:rsidR="008A094D" w:rsidRDefault="0016558E" w:rsidP="00F94C18">
      <w:r>
        <w:t>During the pandemic we have become acutely aware of the underlying patterns that mean that the rich get richer and the popular gain more attention, while those that have neither fame nor f</w:t>
      </w:r>
      <w:r>
        <w:t xml:space="preserve">ortune often feel that things are stacked against them. Our technical systems — whether they are recommender engines, financial </w:t>
      </w:r>
      <w:proofErr w:type="gramStart"/>
      <w:r>
        <w:t>markets</w:t>
      </w:r>
      <w:proofErr w:type="gramEnd"/>
      <w:r>
        <w:t xml:space="preserve"> or automated decision systems — amplify this pattern. This has contributed to the current accelerating disparities. </w:t>
      </w:r>
    </w:p>
    <w:p w14:paraId="4389FC23" w14:textId="77777777" w:rsidR="008A094D" w:rsidRDefault="0016558E" w:rsidP="00F94C18">
      <w:r>
        <w:t>The</w:t>
      </w:r>
      <w:r>
        <w:t xml:space="preserve"> primary focus of the We Count project has been to proactively intervene in the inequitable design of artificial intelligence and data analytics. However, the discrimination against small minorities and outliers existed well before these technologies and p</w:t>
      </w:r>
      <w:r>
        <w:t>ractices entered the public consciousness. They ripple through many of the practices we take for granted. Artificial intelligence systems merely optimize patterns of the past powered by data from the past. </w:t>
      </w:r>
    </w:p>
    <w:p w14:paraId="4389FC24" w14:textId="77777777" w:rsidR="008A094D" w:rsidRDefault="0016558E" w:rsidP="00F94C18">
      <w:r>
        <w:t>Steffen Mau, in our recent webinar, spoke about t</w:t>
      </w:r>
      <w:r>
        <w:t>he ascendance of quantification and measurement and the impact this has on things that are unmeasurable, making it harder to compete. Virginia Eubanks spoke about the vicious cycles of poverty fueled by self-perpetuating data analytics and automated decisi</w:t>
      </w:r>
      <w:r>
        <w:t>on systems. This month we will explore how these patterns impact competitive research funding and thereby knowledge and innovation for small minorities and outliers. </w:t>
      </w:r>
    </w:p>
    <w:p w14:paraId="4389FC25" w14:textId="77777777" w:rsidR="008A094D" w:rsidRDefault="0016558E" w:rsidP="00F94C18">
      <w:r>
        <w:t xml:space="preserve">Grant competitions and how they are reviewed have </w:t>
      </w:r>
      <w:proofErr w:type="gramStart"/>
      <w:r>
        <w:t>a number of</w:t>
      </w:r>
      <w:proofErr w:type="gramEnd"/>
      <w:r>
        <w:t xml:space="preserve"> compounding factors that ma</w:t>
      </w:r>
      <w:r>
        <w:t xml:space="preserve">ke it harder to find support for research into the concerns of small minorities. The researchers are judged by things like their publication and citation rates, </w:t>
      </w:r>
      <w:proofErr w:type="gramStart"/>
      <w:r>
        <w:t>and also</w:t>
      </w:r>
      <w:proofErr w:type="gramEnd"/>
      <w:r>
        <w:t xml:space="preserve"> their ranking in researcher impact factor scales. These are based on publications in h</w:t>
      </w:r>
      <w:r>
        <w:t xml:space="preserve">igh-impact journals that </w:t>
      </w:r>
      <w:r>
        <w:lastRenderedPageBreak/>
        <w:t>favour research methods that require quantitative statistical significance. This is usually not achievable when conducting research into small diverse groups with complex lives. The questions asked in funding competitions require a</w:t>
      </w:r>
      <w:r>
        <w:t xml:space="preserve"> predetermined plan that doesn’t support co-design or community self-determination in the plan. This fixed plan prevents responsiveness to changing contexts. Success of a project is judged by numbers, where success is dependent on achieving impact with a s</w:t>
      </w:r>
      <w:r>
        <w:t>ingle measure for the largest possible group. This doesn’t take into account the diversity of needs. Peer review perpetuates the current patterns and does not encourage peerless research. </w:t>
      </w:r>
    </w:p>
    <w:p w14:paraId="4389FC26" w14:textId="77777777" w:rsidR="008A094D" w:rsidRDefault="0016558E" w:rsidP="00F94C18">
      <w:r>
        <w:t>This pattern has meant that people with minority needs have a harde</w:t>
      </w:r>
      <w:r>
        <w:t>r time finding evidence, facts and acceptable proof when advocating for the supports or changes they need. </w:t>
      </w:r>
    </w:p>
    <w:p w14:paraId="4389FC27" w14:textId="77777777" w:rsidR="008A094D" w:rsidRDefault="0016558E" w:rsidP="00F94C18">
      <w:r>
        <w:t>We will co-design proposed funding competitions suitable for community-led, bottom-up research that engages more inclusive research methods. Part of</w:t>
      </w:r>
      <w:r>
        <w:t xml:space="preserve"> this work will be to co-design forms of evidence and data that are suitable for complex, variable, diverse lives. We hope you will join us. </w:t>
      </w:r>
    </w:p>
    <w:p w14:paraId="4389FC28" w14:textId="77777777" w:rsidR="008A094D" w:rsidRDefault="0016558E" w:rsidP="00F94C18">
      <w:r>
        <w:t>All my best,</w:t>
      </w:r>
    </w:p>
    <w:p w14:paraId="4389FC29" w14:textId="77777777" w:rsidR="008A094D" w:rsidRDefault="0016558E" w:rsidP="00F94C18">
      <w:r>
        <w:t>Jutta</w:t>
      </w:r>
    </w:p>
    <w:p w14:paraId="4389FC2A" w14:textId="77777777" w:rsidR="008A094D" w:rsidRDefault="0016558E">
      <w:pPr>
        <w:pStyle w:val="Heading1"/>
      </w:pPr>
      <w:r>
        <w:t>News from the Field</w:t>
      </w:r>
    </w:p>
    <w:p w14:paraId="4389FC2B" w14:textId="77777777" w:rsidR="008A094D" w:rsidRPr="00526E16" w:rsidRDefault="0016558E" w:rsidP="00F94C18">
      <w:pPr>
        <w:pStyle w:val="Heading2"/>
        <w:rPr>
          <w:u w:val="single"/>
        </w:rPr>
      </w:pPr>
      <w:hyperlink r:id="rId9">
        <w:r w:rsidRPr="00526E16">
          <w:rPr>
            <w:rStyle w:val="SwayHyperlink"/>
            <w:rFonts w:asciiTheme="majorHAnsi"/>
            <w:color w:val="2F5496" w:themeColor="accent1" w:themeShade="BF"/>
          </w:rPr>
          <w:t>Stories of Transformation, an Interview with Dr. Jutta Treviranus</w:t>
        </w:r>
      </w:hyperlink>
    </w:p>
    <w:p w14:paraId="4389FC2C" w14:textId="77777777" w:rsidR="008A094D" w:rsidRDefault="0016558E" w:rsidP="00F94C18">
      <w:r>
        <w:t>In this Universal Design in Life and Work podcast episode, Dr. Jutta Treviranus talks about inclusive design versus universal design, AI bias and non-linear logic models.</w:t>
      </w:r>
    </w:p>
    <w:p w14:paraId="4389FC2D" w14:textId="77777777" w:rsidR="008A094D" w:rsidRPr="00E060A8" w:rsidRDefault="0016558E" w:rsidP="00F94C18">
      <w:pPr>
        <w:pStyle w:val="Heading2"/>
        <w:rPr>
          <w:rFonts w:cstheme="majorHAnsi"/>
        </w:rPr>
      </w:pPr>
      <w:hyperlink r:id="rId10">
        <w:r w:rsidRPr="00E060A8">
          <w:rPr>
            <w:rStyle w:val="SwayHyperlink"/>
            <w:rFonts w:asciiTheme="majorHAnsi" w:cstheme="majorHAnsi"/>
          </w:rPr>
          <w:t>Entering a New Digital Age for Accessibility and Inclusion</w:t>
        </w:r>
      </w:hyperlink>
    </w:p>
    <w:p w14:paraId="4389FC2E" w14:textId="77777777" w:rsidR="008A094D" w:rsidRDefault="0016558E" w:rsidP="00F94C18">
      <w:r>
        <w:t>Did you know that a working draft of the W3C Accessibility Guidelines (WCAG</w:t>
      </w:r>
      <w:r>
        <w:t>) 3.0 was released on Jan 21? Read UX Collective's brief overview of the new guidelines.</w:t>
      </w:r>
    </w:p>
    <w:p w14:paraId="4389FC2F" w14:textId="77777777" w:rsidR="008A094D" w:rsidRPr="00E060A8" w:rsidRDefault="0016558E" w:rsidP="00E060A8">
      <w:pPr>
        <w:pStyle w:val="Heading2"/>
        <w:rPr>
          <w:rFonts w:cstheme="majorHAnsi"/>
          <w:u w:val="single"/>
        </w:rPr>
      </w:pPr>
      <w:hyperlink r:id="rId11">
        <w:r w:rsidRPr="00E060A8">
          <w:rPr>
            <w:rStyle w:val="SwayHyperlink"/>
            <w:rFonts w:asciiTheme="majorHAnsi" w:cstheme="majorHAnsi"/>
          </w:rPr>
          <w:t>The Success of Identity Technologies Depends on Dive</w:t>
        </w:r>
        <w:r w:rsidRPr="00E060A8">
          <w:rPr>
            <w:rStyle w:val="SwayHyperlink"/>
            <w:rFonts w:asciiTheme="majorHAnsi" w:cstheme="majorHAnsi"/>
          </w:rPr>
          <w:t>rsity</w:t>
        </w:r>
      </w:hyperlink>
    </w:p>
    <w:p w14:paraId="4389FC30" w14:textId="77777777" w:rsidR="008A094D" w:rsidRDefault="0016558E" w:rsidP="00F94C18">
      <w:r>
        <w:t xml:space="preserve">Digital identities have the power to change access and </w:t>
      </w:r>
      <w:proofErr w:type="gramStart"/>
      <w:r>
        <w:t>open up</w:t>
      </w:r>
      <w:proofErr w:type="gramEnd"/>
      <w:r>
        <w:t xml:space="preserve"> a new world of inclusion, but half of the planet doesn’t currently have access to the internet and modern services. Discover how a lack of access curbs the potential innovation that comes</w:t>
      </w:r>
      <w:r>
        <w:t xml:space="preserve"> with inclusivity. </w:t>
      </w:r>
    </w:p>
    <w:p w14:paraId="12D49EA9" w14:textId="77777777" w:rsidR="00431A18" w:rsidRPr="00E060A8" w:rsidRDefault="00431A18" w:rsidP="00431A18">
      <w:pPr>
        <w:pStyle w:val="Heading2"/>
        <w:rPr>
          <w:rFonts w:cstheme="majorHAnsi"/>
        </w:rPr>
      </w:pPr>
      <w:hyperlink r:id="rId12">
        <w:r w:rsidRPr="00E060A8">
          <w:rPr>
            <w:rStyle w:val="SwayHyperlink"/>
            <w:rFonts w:asciiTheme="majorHAnsi" w:cstheme="majorHAnsi"/>
          </w:rPr>
          <w:t>Human-Centered AI: How Can the Technology Industry Fight Bias in Machines and People?</w:t>
        </w:r>
      </w:hyperlink>
    </w:p>
    <w:p w14:paraId="3F7551EC" w14:textId="1557B85E" w:rsidR="00431A18" w:rsidRDefault="00431A18" w:rsidP="00F94C18">
      <w:r>
        <w:t xml:space="preserve">Featuring Renée Richardson </w:t>
      </w:r>
      <w:proofErr w:type="spellStart"/>
      <w:r>
        <w:t>Gosline</w:t>
      </w:r>
      <w:proofErr w:type="spellEnd"/>
      <w:r>
        <w:t>, this installment of the MIT Sloan Experts Series looks at the consequences of how and when people trust bots and algorithms to help them make decisions and what it means for society at large.</w:t>
      </w:r>
    </w:p>
    <w:p w14:paraId="4389FC31" w14:textId="77777777" w:rsidR="008A094D" w:rsidRDefault="0016558E">
      <w:pPr>
        <w:jc w:val="center"/>
      </w:pPr>
      <w:r>
        <w:rPr>
          <w:noProof/>
        </w:rPr>
        <w:drawing>
          <wp:inline distT="0" distB="0" distL="0" distR="0" wp14:anchorId="4389FC70" wp14:editId="4389FC71">
            <wp:extent cx="2971799" cy="1671637"/>
            <wp:effectExtent l="0" t="0" r="0" b="0"/>
            <wp:docPr id="2" name="Picture2" descr="This installment of the MIT Sloan Experts Series features Renée Richardson Gosline, Senior Lecturer at the MIT Sloan School of Management and a Principal Research Scientist at MIT's Initiative on The Digital Economy. She discusses her research, which looks at the consequences of how and when people trust bots and algorithms to help them make decisions, and what it means for society at large.&#10;&#10;Cathy O’Neil, the renowned data scientist and author of the book, “Weapons of Math Destruction,” also appears on the program. She talks about how AI-infused technologies are increasingly used in ways that reinforce racial exclusion and how the COVID-19 pandemic has worsened inequalities.&#10;&#10;Kathy Baxter, Principal Architect of The Ethical AI Practice at Salesforce, weighs in on what companies are doing to meet these challenges. In particular, she discusses the creation of model cards, which are designed to provide critical information about how Salesforce’s machine learning and AI models work—including inputs, outputs, the conditions under which models work best, and ethical considerations in their use.&#10;&#10;For more information: https://mitsloan.mit.edu/experts/human-centered-ai-how-can-technology-industry-fight-bias-machines-and-people &#10;&#10;About Renée Richardson Gosline: https://mitsloan.mit.edu/faculty/directory/renee-richardson-gos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3" cstate="print">
                      <a:extLst>
                        <a:ext uri="{C809E66F-F1BF-436E-b5F7-EEA9579F0CBA}">
                          <wp15:webVideoPr xmlns:wp15="http://schemas.microsoft.com/office/word/2012/wordprocessingDrawing" embeddedHtml="&lt;iframe type='text/html' width='1280' height='720' src='https://www.youtube.com/embed/BfHaRUt7EXU?autoplay=1&amp;rel=0' frameborder='0'&gt;&lt;/iframe&gt;" h="720" w="1280"/>
                        </a:ext>
                      </a:extLst>
                    </a:blip>
                    <a:stretch>
                      <a:fillRect/>
                    </a:stretch>
                  </pic:blipFill>
                  <pic:spPr>
                    <a:xfrm>
                      <a:off x="0" y="0"/>
                      <a:ext cx="2971799" cy="1671637"/>
                    </a:xfrm>
                    <a:prstGeom prst="rect">
                      <a:avLst/>
                    </a:prstGeom>
                  </pic:spPr>
                </pic:pic>
              </a:graphicData>
            </a:graphic>
          </wp:inline>
        </w:drawing>
      </w:r>
    </w:p>
    <w:p w14:paraId="4389FC32" w14:textId="77777777" w:rsidR="008A094D" w:rsidRDefault="0016558E">
      <w:pPr>
        <w:pStyle w:val="Caption1"/>
      </w:pPr>
      <w:r>
        <w:fldChar w:fldCharType="begin"/>
      </w:r>
      <w:r>
        <w:instrText xml:space="preserve"> SEQ Figure \*ARABIC </w:instrText>
      </w:r>
      <w:r>
        <w:fldChar w:fldCharType="separate"/>
      </w:r>
      <w:r>
        <w:t>1</w:t>
      </w:r>
      <w:r>
        <w:fldChar w:fldCharType="end"/>
      </w:r>
      <w:r>
        <w:t xml:space="preserve"> - Human-Centered AI</w:t>
      </w:r>
    </w:p>
    <w:p w14:paraId="4389FC35" w14:textId="77777777" w:rsidR="008A094D" w:rsidRPr="00431A18" w:rsidRDefault="0016558E" w:rsidP="00431A18">
      <w:pPr>
        <w:pStyle w:val="Heading2"/>
        <w:rPr>
          <w:u w:val="single"/>
        </w:rPr>
      </w:pPr>
      <w:hyperlink r:id="rId14">
        <w:r w:rsidRPr="00431A18">
          <w:rPr>
            <w:rStyle w:val="SwayHyperlink"/>
            <w:rFonts w:asciiTheme="majorHAnsi"/>
            <w:color w:val="2F5496" w:themeColor="accent1" w:themeShade="BF"/>
          </w:rPr>
          <w:t>Turkish University Students Build Autonomous Wheelchair</w:t>
        </w:r>
      </w:hyperlink>
    </w:p>
    <w:p w14:paraId="4389FC36" w14:textId="77777777" w:rsidR="008A094D" w:rsidRDefault="0016558E" w:rsidP="00F94C18">
      <w:r>
        <w:t>Learn about a new autonomous wheelchair bu</w:t>
      </w:r>
      <w:r>
        <w:t xml:space="preserve">ilt by a group of Turkish university students that uses voice commands to operate the chair. The chair uses AI to help determine a safe and accessible route in the absence of an obvious/direct accessible route. </w:t>
      </w:r>
    </w:p>
    <w:p w14:paraId="4389FC37" w14:textId="77777777" w:rsidR="008A094D" w:rsidRPr="00431A18" w:rsidRDefault="0016558E" w:rsidP="00431A18">
      <w:pPr>
        <w:pStyle w:val="Heading2"/>
        <w:rPr>
          <w:rFonts w:cstheme="majorHAnsi"/>
        </w:rPr>
      </w:pPr>
      <w:hyperlink r:id="rId15">
        <w:r w:rsidRPr="00431A18">
          <w:rPr>
            <w:rStyle w:val="SwayHyperlink"/>
            <w:rFonts w:asciiTheme="majorHAnsi" w:cstheme="majorHAnsi"/>
          </w:rPr>
          <w:t>Machine Learning Catches Multiple Sclerosis-Related Gait Issues</w:t>
        </w:r>
      </w:hyperlink>
    </w:p>
    <w:p w14:paraId="4389FC38" w14:textId="77777777" w:rsidR="008A094D" w:rsidRDefault="0016558E" w:rsidP="00F94C18">
      <w:r>
        <w:t>Discover how a machine learning tool uses gait data to help clinicians monitor the progression of walking problems rel</w:t>
      </w:r>
      <w:r>
        <w:t>ated to multiple sclerosis and learn about efforts to crowd source data from which these algorithms can learn.</w:t>
      </w:r>
    </w:p>
    <w:p w14:paraId="4389FC39" w14:textId="77777777" w:rsidR="008A094D" w:rsidRDefault="0016558E">
      <w:pPr>
        <w:pStyle w:val="Heading1"/>
      </w:pPr>
      <w:r>
        <w:t>This Month</w:t>
      </w:r>
    </w:p>
    <w:p w14:paraId="229994E8" w14:textId="594DA499" w:rsidR="00431A18" w:rsidRPr="00431A18" w:rsidRDefault="00431A18" w:rsidP="00431A18">
      <w:r>
        <w:t xml:space="preserve">OCAD U's 106th Annual Graduate Exhibition, </w:t>
      </w:r>
      <w:proofErr w:type="spellStart"/>
      <w:r>
        <w:t>GradEx</w:t>
      </w:r>
      <w:proofErr w:type="spellEnd"/>
      <w:r>
        <w:t xml:space="preserve">, is on now. </w:t>
      </w:r>
      <w:hyperlink r:id="rId16">
        <w:r>
          <w:rPr>
            <w:rStyle w:val="SwayHyperlink"/>
          </w:rPr>
          <w:t>Have a look at the great work of our Inclusive Design Students.</w:t>
        </w:r>
      </w:hyperlink>
    </w:p>
    <w:p w14:paraId="4389FC3A" w14:textId="77777777" w:rsidR="008A094D" w:rsidRDefault="0016558E">
      <w:pPr>
        <w:jc w:val="center"/>
      </w:pPr>
      <w:r>
        <w:rPr>
          <w:noProof/>
        </w:rPr>
        <w:drawing>
          <wp:inline distT="0" distB="0" distL="0" distR="0" wp14:anchorId="4389FC72" wp14:editId="7FD754B7">
            <wp:extent cx="2971800" cy="1067757"/>
            <wp:effectExtent l="0" t="0" r="0" b="0"/>
            <wp:docPr id="3" name="Picture3" descr="GradEx 106. OCAD University Annual Graduate Exhib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7" cstate="print"/>
                    <a:stretch>
                      <a:fillRect/>
                    </a:stretch>
                  </pic:blipFill>
                  <pic:spPr>
                    <a:xfrm>
                      <a:off x="0" y="0"/>
                      <a:ext cx="2971800" cy="1067757"/>
                    </a:xfrm>
                    <a:prstGeom prst="rect">
                      <a:avLst/>
                    </a:prstGeom>
                  </pic:spPr>
                </pic:pic>
              </a:graphicData>
            </a:graphic>
          </wp:inline>
        </w:drawing>
      </w:r>
    </w:p>
    <w:p w14:paraId="4389FC3C" w14:textId="06D9D977" w:rsidR="008A094D" w:rsidRDefault="008A094D">
      <w:pPr>
        <w:jc w:val="center"/>
      </w:pPr>
    </w:p>
    <w:p w14:paraId="4389FC3D" w14:textId="4378A835" w:rsidR="008A094D" w:rsidRDefault="00431A18" w:rsidP="00F94C18">
      <w:r>
        <w:rPr>
          <w:noProof/>
        </w:rPr>
        <w:drawing>
          <wp:anchor distT="0" distB="0" distL="114300" distR="114300" simplePos="0" relativeHeight="251658240" behindDoc="0" locked="0" layoutInCell="1" allowOverlap="1" wp14:anchorId="35294C91" wp14:editId="1EFD5428">
            <wp:simplePos x="0" y="0"/>
            <wp:positionH relativeFrom="column">
              <wp:posOffset>552123</wp:posOffset>
            </wp:positionH>
            <wp:positionV relativeFrom="paragraph">
              <wp:posOffset>479425</wp:posOffset>
            </wp:positionV>
            <wp:extent cx="5040000" cy="1497600"/>
            <wp:effectExtent l="0" t="0" r="1905" b="1270"/>
            <wp:wrapTopAndBottom/>
            <wp:docPr id="4" name="Picture4" descr="A picture containing text,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descr="A picture containing text, picture fr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0000" cy="1497600"/>
                    </a:xfrm>
                    <a:prstGeom prst="rect">
                      <a:avLst/>
                    </a:prstGeom>
                  </pic:spPr>
                </pic:pic>
              </a:graphicData>
            </a:graphic>
            <wp14:sizeRelH relativeFrom="page">
              <wp14:pctWidth>0</wp14:pctWidth>
            </wp14:sizeRelH>
            <wp14:sizeRelV relativeFrom="page">
              <wp14:pctHeight>0</wp14:pctHeight>
            </wp14:sizeRelV>
          </wp:anchor>
        </w:drawing>
      </w:r>
      <w:r w:rsidR="0016558E">
        <w:t xml:space="preserve">Mark your calendars! </w:t>
      </w:r>
      <w:hyperlink r:id="rId19">
        <w:r w:rsidR="0016558E">
          <w:rPr>
            <w:rStyle w:val="SwayHyperlink"/>
          </w:rPr>
          <w:t xml:space="preserve">National </w:t>
        </w:r>
        <w:proofErr w:type="spellStart"/>
        <w:r w:rsidR="0016558E">
          <w:rPr>
            <w:rStyle w:val="SwayHyperlink"/>
          </w:rPr>
          <w:t>AccessAbility</w:t>
        </w:r>
        <w:proofErr w:type="spellEnd"/>
        <w:r w:rsidR="0016558E">
          <w:rPr>
            <w:rStyle w:val="SwayHyperlink"/>
          </w:rPr>
          <w:t xml:space="preserve"> W</w:t>
        </w:r>
        <w:r w:rsidR="0016558E">
          <w:rPr>
            <w:rStyle w:val="SwayHyperlink"/>
          </w:rPr>
          <w:t>eek is May 30 to June 5, 2021</w:t>
        </w:r>
      </w:hyperlink>
      <w:r w:rsidR="0016558E">
        <w:t>.</w:t>
      </w:r>
    </w:p>
    <w:p w14:paraId="4389FC3F" w14:textId="0772C43D" w:rsidR="008A094D" w:rsidRDefault="0016558E" w:rsidP="00BF176A">
      <w:pPr>
        <w:pStyle w:val="Heading1"/>
      </w:pPr>
      <w:r>
        <w:t>Initiatives</w:t>
      </w:r>
    </w:p>
    <w:p w14:paraId="4389FC40" w14:textId="77777777" w:rsidR="008A094D" w:rsidRPr="00656D6A" w:rsidRDefault="0016558E" w:rsidP="00656D6A">
      <w:pPr>
        <w:pStyle w:val="Heading2"/>
        <w:rPr>
          <w:rFonts w:cstheme="majorHAnsi"/>
        </w:rPr>
      </w:pPr>
      <w:hyperlink r:id="rId20">
        <w:r w:rsidRPr="00656D6A">
          <w:rPr>
            <w:rStyle w:val="SwayHyperlink"/>
            <w:rFonts w:asciiTheme="majorHAnsi" w:cstheme="majorHAnsi"/>
          </w:rPr>
          <w:t>The Metric Society and the Unmeasurable</w:t>
        </w:r>
      </w:hyperlink>
    </w:p>
    <w:p w14:paraId="4389FC41" w14:textId="77777777" w:rsidR="008A094D" w:rsidRDefault="0016558E" w:rsidP="00F94C18">
      <w:r>
        <w:t xml:space="preserve">Last week's webinar, The Metric Society and the Unmeasurable, featuring Steffen Mau, Virginia </w:t>
      </w:r>
      <w:proofErr w:type="gramStart"/>
      <w:r>
        <w:t>Eubanks</w:t>
      </w:r>
      <w:proofErr w:type="gramEnd"/>
      <w:r>
        <w:t xml:space="preserve"> and Jutta Treviranus in conversation, was a fascinating discussion about the implications of how metrics</w:t>
      </w:r>
      <w:r>
        <w:t xml:space="preserve"> have become a form of social conditioning.</w:t>
      </w:r>
    </w:p>
    <w:p w14:paraId="4389FC42" w14:textId="77777777" w:rsidR="008A094D" w:rsidRDefault="0016558E" w:rsidP="00F94C18">
      <w:r>
        <w:t xml:space="preserve">If you </w:t>
      </w:r>
      <w:proofErr w:type="gramStart"/>
      <w:r>
        <w:t>weren't able to</w:t>
      </w:r>
      <w:proofErr w:type="gramEnd"/>
      <w:r>
        <w:t xml:space="preserve"> attend the webinar, a recording of the webinar will soon be available on the We Count website and YouTube channel.</w:t>
      </w:r>
    </w:p>
    <w:p w14:paraId="4389FC43" w14:textId="77777777" w:rsidR="008A094D" w:rsidRDefault="0016558E">
      <w:pPr>
        <w:jc w:val="center"/>
      </w:pPr>
      <w:r>
        <w:rPr>
          <w:noProof/>
        </w:rPr>
        <w:drawing>
          <wp:inline distT="0" distB="0" distL="0" distR="0" wp14:anchorId="4389FC78" wp14:editId="4389FC79">
            <wp:extent cx="2971799" cy="1671637"/>
            <wp:effectExtent l="0" t="0" r="0" b="0"/>
            <wp:docPr id="6" name="Picture6" descr="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10;&#10;To achieve We Count’s goal of an inclusive and balanced data ecosystem for persons with disabilities, We Count is issuing an ongoing call for inclusion challenges. Nominate your challenge at: https://wecount.inclusivedesign.ca/inclusion-challenges/.&#10;&#10;Video created by Francisco Uy&#10;Music: Good Starts - Jingle Punks youtu.be/NstTz8iyl-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2" cstate="print">
                      <a:extLst>
                        <a:ext uri="{C809E66F-F1BF-436E-b5F7-EEA9579F0CBA}">
                          <wp15:webVideoPr xmlns:wp15="http://schemas.microsoft.com/office/word/2012/wordprocessingDrawing" embeddedHtml="&lt;iframe type='text/html' width='1280' height='720' src='https://www.youtube.com/embed/cEnONDRi-_U?autoplay=1&amp;rel=0' frameborder='0'&gt;&lt;/iframe&gt;" h="720" w="1280"/>
                        </a:ext>
                      </a:extLst>
                    </a:blip>
                    <a:stretch>
                      <a:fillRect/>
                    </a:stretch>
                  </pic:blipFill>
                  <pic:spPr>
                    <a:xfrm>
                      <a:off x="0" y="0"/>
                      <a:ext cx="2971799" cy="1671637"/>
                    </a:xfrm>
                    <a:prstGeom prst="rect">
                      <a:avLst/>
                    </a:prstGeom>
                  </pic:spPr>
                </pic:pic>
              </a:graphicData>
            </a:graphic>
          </wp:inline>
        </w:drawing>
      </w:r>
    </w:p>
    <w:p w14:paraId="4389FC44" w14:textId="77777777" w:rsidR="008A094D" w:rsidRDefault="0016558E">
      <w:pPr>
        <w:pStyle w:val="Caption1"/>
      </w:pPr>
      <w:r>
        <w:fldChar w:fldCharType="begin"/>
      </w:r>
      <w:r>
        <w:instrText xml:space="preserve"> SEQ Figure \*ARABIC </w:instrText>
      </w:r>
      <w:r>
        <w:fldChar w:fldCharType="separate"/>
      </w:r>
      <w:r>
        <w:t>2</w:t>
      </w:r>
      <w:r>
        <w:fldChar w:fldCharType="end"/>
      </w:r>
      <w:r>
        <w:t xml:space="preserve"> - What Is a We Count Challenge?</w:t>
      </w:r>
    </w:p>
    <w:p w14:paraId="4389FC45" w14:textId="77777777" w:rsidR="008A094D" w:rsidRDefault="0016558E">
      <w:pPr>
        <w:pStyle w:val="IntenseQuote"/>
      </w:pPr>
      <w:r>
        <w:t>Watch We Count</w:t>
      </w:r>
      <w:r>
        <w:t>'s latest video and discover how we're helping to create an inclusive and balanced data ecosystem for persons with disabilities through our ongoing</w:t>
      </w:r>
      <w:r>
        <w:t> </w:t>
      </w:r>
      <w:r>
        <w:t>call for challenges.</w:t>
      </w:r>
      <w:r>
        <w:t> </w:t>
      </w:r>
    </w:p>
    <w:p w14:paraId="2FCA70E1" w14:textId="77777777" w:rsidR="00656D6A" w:rsidRPr="00656D6A" w:rsidRDefault="00656D6A" w:rsidP="00656D6A">
      <w:pPr>
        <w:pStyle w:val="Heading2"/>
        <w:rPr>
          <w:rFonts w:cstheme="majorHAnsi"/>
        </w:rPr>
      </w:pPr>
      <w:hyperlink r:id="rId23">
        <w:r w:rsidRPr="00656D6A">
          <w:rPr>
            <w:rStyle w:val="SwayHyperlink"/>
            <w:rFonts w:asciiTheme="majorHAnsi" w:cstheme="majorHAnsi"/>
          </w:rPr>
          <w:t>Future of Work and Disability: Inclusive AI for HR</w:t>
        </w:r>
      </w:hyperlink>
    </w:p>
    <w:p w14:paraId="04592675" w14:textId="77777777" w:rsidR="00656D6A" w:rsidRDefault="00656D6A" w:rsidP="00656D6A">
      <w:r>
        <w:t>It's not too late to participate in our Future of Work and Disability webinar series!</w:t>
      </w:r>
    </w:p>
    <w:p w14:paraId="6B250B40" w14:textId="77777777" w:rsidR="00656D6A" w:rsidRDefault="00656D6A" w:rsidP="00656D6A">
      <w:r>
        <w:t>Our third installment on Inclusive AI for HR provide insights for the development of standards and regulations that support diversity within data systems, with a particular focus on the ethical and transparent collection of data and the development of models and decision-making structures that recognize and respond to diversity. This webinar features:</w:t>
      </w:r>
    </w:p>
    <w:p w14:paraId="072D91A9" w14:textId="77777777" w:rsidR="00656D6A" w:rsidRDefault="00656D6A" w:rsidP="00656D6A">
      <w:r>
        <w:t>Shea Tanis, University of Colorado</w:t>
      </w:r>
    </w:p>
    <w:p w14:paraId="422C1264" w14:textId="19F4F822" w:rsidR="00656D6A" w:rsidRPr="00656D6A" w:rsidRDefault="00656D6A" w:rsidP="00656D6A">
      <w:r>
        <w:t>Rich Donovan, Return on Disability Group</w:t>
      </w:r>
    </w:p>
    <w:p w14:paraId="4389FC46" w14:textId="77777777" w:rsidR="008A094D" w:rsidRDefault="0016558E">
      <w:pPr>
        <w:jc w:val="center"/>
      </w:pPr>
      <w:r>
        <w:rPr>
          <w:noProof/>
        </w:rPr>
        <w:drawing>
          <wp:inline distT="0" distB="0" distL="0" distR="0" wp14:anchorId="4389FC7A" wp14:editId="779C8C43">
            <wp:extent cx="3402000" cy="2552400"/>
            <wp:effectExtent l="0" t="0" r="1905" b="635"/>
            <wp:docPr id="7" name="Picture7" descr="Webinar: How to Make Artificial Intelligence Inclusive for Hiring and HR&#10;&#10;Transcript is available here: https://wecount.inclusivedesign.ca/initiatives/recqcaxqwsxtnljqe/&#10;&#10;Panelists will highlight some of the potential problems that arise from AI in the hiring process and brainstorm ideas to make this process more inclusive for persons with disabilities.&#10;&#10;The ideas that are generated from this webinar will provide insights for the development of standards and regulations that support diversity within data systems, with a particular focus on the ethical and transparent collection of data and the development of models and decision-making structures that recognize and respond to diversity.&#10;&#10;Panelists:&#10;&#10;Shea Tanis is the Director for Policy and Advocacy at the Coleman Institute for Cognitive Disabilities at the University of Colorado. She is nationally recognized for her expertise in applied cognitive technology supports, cognitive accessibility and advancing the rights of people with cognitive disabilities to technology and information access.&#10;&#10;Rich Donovan is CEO of the Return on Disability Group and is a globally recognized subject matter expert on the convergence of disability and corporate profitability. He has spent more than ten years focused on defining and unlocking the economic value of the disability market. In 2006 Rich founded Lime, the leading third-party recruiter in the disability space, where he worked with Google, PepsiCo, Bank of America/Merrill Lynch, IBM, TD Bank and others to help them attract and retain top talent from within the disability market.&#10;&#10;Moderator:&#10;&#10;Dr. Vera Roberts is Senior Manager Research, Consulting and Projects at the Inclusive Design Research Centre (IDRC) at OCAD University. Vera’s primary research area is generating a culture of inclusion through outreach activities and implementation of inclusive technology and digital sharing platforms.&#10;&#10;Originally recorded on December 1, 2020.&#10;&#10;We Count, a project of the Inclusive Design Research Centre at OCAD University, was created to address bias, discrimination and barriers to participation and employment for persons with disabilities within the field of data science and data-driven systems. Learn more at: https://wecount.inclusivedesign.c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5" cstate="print">
                      <a:extLst>
                        <a:ext uri="{C809E66F-F1BF-436E-b5F7-EEA9579F0CBA}">
                          <wp15:webVideoPr xmlns:wp15="http://schemas.microsoft.com/office/word/2012/wordprocessingDrawing" embeddedHtml="&lt;iframe type='text/html' width='640' height='480' src='https://www.youtube.com/embed/0fBqJgt_w2E?autoplay=1&amp;rel=0' frameborder='0'&gt;&lt;/iframe&gt;" h="480" w="640"/>
                        </a:ext>
                      </a:extLst>
                    </a:blip>
                    <a:stretch>
                      <a:fillRect/>
                    </a:stretch>
                  </pic:blipFill>
                  <pic:spPr>
                    <a:xfrm>
                      <a:off x="0" y="0"/>
                      <a:ext cx="3402000" cy="2552400"/>
                    </a:xfrm>
                    <a:prstGeom prst="rect">
                      <a:avLst/>
                    </a:prstGeom>
                  </pic:spPr>
                </pic:pic>
              </a:graphicData>
            </a:graphic>
          </wp:inline>
        </w:drawing>
      </w:r>
    </w:p>
    <w:p w14:paraId="4389FC47" w14:textId="77777777" w:rsidR="008A094D" w:rsidRDefault="0016558E">
      <w:pPr>
        <w:pStyle w:val="Caption1"/>
      </w:pPr>
      <w:r>
        <w:fldChar w:fldCharType="begin"/>
      </w:r>
      <w:r>
        <w:instrText xml:space="preserve"> SEQ Figure \*ARABIC </w:instrText>
      </w:r>
      <w:r>
        <w:fldChar w:fldCharType="separate"/>
      </w:r>
      <w:r>
        <w:t>3</w:t>
      </w:r>
      <w:r>
        <w:fldChar w:fldCharType="end"/>
      </w:r>
      <w:r>
        <w:t xml:space="preserve"> - Future of Work and Disability: Inclusive AI for HR</w:t>
      </w:r>
    </w:p>
    <w:p w14:paraId="4389FC4D" w14:textId="77777777" w:rsidR="008A094D" w:rsidRDefault="0016558E">
      <w:pPr>
        <w:pStyle w:val="IntenseQuote"/>
      </w:pPr>
      <w:r>
        <w:t xml:space="preserve">Visit our </w:t>
      </w:r>
      <w:hyperlink r:id="rId26">
        <w:r>
          <w:rPr>
            <w:rStyle w:val="SwayHyperlink"/>
          </w:rPr>
          <w:t>YouTube channel</w:t>
        </w:r>
      </w:hyperlink>
      <w:r>
        <w:t xml:space="preserve"> to see past webinar recordings. New videos are released </w:t>
      </w:r>
      <w:r>
        <w:t>regularly, so be sure to subscribe.</w:t>
      </w:r>
    </w:p>
    <w:p w14:paraId="4389FC4E" w14:textId="77777777" w:rsidR="008A094D" w:rsidRDefault="0016558E">
      <w:pPr>
        <w:pStyle w:val="Heading1"/>
      </w:pPr>
      <w:r>
        <w:lastRenderedPageBreak/>
        <w:t>We Count Badges</w:t>
      </w:r>
    </w:p>
    <w:p w14:paraId="4389FC4F" w14:textId="77777777" w:rsidR="008A094D" w:rsidRDefault="0016558E">
      <w:pPr>
        <w:jc w:val="center"/>
      </w:pPr>
      <w:r>
        <w:rPr>
          <w:noProof/>
        </w:rPr>
        <w:drawing>
          <wp:inline distT="0" distB="0" distL="0" distR="0" wp14:anchorId="4389FC7C" wp14:editId="4389FC7D">
            <wp:extent cx="4457700" cy="2332863"/>
            <wp:effectExtent l="0" t="0" r="0" b="0"/>
            <wp:docPr id="8" name="Picture8" descr="We Count badges: Learner, Brainstormer, Collaborator and Commun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7" cstate="print"/>
                    <a:stretch>
                      <a:fillRect/>
                    </a:stretch>
                  </pic:blipFill>
                  <pic:spPr>
                    <a:xfrm>
                      <a:off x="0" y="0"/>
                      <a:ext cx="4457700" cy="2332863"/>
                    </a:xfrm>
                    <a:prstGeom prst="rect">
                      <a:avLst/>
                    </a:prstGeom>
                  </pic:spPr>
                </pic:pic>
              </a:graphicData>
            </a:graphic>
          </wp:inline>
        </w:drawing>
      </w:r>
    </w:p>
    <w:p w14:paraId="4389FC50" w14:textId="77777777" w:rsidR="008A094D" w:rsidRDefault="0016558E">
      <w:pPr>
        <w:pStyle w:val="IntenseQuote"/>
      </w:pPr>
      <w:r>
        <w:t xml:space="preserve">Earn badges with We Count! Our badges enable earners to showcase their proficiency in AI, data systems and inclusive data practices. To find out more about the types of badges we </w:t>
      </w:r>
      <w:proofErr w:type="gramStart"/>
      <w:r>
        <w:t>offer</w:t>
      </w:r>
      <w:proofErr w:type="gramEnd"/>
      <w:r>
        <w:t xml:space="preserve"> and which badges are currently available, </w:t>
      </w:r>
      <w:hyperlink r:id="rId28">
        <w:r>
          <w:rPr>
            <w:rStyle w:val="SwayHyperlink"/>
          </w:rPr>
          <w:t>visit our website</w:t>
        </w:r>
      </w:hyperlink>
      <w:r>
        <w:t>.</w:t>
      </w:r>
    </w:p>
    <w:p w14:paraId="4389FC51" w14:textId="77777777" w:rsidR="008A094D" w:rsidRDefault="0016558E">
      <w:pPr>
        <w:jc w:val="center"/>
      </w:pPr>
      <w:r>
        <w:rPr>
          <w:noProof/>
        </w:rPr>
        <w:drawing>
          <wp:inline distT="0" distB="0" distL="0" distR="0" wp14:anchorId="4389FC7E" wp14:editId="4389FC7F">
            <wp:extent cx="2971800" cy="2971800"/>
            <wp:effectExtent l="0" t="0" r="0" b="0"/>
            <wp:docPr id="9" name="Picture9" descr="We Count Learn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29" cstate="print"/>
                    <a:stretch>
                      <a:fillRect/>
                    </a:stretch>
                  </pic:blipFill>
                  <pic:spPr>
                    <a:xfrm>
                      <a:off x="0" y="0"/>
                      <a:ext cx="2971800" cy="2971800"/>
                    </a:xfrm>
                    <a:prstGeom prst="rect">
                      <a:avLst/>
                    </a:prstGeom>
                  </pic:spPr>
                </pic:pic>
              </a:graphicData>
            </a:graphic>
          </wp:inline>
        </w:drawing>
      </w:r>
    </w:p>
    <w:p w14:paraId="4389FC52" w14:textId="77777777" w:rsidR="008A094D" w:rsidRPr="00656D6A" w:rsidRDefault="0016558E" w:rsidP="00656D6A">
      <w:pPr>
        <w:pStyle w:val="Heading2"/>
        <w:rPr>
          <w:rFonts w:cstheme="majorHAnsi"/>
          <w:b/>
          <w:bCs/>
        </w:rPr>
      </w:pPr>
      <w:r w:rsidRPr="00656D6A">
        <w:rPr>
          <w:rStyle w:val="Strong1"/>
          <w:rFonts w:asciiTheme="majorHAnsi" w:cstheme="majorHAnsi"/>
          <w:b w:val="0"/>
          <w:bCs/>
        </w:rPr>
        <w:t>Badge Spotlight: Building Indigenous Future Imaginaries Learner Badge</w:t>
      </w:r>
    </w:p>
    <w:p w14:paraId="4389FC53" w14:textId="77777777" w:rsidR="008A094D" w:rsidRDefault="0016558E" w:rsidP="00F94C18">
      <w:r>
        <w:t>Based on Jason Lewis’s research-creation work, this webinar explores the concept of the future imaginary and makes an argument as to</w:t>
      </w:r>
      <w:r>
        <w:t xml:space="preserve"> why it is important that Indigenous people engage in creating them. </w:t>
      </w:r>
    </w:p>
    <w:p w14:paraId="4389FC54" w14:textId="77777777" w:rsidR="008A094D" w:rsidRDefault="0016558E" w:rsidP="00F94C18">
      <w:r>
        <w:lastRenderedPageBreak/>
        <w:t xml:space="preserve">Machine learning, a subset of artificial intelligence (AI), depends on the quality, objectivity and size of training data used to teach it. We Count encourages participants and learners </w:t>
      </w:r>
      <w:r>
        <w:t>to explore this concept to help inform more equitable decisions and supports by understanding data gaps and biases.</w:t>
      </w:r>
    </w:p>
    <w:p w14:paraId="4389FC55" w14:textId="77777777" w:rsidR="008A094D" w:rsidRDefault="0016558E" w:rsidP="00F94C18">
      <w:r>
        <w:t>You will learn:</w:t>
      </w:r>
    </w:p>
    <w:p w14:paraId="4389FC56" w14:textId="77777777" w:rsidR="008A094D" w:rsidRDefault="0016558E" w:rsidP="00F94C18">
      <w:r>
        <w:t>How various Indigenous communities are contributing to AI technology to express and preserve their identity</w:t>
      </w:r>
    </w:p>
    <w:p w14:paraId="4389FC57" w14:textId="77777777" w:rsidR="008A094D" w:rsidRDefault="0016558E" w:rsidP="00F94C18">
      <w:proofErr w:type="gramStart"/>
      <w:r>
        <w:t>How</w:t>
      </w:r>
      <w:proofErr w:type="gramEnd"/>
      <w:r>
        <w:t xml:space="preserve"> Indigenous w</w:t>
      </w:r>
      <w:r>
        <w:t>ays of knowing are contributing to the global conversation regarding society and AI</w:t>
      </w:r>
    </w:p>
    <w:p w14:paraId="4389FC58" w14:textId="77777777" w:rsidR="008A094D" w:rsidRDefault="0016558E" w:rsidP="00F94C18">
      <w:r>
        <w:t xml:space="preserve">Apply for this badge on our </w:t>
      </w:r>
      <w:hyperlink r:id="rId30">
        <w:r>
          <w:rPr>
            <w:rStyle w:val="SwayHyperlink"/>
          </w:rPr>
          <w:t>Initiatives page</w:t>
        </w:r>
      </w:hyperlink>
      <w:r>
        <w:t>.</w:t>
      </w:r>
    </w:p>
    <w:p w14:paraId="4389FC59" w14:textId="17E77A73" w:rsidR="008A094D" w:rsidRDefault="00D20467">
      <w:pPr>
        <w:pStyle w:val="Heading1"/>
      </w:pPr>
      <w:r>
        <w:rPr>
          <w:noProof/>
        </w:rPr>
        <w:drawing>
          <wp:anchor distT="0" distB="0" distL="114300" distR="114300" simplePos="0" relativeHeight="251659264" behindDoc="0" locked="0" layoutInCell="1" allowOverlap="1" wp14:anchorId="4389FC80" wp14:editId="31AC3DEA">
            <wp:simplePos x="0" y="0"/>
            <wp:positionH relativeFrom="column">
              <wp:posOffset>768941</wp:posOffset>
            </wp:positionH>
            <wp:positionV relativeFrom="paragraph">
              <wp:posOffset>681393</wp:posOffset>
            </wp:positionV>
            <wp:extent cx="4341600" cy="1591200"/>
            <wp:effectExtent l="0" t="0" r="1905" b="0"/>
            <wp:wrapTopAndBottom/>
            <wp:docPr id="10" name="Picture10" descr="Our Doors are Open: Welcoming People with Disabilities in Places of Wo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41600" cy="1591200"/>
                    </a:xfrm>
                    <a:prstGeom prst="rect">
                      <a:avLst/>
                    </a:prstGeom>
                  </pic:spPr>
                </pic:pic>
              </a:graphicData>
            </a:graphic>
            <wp14:sizeRelH relativeFrom="page">
              <wp14:pctWidth>0</wp14:pctWidth>
            </wp14:sizeRelH>
            <wp14:sizeRelV relativeFrom="page">
              <wp14:pctHeight>0</wp14:pctHeight>
            </wp14:sizeRelV>
          </wp:anchor>
        </w:drawing>
      </w:r>
      <w:r w:rsidR="0016558E">
        <w:t>IDRC News</w:t>
      </w:r>
    </w:p>
    <w:p w14:paraId="4389FC5A" w14:textId="0958349F" w:rsidR="008A094D" w:rsidRDefault="008A094D">
      <w:pPr>
        <w:jc w:val="center"/>
      </w:pPr>
    </w:p>
    <w:p w14:paraId="4389FC5B" w14:textId="77777777" w:rsidR="008A094D" w:rsidRDefault="0016558E" w:rsidP="00F94C18">
      <w:hyperlink r:id="rId32">
        <w:r>
          <w:rPr>
            <w:rStyle w:val="SwayHyperlink"/>
          </w:rPr>
          <w:t>Our Doors Are Open</w:t>
        </w:r>
      </w:hyperlink>
      <w:r>
        <w:t xml:space="preserve"> continues with funding from the Calvin Institute. Our Doors offers faith communities in Ontario, Canada, and throughout the world, simple and creative ideas to help increase inclusion and</w:t>
      </w:r>
      <w:r>
        <w:t xml:space="preserve"> accessibility for people with disabilities and enable their full participation. Since 2017, more than one hundred communities have received our workshop on accessible worship.  Faith communities can </w:t>
      </w:r>
      <w:hyperlink r:id="rId33">
        <w:r>
          <w:rPr>
            <w:rStyle w:val="SwayHyperlink"/>
          </w:rPr>
          <w:t>register for a free, accessible online workshop</w:t>
        </w:r>
      </w:hyperlink>
      <w:r>
        <w:t xml:space="preserve">. </w:t>
      </w:r>
    </w:p>
    <w:p w14:paraId="4389FC5C" w14:textId="7FB4029B" w:rsidR="008A094D" w:rsidRDefault="00D20467">
      <w:pPr>
        <w:pStyle w:val="Heading1"/>
      </w:pPr>
      <w:r>
        <w:rPr>
          <w:noProof/>
        </w:rPr>
        <w:lastRenderedPageBreak/>
        <w:drawing>
          <wp:anchor distT="0" distB="0" distL="114300" distR="114300" simplePos="0" relativeHeight="251660288" behindDoc="0" locked="0" layoutInCell="1" allowOverlap="1" wp14:anchorId="4389FC82" wp14:editId="64C9F537">
            <wp:simplePos x="0" y="0"/>
            <wp:positionH relativeFrom="column">
              <wp:posOffset>751299</wp:posOffset>
            </wp:positionH>
            <wp:positionV relativeFrom="paragraph">
              <wp:posOffset>527233</wp:posOffset>
            </wp:positionV>
            <wp:extent cx="4320000" cy="2430000"/>
            <wp:effectExtent l="0" t="0" r="0" b="0"/>
            <wp:wrapTopAndBottom/>
            <wp:docPr id="11" name="Picture11" descr="Learn about We Count and its work to foster an inclusive, fair and accessible data ecosystem.&#10;https://wecount.inclusivedesign.c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5"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type='text/html' width='1280' height='720' src='https://www.youtube.com/embed/mFvXgQMLdNw?autoplay=1&amp;rel=0' frameborder='0'&gt;&lt;/iframe&gt;" h="720" w="1280"/>
                        </a:ext>
                      </a:extLst>
                    </a:blip>
                    <a:stretch>
                      <a:fillRect/>
                    </a:stretch>
                  </pic:blipFill>
                  <pic:spPr>
                    <a:xfrm>
                      <a:off x="0" y="0"/>
                      <a:ext cx="4320000" cy="2430000"/>
                    </a:xfrm>
                    <a:prstGeom prst="rect">
                      <a:avLst/>
                    </a:prstGeom>
                  </pic:spPr>
                </pic:pic>
              </a:graphicData>
            </a:graphic>
            <wp14:sizeRelH relativeFrom="page">
              <wp14:pctWidth>0</wp14:pctWidth>
            </wp14:sizeRelH>
            <wp14:sizeRelV relativeFrom="page">
              <wp14:pctHeight>0</wp14:pctHeight>
            </wp14:sizeRelV>
          </wp:anchor>
        </w:drawing>
      </w:r>
      <w:r w:rsidR="0016558E">
        <w:t>Learn More</w:t>
      </w:r>
    </w:p>
    <w:p w14:paraId="4389FC5D" w14:textId="0A33C909" w:rsidR="008A094D" w:rsidRDefault="008A094D">
      <w:pPr>
        <w:jc w:val="center"/>
      </w:pPr>
    </w:p>
    <w:p w14:paraId="4389FC5E" w14:textId="77777777" w:rsidR="008A094D" w:rsidRDefault="0016558E">
      <w:pPr>
        <w:pStyle w:val="IntenseQuote"/>
      </w:pPr>
      <w:r>
        <w:t>Discover how We Count is addressing bias and developing new machine learning strategies that recognize and serve people with disabilities in this video.</w:t>
      </w:r>
    </w:p>
    <w:p w14:paraId="4389FC5F" w14:textId="77777777" w:rsidR="008A094D" w:rsidRDefault="0016558E" w:rsidP="00F94C18">
      <w:r>
        <w:t xml:space="preserve">Are you interested in hearing about We </w:t>
      </w:r>
      <w:r>
        <w:t xml:space="preserve">Count </w:t>
      </w:r>
      <w:proofErr w:type="gramStart"/>
      <w:r>
        <w:t>activities</w:t>
      </w:r>
      <w:proofErr w:type="gramEnd"/>
      <w:r>
        <w:t xml:space="preserve"> or do you want to be contacted to learn about ways you can participate? If you are, then send us your contact information using our </w:t>
      </w:r>
      <w:hyperlink r:id="rId36">
        <w:r>
          <w:rPr>
            <w:rStyle w:val="SwayHyperlink"/>
          </w:rPr>
          <w:t>contact form</w:t>
        </w:r>
      </w:hyperlink>
      <w:r>
        <w:t>.</w:t>
      </w:r>
    </w:p>
    <w:p w14:paraId="4389FC60" w14:textId="77777777" w:rsidR="008A094D" w:rsidRDefault="0016558E">
      <w:pPr>
        <w:pStyle w:val="Heading1"/>
      </w:pPr>
      <w:r>
        <w:t>Contact Us</w:t>
      </w:r>
    </w:p>
    <w:p w14:paraId="4389FC62" w14:textId="15E56092" w:rsidR="008A094D" w:rsidRDefault="0016558E" w:rsidP="00D20467">
      <w:pPr>
        <w:spacing w:after="0" w:afterAutospacing="0"/>
      </w:pPr>
      <w:r>
        <w:t xml:space="preserve">We would love to hear from </w:t>
      </w:r>
      <w:r>
        <w:t>you!</w:t>
      </w:r>
    </w:p>
    <w:p w14:paraId="4389FC63" w14:textId="77777777" w:rsidR="008A094D" w:rsidRDefault="0016558E" w:rsidP="00D20467">
      <w:pPr>
        <w:spacing w:after="0" w:afterAutospacing="0"/>
      </w:pPr>
      <w:r>
        <w:rPr>
          <w:rStyle w:val="Strong1"/>
        </w:rPr>
        <w:t>Inclusive Design Research Centre</w:t>
      </w:r>
    </w:p>
    <w:p w14:paraId="4389FC64" w14:textId="77777777" w:rsidR="008A094D" w:rsidRDefault="0016558E" w:rsidP="00D20467">
      <w:pPr>
        <w:spacing w:after="0" w:afterAutospacing="0"/>
      </w:pPr>
      <w:r>
        <w:t>OCAD University</w:t>
      </w:r>
    </w:p>
    <w:p w14:paraId="4389FC65" w14:textId="77777777" w:rsidR="008A094D" w:rsidRDefault="0016558E" w:rsidP="00D20467">
      <w:pPr>
        <w:spacing w:after="0" w:afterAutospacing="0"/>
      </w:pPr>
      <w:r>
        <w:t>205 Richmond St. W, Toronto, ON, M5V 1V3</w:t>
      </w:r>
    </w:p>
    <w:p w14:paraId="4389FC67" w14:textId="73D26FB0" w:rsidR="008A094D" w:rsidRDefault="0016558E" w:rsidP="00D20467">
      <w:pPr>
        <w:spacing w:after="0" w:afterAutospacing="0"/>
      </w:pPr>
      <w:hyperlink r:id="rId37">
        <w:r>
          <w:rPr>
            <w:rStyle w:val="SwayHyperlink"/>
          </w:rPr>
          <w:t>wecount@inclusivedesign.ca</w:t>
        </w:r>
      </w:hyperlink>
    </w:p>
    <w:p w14:paraId="39C8452C" w14:textId="77777777" w:rsidR="00683838" w:rsidRDefault="0016558E" w:rsidP="00F94C18">
      <w:pPr>
        <w:sectPr w:rsidR="00683838">
          <w:pgSz w:w="12240" w:h="15840"/>
          <w:pgMar w:top="1440" w:right="1440" w:bottom="1440" w:left="1440" w:header="720" w:footer="720" w:gutter="0"/>
          <w:cols w:space="720"/>
        </w:sectPr>
      </w:pPr>
      <w:r>
        <w:t xml:space="preserve">Visit the </w:t>
      </w:r>
      <w:hyperlink r:id="rId38">
        <w:r>
          <w:rPr>
            <w:rStyle w:val="SwayHyperlink"/>
          </w:rPr>
          <w:t>We Count websi</w:t>
        </w:r>
        <w:r>
          <w:rPr>
            <w:rStyle w:val="SwayHyperlink"/>
          </w:rPr>
          <w:t>te</w:t>
        </w:r>
      </w:hyperlink>
      <w:r>
        <w:t xml:space="preserve"> and follow us on social media (@WeCountProject).</w:t>
      </w:r>
    </w:p>
    <w:p w14:paraId="4389FC69" w14:textId="0C0719BA" w:rsidR="008A094D" w:rsidRDefault="00683838">
      <w:pPr>
        <w:pStyle w:val="Heading1"/>
      </w:pPr>
      <w:r>
        <w:rPr>
          <w:noProof/>
        </w:rPr>
        <w:lastRenderedPageBreak/>
        <w:drawing>
          <wp:anchor distT="0" distB="0" distL="114300" distR="114300" simplePos="0" relativeHeight="251661312" behindDoc="0" locked="0" layoutInCell="1" allowOverlap="1" wp14:anchorId="4389FC84" wp14:editId="1C6F0ADA">
            <wp:simplePos x="0" y="0"/>
            <wp:positionH relativeFrom="column">
              <wp:posOffset>1013460</wp:posOffset>
            </wp:positionH>
            <wp:positionV relativeFrom="paragraph">
              <wp:posOffset>606425</wp:posOffset>
            </wp:positionV>
            <wp:extent cx="3983355" cy="1463675"/>
            <wp:effectExtent l="0" t="0" r="0" b="0"/>
            <wp:wrapTopAndBottom/>
            <wp:docPr id="12" name="Picture12" descr="Inclusive Design Research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83355" cy="1463675"/>
                    </a:xfrm>
                    <a:prstGeom prst="rect">
                      <a:avLst/>
                    </a:prstGeom>
                  </pic:spPr>
                </pic:pic>
              </a:graphicData>
            </a:graphic>
            <wp14:sizeRelH relativeFrom="page">
              <wp14:pctWidth>0</wp14:pctWidth>
            </wp14:sizeRelH>
            <wp14:sizeRelV relativeFrom="page">
              <wp14:pctHeight>0</wp14:pctHeight>
            </wp14:sizeRelV>
          </wp:anchor>
        </w:drawing>
      </w:r>
      <w:r w:rsidR="0016558E">
        <w:rPr>
          <w:rStyle w:val="Strong1"/>
        </w:rPr>
        <w:t>We Count</w:t>
      </w:r>
      <w:r w:rsidR="0016558E">
        <w:t xml:space="preserve"> acknowledges the support of:</w:t>
      </w:r>
    </w:p>
    <w:p w14:paraId="4389FC6A" w14:textId="4DAD4A45" w:rsidR="008A094D" w:rsidRDefault="00683838">
      <w:pPr>
        <w:jc w:val="center"/>
      </w:pPr>
      <w:r>
        <w:rPr>
          <w:noProof/>
        </w:rPr>
        <w:drawing>
          <wp:anchor distT="0" distB="0" distL="114300" distR="114300" simplePos="0" relativeHeight="251662336" behindDoc="0" locked="0" layoutInCell="1" allowOverlap="1" wp14:anchorId="4389FC86" wp14:editId="6935331F">
            <wp:simplePos x="0" y="0"/>
            <wp:positionH relativeFrom="column">
              <wp:posOffset>1647115</wp:posOffset>
            </wp:positionH>
            <wp:positionV relativeFrom="paragraph">
              <wp:posOffset>1998345</wp:posOffset>
            </wp:positionV>
            <wp:extent cx="2760980" cy="1113155"/>
            <wp:effectExtent l="0" t="0" r="0" b="0"/>
            <wp:wrapTopAndBottom/>
            <wp:docPr id="13" name="Picture13" descr="William and Flora Hewlet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60980" cy="1113155"/>
                    </a:xfrm>
                    <a:prstGeom prst="rect">
                      <a:avLst/>
                    </a:prstGeom>
                  </pic:spPr>
                </pic:pic>
              </a:graphicData>
            </a:graphic>
            <wp14:sizeRelH relativeFrom="page">
              <wp14:pctWidth>0</wp14:pctWidth>
            </wp14:sizeRelH>
            <wp14:sizeRelV relativeFrom="page">
              <wp14:pctHeight>0</wp14:pctHeight>
            </wp14:sizeRelV>
          </wp:anchor>
        </w:drawing>
      </w:r>
    </w:p>
    <w:p w14:paraId="4389FC6B" w14:textId="19F99D64" w:rsidR="008A094D" w:rsidRDefault="00683838" w:rsidP="00683838">
      <w:r>
        <w:rPr>
          <w:noProof/>
        </w:rPr>
        <w:drawing>
          <wp:anchor distT="0" distB="0" distL="114300" distR="114300" simplePos="0" relativeHeight="251663360" behindDoc="0" locked="0" layoutInCell="1" allowOverlap="1" wp14:anchorId="4389FC88" wp14:editId="2F9DC8F1">
            <wp:simplePos x="0" y="0"/>
            <wp:positionH relativeFrom="column">
              <wp:posOffset>1104454</wp:posOffset>
            </wp:positionH>
            <wp:positionV relativeFrom="paragraph">
              <wp:posOffset>1649095</wp:posOffset>
            </wp:positionV>
            <wp:extent cx="3994785" cy="1584325"/>
            <wp:effectExtent l="0" t="0" r="5715" b="3175"/>
            <wp:wrapTopAndBottom/>
            <wp:docPr id="14" name="Picture14" descr="Supported by Innovation, Science and Economic Development Canada’s Accessible Technolog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994785" cy="1584325"/>
                    </a:xfrm>
                    <a:prstGeom prst="rect">
                      <a:avLst/>
                    </a:prstGeom>
                  </pic:spPr>
                </pic:pic>
              </a:graphicData>
            </a:graphic>
            <wp14:sizeRelH relativeFrom="page">
              <wp14:pctWidth>0</wp14:pctWidth>
            </wp14:sizeRelH>
            <wp14:sizeRelV relativeFrom="page">
              <wp14:pctHeight>0</wp14:pctHeight>
            </wp14:sizeRelV>
          </wp:anchor>
        </w:drawing>
      </w:r>
    </w:p>
    <w:p w14:paraId="4389FC6C" w14:textId="09D70C25" w:rsidR="008A094D" w:rsidRDefault="008A094D" w:rsidP="00683838"/>
    <w:p w14:paraId="4389FC6D" w14:textId="77777777" w:rsidR="008A094D" w:rsidRDefault="0016558E">
      <w:pPr>
        <w:jc w:val="center"/>
      </w:pPr>
      <w:r>
        <w:rPr>
          <w:noProof/>
        </w:rPr>
        <w:drawing>
          <wp:anchor distT="0" distB="0" distL="114300" distR="114300" simplePos="0" relativeHeight="251664384" behindDoc="0" locked="0" layoutInCell="1" allowOverlap="1" wp14:anchorId="4389FC8A" wp14:editId="557923D8">
            <wp:simplePos x="0" y="0"/>
            <wp:positionH relativeFrom="column">
              <wp:posOffset>1791970</wp:posOffset>
            </wp:positionH>
            <wp:positionV relativeFrom="paragraph">
              <wp:posOffset>0</wp:posOffset>
            </wp:positionV>
            <wp:extent cx="2362200" cy="1991161"/>
            <wp:effectExtent l="0" t="0" r="0" b="3175"/>
            <wp:wrapTopAndBottom/>
            <wp:docPr id="15" name="Picture15" descr="OCAD U Imagination Is Every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rotWithShape="1">
                    <a:blip r:embed="rId42" cstate="print">
                      <a:extLst>
                        <a:ext uri="{28A0092B-C50C-407E-A947-70E740481C1C}">
                          <a14:useLocalDpi xmlns:a14="http://schemas.microsoft.com/office/drawing/2010/main" val="0"/>
                        </a:ext>
                      </a:extLst>
                    </a:blip>
                    <a:srcRect l="24379" t="23663" r="22612" b="18513"/>
                    <a:stretch/>
                  </pic:blipFill>
                  <pic:spPr bwMode="auto">
                    <a:xfrm>
                      <a:off x="0" y="0"/>
                      <a:ext cx="2362200" cy="19911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A094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84FA5"/>
    <w:multiLevelType w:val="hybridMultilevel"/>
    <w:tmpl w:val="6C8CB490"/>
    <w:lvl w:ilvl="0" w:tplc="7DC8D774">
      <w:start w:val="1"/>
      <w:numFmt w:val="bullet"/>
      <w:lvlText w:val="•"/>
      <w:lvlJc w:val="left"/>
      <w:pPr>
        <w:ind w:left="720" w:hanging="360"/>
      </w:pPr>
      <w:rPr>
        <w:rFonts w:ascii="Calibri" w:hAnsi="Calibri" w:hint="default"/>
      </w:rPr>
    </w:lvl>
    <w:lvl w:ilvl="1" w:tplc="0CE4C140" w:tentative="1">
      <w:start w:val="1"/>
      <w:numFmt w:val="bullet"/>
      <w:lvlText w:val="-"/>
      <w:lvlJc w:val="left"/>
      <w:pPr>
        <w:ind w:left="1440" w:hanging="360"/>
      </w:pPr>
      <w:rPr>
        <w:rFonts w:ascii="Courier New" w:hAnsi="Courier New" w:hint="default"/>
      </w:rPr>
    </w:lvl>
    <w:lvl w:ilvl="2" w:tplc="2B2CA130" w:tentative="1">
      <w:start w:val="1"/>
      <w:numFmt w:val="bullet"/>
      <w:lvlText w:val="◦"/>
      <w:lvlJc w:val="left"/>
      <w:pPr>
        <w:ind w:left="2160" w:hanging="360"/>
      </w:pPr>
      <w:rPr>
        <w:rFonts w:ascii="Calibri" w:hAnsi="Calibri" w:hint="default"/>
      </w:rPr>
    </w:lvl>
    <w:lvl w:ilvl="3" w:tplc="5646491A" w:tentative="1">
      <w:start w:val="1"/>
      <w:numFmt w:val="bullet"/>
      <w:lvlText w:val="•"/>
      <w:lvlJc w:val="left"/>
      <w:pPr>
        <w:ind w:left="2880" w:hanging="360"/>
      </w:pPr>
      <w:rPr>
        <w:rFonts w:ascii="Calibri" w:hAnsi="Calibri" w:hint="default"/>
      </w:rPr>
    </w:lvl>
    <w:lvl w:ilvl="4" w:tplc="EB92FBE6" w:tentative="1">
      <w:start w:val="1"/>
      <w:numFmt w:val="bullet"/>
      <w:lvlText w:val="-"/>
      <w:lvlJc w:val="left"/>
      <w:pPr>
        <w:ind w:left="3600" w:hanging="360"/>
      </w:pPr>
      <w:rPr>
        <w:rFonts w:ascii="Courier New" w:hAnsi="Courier New" w:hint="default"/>
      </w:rPr>
    </w:lvl>
    <w:lvl w:ilvl="5" w:tplc="290E513C" w:tentative="1">
      <w:start w:val="1"/>
      <w:numFmt w:val="bullet"/>
      <w:lvlText w:val="◦"/>
      <w:lvlJc w:val="left"/>
      <w:pPr>
        <w:ind w:left="4320" w:hanging="360"/>
      </w:pPr>
      <w:rPr>
        <w:rFonts w:ascii="Calibri" w:hAnsi="Calibri" w:hint="default"/>
      </w:rPr>
    </w:lvl>
    <w:lvl w:ilvl="6" w:tplc="FD10FAF8" w:tentative="1">
      <w:start w:val="1"/>
      <w:numFmt w:val="bullet"/>
      <w:lvlText w:val="•"/>
      <w:lvlJc w:val="left"/>
      <w:pPr>
        <w:ind w:left="5040" w:hanging="360"/>
      </w:pPr>
      <w:rPr>
        <w:rFonts w:ascii="Calibri" w:hAnsi="Calibri" w:hint="default"/>
      </w:rPr>
    </w:lvl>
    <w:lvl w:ilvl="7" w:tplc="934413F0" w:tentative="1">
      <w:start w:val="1"/>
      <w:numFmt w:val="bullet"/>
      <w:lvlText w:val="-"/>
      <w:lvlJc w:val="left"/>
      <w:pPr>
        <w:ind w:left="5760" w:hanging="360"/>
      </w:pPr>
      <w:rPr>
        <w:rFonts w:ascii="Courier New" w:hAnsi="Courier New" w:hint="default"/>
      </w:rPr>
    </w:lvl>
    <w:lvl w:ilvl="8" w:tplc="645A3122" w:tentative="1">
      <w:start w:val="1"/>
      <w:numFmt w:val="bullet"/>
      <w:lvlText w:val="◦"/>
      <w:lvlJc w:val="left"/>
      <w:pPr>
        <w:ind w:left="6480" w:hanging="360"/>
      </w:pPr>
      <w:rPr>
        <w:rFonts w:ascii="Calibri" w:hAnsi="Calibri" w:hint="default"/>
      </w:rPr>
    </w:lvl>
  </w:abstractNum>
  <w:abstractNum w:abstractNumId="1" w15:restartNumberingAfterBreak="0">
    <w:nsid w:val="71674A77"/>
    <w:multiLevelType w:val="hybridMultilevel"/>
    <w:tmpl w:val="D4F41038"/>
    <w:lvl w:ilvl="0" w:tplc="B600A1B8">
      <w:start w:val="1"/>
      <w:numFmt w:val="bullet"/>
      <w:lvlText w:val="•"/>
      <w:lvlJc w:val="left"/>
      <w:pPr>
        <w:ind w:left="720" w:hanging="360"/>
      </w:pPr>
      <w:rPr>
        <w:rFonts w:ascii="Calibri" w:hAnsi="Calibri" w:hint="default"/>
      </w:rPr>
    </w:lvl>
    <w:lvl w:ilvl="1" w:tplc="A712D034" w:tentative="1">
      <w:start w:val="1"/>
      <w:numFmt w:val="bullet"/>
      <w:lvlText w:val="-"/>
      <w:lvlJc w:val="left"/>
      <w:pPr>
        <w:ind w:left="1440" w:hanging="360"/>
      </w:pPr>
      <w:rPr>
        <w:rFonts w:ascii="Courier New" w:hAnsi="Courier New" w:hint="default"/>
      </w:rPr>
    </w:lvl>
    <w:lvl w:ilvl="2" w:tplc="D814F802" w:tentative="1">
      <w:start w:val="1"/>
      <w:numFmt w:val="bullet"/>
      <w:lvlText w:val="◦"/>
      <w:lvlJc w:val="left"/>
      <w:pPr>
        <w:ind w:left="2160" w:hanging="360"/>
      </w:pPr>
      <w:rPr>
        <w:rFonts w:ascii="Calibri" w:hAnsi="Calibri" w:hint="default"/>
      </w:rPr>
    </w:lvl>
    <w:lvl w:ilvl="3" w:tplc="EF645FB6" w:tentative="1">
      <w:start w:val="1"/>
      <w:numFmt w:val="bullet"/>
      <w:lvlText w:val="•"/>
      <w:lvlJc w:val="left"/>
      <w:pPr>
        <w:ind w:left="2880" w:hanging="360"/>
      </w:pPr>
      <w:rPr>
        <w:rFonts w:ascii="Calibri" w:hAnsi="Calibri" w:hint="default"/>
      </w:rPr>
    </w:lvl>
    <w:lvl w:ilvl="4" w:tplc="44F24FFA" w:tentative="1">
      <w:start w:val="1"/>
      <w:numFmt w:val="bullet"/>
      <w:lvlText w:val="-"/>
      <w:lvlJc w:val="left"/>
      <w:pPr>
        <w:ind w:left="3600" w:hanging="360"/>
      </w:pPr>
      <w:rPr>
        <w:rFonts w:ascii="Courier New" w:hAnsi="Courier New" w:hint="default"/>
      </w:rPr>
    </w:lvl>
    <w:lvl w:ilvl="5" w:tplc="A068562C" w:tentative="1">
      <w:start w:val="1"/>
      <w:numFmt w:val="bullet"/>
      <w:lvlText w:val="◦"/>
      <w:lvlJc w:val="left"/>
      <w:pPr>
        <w:ind w:left="4320" w:hanging="360"/>
      </w:pPr>
      <w:rPr>
        <w:rFonts w:ascii="Calibri" w:hAnsi="Calibri" w:hint="default"/>
      </w:rPr>
    </w:lvl>
    <w:lvl w:ilvl="6" w:tplc="60F85FCE" w:tentative="1">
      <w:start w:val="1"/>
      <w:numFmt w:val="bullet"/>
      <w:lvlText w:val="•"/>
      <w:lvlJc w:val="left"/>
      <w:pPr>
        <w:ind w:left="5040" w:hanging="360"/>
      </w:pPr>
      <w:rPr>
        <w:rFonts w:ascii="Calibri" w:hAnsi="Calibri" w:hint="default"/>
      </w:rPr>
    </w:lvl>
    <w:lvl w:ilvl="7" w:tplc="E1C847C8" w:tentative="1">
      <w:start w:val="1"/>
      <w:numFmt w:val="bullet"/>
      <w:lvlText w:val="-"/>
      <w:lvlJc w:val="left"/>
      <w:pPr>
        <w:ind w:left="5760" w:hanging="360"/>
      </w:pPr>
      <w:rPr>
        <w:rFonts w:ascii="Courier New" w:hAnsi="Courier New" w:hint="default"/>
      </w:rPr>
    </w:lvl>
    <w:lvl w:ilvl="8" w:tplc="54AA55EC" w:tentative="1">
      <w:start w:val="1"/>
      <w:numFmt w:val="bullet"/>
      <w:lvlText w:val="◦"/>
      <w:lvlJc w:val="left"/>
      <w:pPr>
        <w:ind w:left="6480" w:hanging="360"/>
      </w:pPr>
      <w:rPr>
        <w:rFonts w:ascii="Calibri" w:hAnsi="Calibri" w:hint="default"/>
      </w:rPr>
    </w:lvl>
  </w:abstractNum>
  <w:num w:numId="1" w16cid:durableId="479690640">
    <w:abstractNumId w:val="0"/>
  </w:num>
  <w:num w:numId="2" w16cid:durableId="191203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94D"/>
    <w:rsid w:val="0016558E"/>
    <w:rsid w:val="00323AE8"/>
    <w:rsid w:val="00431A18"/>
    <w:rsid w:val="00526E16"/>
    <w:rsid w:val="00656D6A"/>
    <w:rsid w:val="00683838"/>
    <w:rsid w:val="008A094D"/>
    <w:rsid w:val="00BD4B59"/>
    <w:rsid w:val="00BF176A"/>
    <w:rsid w:val="00D20467"/>
    <w:rsid w:val="00E060A8"/>
    <w:rsid w:val="00F6483B"/>
    <w:rsid w:val="00F94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FC19"/>
  <w15:docId w15:val="{EED1DDF1-A9EF-6248-A36A-5C0934E6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C18"/>
    <w:pPr>
      <w:spacing w:after="100" w:afterAutospacing="1"/>
    </w:pPr>
  </w:style>
  <w:style w:type="paragraph" w:styleId="Heading2">
    <w:name w:val="heading 2"/>
    <w:basedOn w:val="Normal"/>
    <w:next w:val="Normal"/>
    <w:link w:val="Heading2Char"/>
    <w:uiPriority w:val="9"/>
    <w:unhideWhenUsed/>
    <w:qFormat/>
    <w:rsid w:val="00F94C1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rPr>
      <w:rFonts w:ascii="Calibri Light"/>
      <w:sz w:val="56"/>
    </w:rPr>
  </w:style>
  <w:style w:type="paragraph" w:customStyle="1" w:styleId="Heading1">
    <w:name w:val="Heading1"/>
    <w:basedOn w:val="Normal1"/>
    <w:next w:val="Normal1"/>
    <w:uiPriority w:val="1"/>
    <w:unhideWhenUsed/>
    <w:qFormat/>
    <w:rsid w:val="00F6483B"/>
    <w:pPr>
      <w:keepNext/>
      <w:pBdr>
        <w:top w:val="single" w:sz="8" w:space="1" w:color="4472C4" w:themeColor="accent1"/>
      </w:pBdr>
      <w:spacing w:before="480" w:after="120"/>
      <w:outlineLvl w:val="0"/>
    </w:pPr>
    <w:rPr>
      <w:rFonts w:ascii="Calibri Light"/>
      <w:b/>
      <w:color w:val="4472C4" w:themeColor="accent1"/>
      <w:sz w:val="36"/>
    </w:rPr>
  </w:style>
  <w:style w:type="paragraph" w:customStyle="1" w:styleId="Heading20">
    <w:name w:val="Heading2"/>
    <w:basedOn w:val="Normal1"/>
    <w:next w:val="Normal1"/>
    <w:uiPriority w:val="1"/>
    <w:unhideWhenUsed/>
    <w:qFormat/>
    <w:pPr>
      <w:keepNext/>
      <w:spacing w:before="40" w:after="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jc w:val="center"/>
    </w:pPr>
    <w:rPr>
      <w:i/>
      <w:color w:val="44546A" w:themeColor="text2"/>
      <w:sz w:val="18"/>
    </w:rPr>
  </w:style>
  <w:style w:type="paragraph" w:customStyle="1" w:styleId="FootnoteText">
    <w:name w:val="FootnoteText"/>
    <w:basedOn w:val="Normal1"/>
    <w:next w:val="Normal1"/>
    <w:uiPriority w:val="1"/>
    <w:unhideWhenUsed/>
    <w:qFormat/>
    <w:pPr>
      <w:spacing w:after="0"/>
    </w:pPr>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 w:type="character" w:styleId="IntenseReference">
    <w:name w:val="Intense Reference"/>
    <w:basedOn w:val="DefaultParagraphFont"/>
    <w:uiPriority w:val="32"/>
    <w:qFormat/>
    <w:rsid w:val="00323AE8"/>
    <w:rPr>
      <w:b/>
      <w:bCs/>
      <w:smallCaps/>
      <w:color w:val="4472C4" w:themeColor="accent1"/>
      <w:spacing w:val="5"/>
    </w:rPr>
  </w:style>
  <w:style w:type="character" w:customStyle="1" w:styleId="Heading2Char">
    <w:name w:val="Heading 2 Char"/>
    <w:basedOn w:val="DefaultParagraphFont"/>
    <w:link w:val="Heading2"/>
    <w:uiPriority w:val="9"/>
    <w:rsid w:val="00F94C18"/>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4.jpg"/><Relationship Id="rId26" Type="http://schemas.openxmlformats.org/officeDocument/2006/relationships/hyperlink" Target="https://www.youtube.com/channel/UC6iJU0P9YVg9oes1gE6AV3g" TargetMode="External"/><Relationship Id="rId39" Type="http://schemas.openxmlformats.org/officeDocument/2006/relationships/image" Target="media/image11.jpg"/><Relationship Id="rId21" Type="http://schemas.openxmlformats.org/officeDocument/2006/relationships/hyperlink" Target="https://youtu.be/cEnONDRi-_U" TargetMode="External"/><Relationship Id="rId34" Type="http://schemas.openxmlformats.org/officeDocument/2006/relationships/hyperlink" Target="https://youtu.be/mFvXgQMLdNw" TargetMode="External"/><Relationship Id="rId42" Type="http://schemas.openxmlformats.org/officeDocument/2006/relationships/image" Target="media/image14.jp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portfolio.ocadu.ca/exhibitor/index/3b4f80d0-6308-4423-aa29-0f20b2bca7ae/?fpid=069a2146-95ac-46be-82dc-cf4fc75c8ae9" TargetMode="External"/><Relationship Id="rId20" Type="http://schemas.openxmlformats.org/officeDocument/2006/relationships/hyperlink" Target="https://wecount.inclusivedesign.ca/initiatives/metric-society/" TargetMode="External"/><Relationship Id="rId29" Type="http://schemas.openxmlformats.org/officeDocument/2006/relationships/image" Target="media/image8.jpg"/><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proportal.com/features/the-success-of-identity-technologies-depends-on-diversity/" TargetMode="External"/><Relationship Id="rId24" Type="http://schemas.openxmlformats.org/officeDocument/2006/relationships/hyperlink" Target="https://youtu.be/0fBqJgt_w2E" TargetMode="External"/><Relationship Id="rId32" Type="http://schemas.openxmlformats.org/officeDocument/2006/relationships/hyperlink" Target="https://opendoors.idrc.ocadu.ca/" TargetMode="External"/><Relationship Id="rId37" Type="http://schemas.openxmlformats.org/officeDocument/2006/relationships/hyperlink" Target="mailto:wecount@inclusivedesign.ca" TargetMode="External"/><Relationship Id="rId40" Type="http://schemas.openxmlformats.org/officeDocument/2006/relationships/image" Target="media/image12.jpg"/><Relationship Id="rId5" Type="http://schemas.openxmlformats.org/officeDocument/2006/relationships/styles" Target="styles.xml"/><Relationship Id="rId15" Type="http://schemas.openxmlformats.org/officeDocument/2006/relationships/hyperlink" Target="https://healthitanalytics.com/news/machine-learning-catches-multiple-sclerosis-related-gait-issues" TargetMode="External"/><Relationship Id="rId23" Type="http://schemas.openxmlformats.org/officeDocument/2006/relationships/hyperlink" Target="https://youtu.be/Tq230FBgoiU" TargetMode="External"/><Relationship Id="rId28" Type="http://schemas.openxmlformats.org/officeDocument/2006/relationships/hyperlink" Target="https://wecount.inclusivedesign.ca/badges/" TargetMode="External"/><Relationship Id="rId36" Type="http://schemas.openxmlformats.org/officeDocument/2006/relationships/hyperlink" Target="https://forms.gle/WuCk59iQtiRX3sLC7" TargetMode="External"/><Relationship Id="rId10" Type="http://schemas.openxmlformats.org/officeDocument/2006/relationships/hyperlink" Target="https://uxdesign.cc/latest-news-from-the-accessibility-front-legal-and-standards-landscape-5cc0938b3b28" TargetMode="External"/><Relationship Id="rId19" Type="http://schemas.openxmlformats.org/officeDocument/2006/relationships/hyperlink" Target="https://www.canada.ca/en/employment-social-development/campaigns/national-accessability-week.html"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radiopublic.com/universal-design-in-life-and-work-WRZj23/s1!6c5ca" TargetMode="External"/><Relationship Id="rId14" Type="http://schemas.openxmlformats.org/officeDocument/2006/relationships/hyperlink" Target="https://www.intechopen.com/books/service-robotics/conversion-of-a-conventional-wheelchair-into-an-autonomous-personal-transportation-testbed" TargetMode="External"/><Relationship Id="rId22" Type="http://schemas.openxmlformats.org/officeDocument/2006/relationships/image" Target="media/image5.jpg"/><Relationship Id="rId27" Type="http://schemas.openxmlformats.org/officeDocument/2006/relationships/image" Target="media/image7.jpg"/><Relationship Id="rId30" Type="http://schemas.openxmlformats.org/officeDocument/2006/relationships/hyperlink" Target="https://wecount.inclusivedesign.ca/initiatives/building-indigenous-future-imaginaries/" TargetMode="External"/><Relationship Id="rId35" Type="http://schemas.openxmlformats.org/officeDocument/2006/relationships/image" Target="media/image10.jpg"/><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customXml" Target="../customXml/item3.xml"/><Relationship Id="rId12" Type="http://schemas.openxmlformats.org/officeDocument/2006/relationships/hyperlink" Target="https://youtu.be/BfHaRUt7EXU" TargetMode="External"/><Relationship Id="rId17" Type="http://schemas.openxmlformats.org/officeDocument/2006/relationships/image" Target="media/image3.jpg"/><Relationship Id="rId25" Type="http://schemas.openxmlformats.org/officeDocument/2006/relationships/image" Target="media/image6.jpg"/><Relationship Id="rId33" Type="http://schemas.openxmlformats.org/officeDocument/2006/relationships/hyperlink" Target="https://forms.office.com/r/Wh5NyLYKmR" TargetMode="External"/><Relationship Id="rId38" Type="http://schemas.openxmlformats.org/officeDocument/2006/relationships/hyperlink" Target="https://wecount.inclusivedesig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6" ma:contentTypeDescription="Create a new document." ma:contentTypeScope="" ma:versionID="7ca6fd5bdaed901f6fd4ed155b044de6">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69e774d741152f9a3d421e1a2ba12cef"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d0c15d-e55a-4fbe-ac8d-37ddc3b67b51}" ma:internalName="TaxCatchAll" ma:showField="CatchAllData" ma:web="8701fac2-bd74-40e9-b98c-6c27a7a2b4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701fac2-bd74-40e9-b98c-6c27a7a2b48a" xsi:nil="true"/>
    <lcf76f155ced4ddcb4097134ff3c332f xmlns="f3fb5fff-f09c-4d6c-b7cf-f08aee3236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2119FF-61FB-44B6-9E99-FCC7E282CD6A}">
  <ds:schemaRefs>
    <ds:schemaRef ds:uri="http://schemas.microsoft.com/sharepoint/v3/contenttype/forms"/>
  </ds:schemaRefs>
</ds:datastoreItem>
</file>

<file path=customXml/itemProps2.xml><?xml version="1.0" encoding="utf-8"?>
<ds:datastoreItem xmlns:ds="http://schemas.openxmlformats.org/officeDocument/2006/customXml" ds:itemID="{E4830BD2-879D-428F-9ADD-3AB00C49E99F}"/>
</file>

<file path=customXml/itemProps3.xml><?xml version="1.0" encoding="utf-8"?>
<ds:datastoreItem xmlns:ds="http://schemas.openxmlformats.org/officeDocument/2006/customXml" ds:itemID="{581EA256-1FFD-4D0B-BF61-E14610351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1577</Words>
  <Characters>8993</Characters>
  <Application>Microsoft Office Word</Application>
  <DocSecurity>0</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Pereyra</cp:lastModifiedBy>
  <cp:revision>13</cp:revision>
  <dcterms:created xsi:type="dcterms:W3CDTF">2022-09-13T17:45:00Z</dcterms:created>
  <dcterms:modified xsi:type="dcterms:W3CDTF">2022-09-13T18:43:00Z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