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Polynesia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The Cook Islands (NZ.), Easter Island (Chile), Niue, Samoa, Tokelau (NZ), Tonga,  Tuvalu,  Wallis &amp; Futuna (Fr.)</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55.4880817253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90"/>
        <w:gridCol w:w="3412.849035187287"/>
        <w:gridCol w:w="3677.639046538025"/>
        <w:tblGridChange w:id="0">
          <w:tblGrid>
            <w:gridCol w:w="1875"/>
            <w:gridCol w:w="3990"/>
            <w:gridCol w:w="3412.849035187287"/>
            <w:gridCol w:w="3677.639046538025"/>
          </w:tblGrid>
        </w:tblGridChange>
      </w:tblGrid>
      <w:tr>
        <w:trPr>
          <w:trHeight w:val="785" w:hRule="atLeast"/>
        </w:trPr>
        <w:tc>
          <w:tcPr>
            <w:tcBorders>
              <w:top w:color="000000" w:space="0" w:sz="8" w:val="single"/>
              <w:left w:color="000000" w:space="0" w:sz="8" w:val="single"/>
              <w:bottom w:color="ffffff"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qa7g9iqy0kfw" w:id="0"/>
            <w:bookmarkEnd w:id="0"/>
            <w:r w:rsidDel="00000000" w:rsidR="00000000" w:rsidRPr="00000000">
              <w:rPr>
                <w:rtl w:val="0"/>
              </w:rPr>
              <w:t xml:space="preserve">The Cook Islands - NZ. (Terrestrial)</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According to </w:t>
            </w:r>
            <w:hyperlink r:id="rId6">
              <w:r w:rsidDel="00000000" w:rsidR="00000000" w:rsidRPr="00000000">
                <w:rPr>
                  <w:color w:val="1155cc"/>
                  <w:u w:val="single"/>
                  <w:rtl w:val="0"/>
                </w:rPr>
                <w:t xml:space="preserve">Landmark</w:t>
              </w:r>
            </w:hyperlink>
            <w:r w:rsidDel="00000000" w:rsidR="00000000" w:rsidRPr="00000000">
              <w:rPr>
                <w:rtl w:val="0"/>
              </w:rPr>
              <w:t xml:space="preserve">, “The Crown formally recognizes and protects rights of traditional landowners through legislation. The Cook Islands Act prohibits alienation of customary land, whether to Cook Islanders or others.”  Beyond a prohibition on alienation, the dimensions of those rights are not clear. For more information, refer to EOI.</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According to </w:t>
            </w:r>
            <w:hyperlink r:id="rId7">
              <w:r w:rsidDel="00000000" w:rsidR="00000000" w:rsidRPr="00000000">
                <w:rPr>
                  <w:color w:val="1155cc"/>
                  <w:u w:val="single"/>
                  <w:rtl w:val="0"/>
                </w:rPr>
                <w:t xml:space="preserve">Landmark</w:t>
              </w:r>
            </w:hyperlink>
            <w:r w:rsidDel="00000000" w:rsidR="00000000" w:rsidRPr="00000000">
              <w:rPr>
                <w:rtl w:val="0"/>
              </w:rPr>
              <w:t xml:space="preserve">,Customary lands account for 95% of the country land area, the rest is shared between public land (most) and little freehold lands.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Style w:val="Heading2"/>
              <w:spacing w:before="240" w:lineRule="auto"/>
              <w:rPr/>
            </w:pPr>
            <w:bookmarkStart w:colFirst="0" w:colLast="0" w:name="_qa7g9iqy0kfw" w:id="0"/>
            <w:bookmarkEnd w:id="0"/>
            <w:r w:rsidDel="00000000" w:rsidR="00000000" w:rsidRPr="00000000">
              <w:rPr>
                <w:rtl w:val="0"/>
              </w:rPr>
              <w:t xml:space="preserve">The Cook Islands - NZ.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No data -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2"/>
              <w:spacing w:before="240" w:lineRule="auto"/>
              <w:rPr/>
            </w:pPr>
            <w:bookmarkStart w:colFirst="0" w:colLast="0" w:name="_qa7g9iqy0kfw" w:id="0"/>
            <w:bookmarkEnd w:id="0"/>
            <w:r w:rsidDel="00000000" w:rsidR="00000000" w:rsidRPr="00000000">
              <w:rPr>
                <w:rtl w:val="0"/>
              </w:rPr>
              <w:t xml:space="preserve">Easter Island - Chile (Terrestrial) </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rPr/>
            </w:pPr>
            <w:r w:rsidDel="00000000" w:rsidR="00000000" w:rsidRPr="00000000">
              <w:rPr>
                <w:rtl w:val="0"/>
              </w:rPr>
              <w:t xml:space="preserve">Chile’s legal framework provides a basis to recognize IPLC ownership and control of landl.</w:t>
            </w:r>
          </w:p>
          <w:p w:rsidR="00000000" w:rsidDel="00000000" w:rsidP="00000000" w:rsidRDefault="00000000" w:rsidRPr="00000000" w14:paraId="00000017">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tl w:val="0"/>
              </w:rPr>
              <w:t xml:space="preserve">There is no data on recognition or or pending claims on Easter Island.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2"/>
              <w:spacing w:before="240" w:lineRule="auto"/>
              <w:rPr/>
            </w:pPr>
            <w:bookmarkStart w:colFirst="0" w:colLast="0" w:name="_qa7g9iqy0kfw" w:id="0"/>
            <w:bookmarkEnd w:id="0"/>
            <w:r w:rsidDel="00000000" w:rsidR="00000000" w:rsidRPr="00000000">
              <w:rPr>
                <w:rtl w:val="0"/>
              </w:rPr>
              <w:t xml:space="preserve">Easter Island - Chile (Marine)</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rtl w:val="0"/>
              </w:rPr>
              <w:t xml:space="preserve">According to </w:t>
            </w:r>
            <w:hyperlink r:id="rId8">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Chile, although further details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rPr/>
            </w:pPr>
            <w:r w:rsidDel="00000000" w:rsidR="00000000" w:rsidRPr="00000000">
              <w:rPr>
                <w:rtl w:val="0"/>
              </w:rPr>
              <w:t xml:space="preserve">At least one Indigenous fishery was identified by </w:t>
            </w:r>
            <w:hyperlink r:id="rId9">
              <w:r w:rsidDel="00000000" w:rsidR="00000000" w:rsidRPr="00000000">
                <w:rPr>
                  <w:color w:val="1155cc"/>
                  <w:u w:val="single"/>
                  <w:rtl w:val="0"/>
                </w:rPr>
                <w:t xml:space="preserve">Too Big to Ignore</w:t>
              </w:r>
            </w:hyperlink>
            <w:r w:rsidDel="00000000" w:rsidR="00000000" w:rsidRPr="00000000">
              <w:rPr>
                <w:rtl w:val="0"/>
              </w:rPr>
              <w:t xml:space="preserve"> on Easter Island - whether it has been legally recognized by the government is not clear.</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qa7g9iqy0kfw" w:id="0"/>
            <w:bookmarkEnd w:id="0"/>
            <w:r w:rsidDel="00000000" w:rsidR="00000000" w:rsidRPr="00000000">
              <w:rPr>
                <w:rtl w:val="0"/>
              </w:rPr>
              <w:t xml:space="preserve">Niue (Terrestrial)</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rtl w:val="0"/>
              </w:rPr>
              <w:t xml:space="preserve">According to </w:t>
            </w:r>
            <w:hyperlink r:id="rId10">
              <w:r w:rsidDel="00000000" w:rsidR="00000000" w:rsidRPr="00000000">
                <w:rPr>
                  <w:color w:val="1155cc"/>
                  <w:u w:val="single"/>
                  <w:rtl w:val="0"/>
                </w:rPr>
                <w:t xml:space="preserve">Landmark</w:t>
              </w:r>
            </w:hyperlink>
            <w:r w:rsidDel="00000000" w:rsidR="00000000" w:rsidRPr="00000000">
              <w:rPr>
                <w:rtl w:val="0"/>
              </w:rPr>
              <w:t xml:space="preserve">: “The Crown formally recognizes and protects rights of traditional landowners through legislation ”although the dimensions of those rights are not clear. For more information, refer to EOI.</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pPr>
            <w:r w:rsidDel="00000000" w:rsidR="00000000" w:rsidRPr="00000000">
              <w:rPr>
                <w:rtl w:val="0"/>
              </w:rPr>
              <w:t xml:space="preserve">According to </w:t>
            </w:r>
            <w:hyperlink r:id="rId11">
              <w:r w:rsidDel="00000000" w:rsidR="00000000" w:rsidRPr="00000000">
                <w:rPr>
                  <w:color w:val="1155cc"/>
                  <w:u w:val="single"/>
                  <w:rtl w:val="0"/>
                </w:rPr>
                <w:t xml:space="preserve">Landmark</w:t>
              </w:r>
            </w:hyperlink>
            <w:r w:rsidDel="00000000" w:rsidR="00000000" w:rsidRPr="00000000">
              <w:rPr>
                <w:rtl w:val="0"/>
              </w:rPr>
              <w:t xml:space="preserve">: (recognized) “Customary lands cover 98.5% of the country land area.”</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2"/>
              <w:spacing w:before="240" w:lineRule="auto"/>
              <w:rPr/>
            </w:pPr>
            <w:bookmarkStart w:colFirst="0" w:colLast="0" w:name="_qa7g9iqy0kfw" w:id="0"/>
            <w:bookmarkEnd w:id="0"/>
            <w:r w:rsidDel="00000000" w:rsidR="00000000" w:rsidRPr="00000000">
              <w:rPr>
                <w:rtl w:val="0"/>
              </w:rPr>
              <w:t xml:space="preserve">Niue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2"/>
              <w:spacing w:before="240" w:lineRule="auto"/>
              <w:rPr/>
            </w:pPr>
            <w:bookmarkStart w:colFirst="0" w:colLast="0" w:name="_qa7g9iqy0kfw" w:id="0"/>
            <w:bookmarkEnd w:id="0"/>
            <w:r w:rsidDel="00000000" w:rsidR="00000000" w:rsidRPr="00000000">
              <w:rPr>
                <w:rtl w:val="0"/>
              </w:rPr>
              <w:t xml:space="preserve">Samoa (Terrestrial) </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pPr>
            <w:r w:rsidDel="00000000" w:rsidR="00000000" w:rsidRPr="00000000">
              <w:rPr>
                <w:rtl w:val="0"/>
              </w:rPr>
              <w:t xml:space="preserve">According to </w:t>
            </w:r>
            <w:hyperlink r:id="rId12">
              <w:r w:rsidDel="00000000" w:rsidR="00000000" w:rsidRPr="00000000">
                <w:rPr>
                  <w:color w:val="1155cc"/>
                  <w:u w:val="single"/>
                  <w:rtl w:val="0"/>
                </w:rPr>
                <w:t xml:space="preserve">Landmark</w:t>
              </w:r>
            </w:hyperlink>
            <w:r w:rsidDel="00000000" w:rsidR="00000000" w:rsidRPr="00000000">
              <w:rPr>
                <w:rtl w:val="0"/>
              </w:rPr>
              <w:t xml:space="preserve">: “The Constitution of Samoa formally recognizes and protects customary land tenure, and prohibits further alienation of customary land than the 19% of the country land area that had already been converted to freehold (4%) or public land (15%) by the time the country achieved independence (1962).” Beyond a prohibition on alienation, the dimensions of those rights are not clear. For more information, refer to EOI.</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According to</w:t>
            </w:r>
            <w:hyperlink r:id="rId13">
              <w:r w:rsidDel="00000000" w:rsidR="00000000" w:rsidRPr="00000000">
                <w:rPr>
                  <w:color w:val="1155cc"/>
                  <w:u w:val="single"/>
                  <w:rtl w:val="0"/>
                </w:rPr>
                <w:t xml:space="preserve"> Landmark</w:t>
              </w:r>
            </w:hyperlink>
            <w:r w:rsidDel="00000000" w:rsidR="00000000" w:rsidRPr="00000000">
              <w:rPr>
                <w:rtl w:val="0"/>
              </w:rPr>
              <w:t xml:space="preserve">, 81% of the country is recognized as under customary tenure.</w:t>
            </w:r>
          </w:p>
          <w:p w:rsidR="00000000" w:rsidDel="00000000" w:rsidP="00000000" w:rsidRDefault="00000000" w:rsidRPr="00000000" w14:paraId="0000002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No data-refer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Style w:val="Heading2"/>
              <w:spacing w:before="240" w:lineRule="auto"/>
              <w:rPr/>
            </w:pPr>
            <w:bookmarkStart w:colFirst="0" w:colLast="0" w:name="_qa7g9iqy0kfw" w:id="0"/>
            <w:bookmarkEnd w:id="0"/>
            <w:r w:rsidDel="00000000" w:rsidR="00000000" w:rsidRPr="00000000">
              <w:rPr>
                <w:rtl w:val="0"/>
              </w:rPr>
              <w:t xml:space="preserve">Samoa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According to Too Big to Ignore, the only fisheries with reports were not IPLC managed. This doesn’t mean that the legal regime does not exist, only that they were not reported.</w:t>
            </w:r>
          </w:p>
          <w:p w:rsidR="00000000" w:rsidDel="00000000" w:rsidP="00000000" w:rsidRDefault="00000000" w:rsidRPr="00000000" w14:paraId="0000002E">
            <w:pPr>
              <w:spacing w:before="240" w:lineRule="auto"/>
              <w:rPr/>
            </w:pPr>
            <w:r w:rsidDel="00000000" w:rsidR="00000000" w:rsidRPr="00000000">
              <w:rPr>
                <w:rtl w:val="0"/>
              </w:rPr>
              <w:t xml:space="preserve">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pPr>
            <w:r w:rsidDel="00000000" w:rsidR="00000000" w:rsidRPr="00000000">
              <w:rPr>
                <w:rtl w:val="0"/>
              </w:rPr>
              <w:t xml:space="preserve">No data -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2"/>
              <w:spacing w:before="240" w:lineRule="auto"/>
              <w:rPr/>
            </w:pPr>
            <w:bookmarkStart w:colFirst="0" w:colLast="0" w:name="_qa7g9iqy0kfw" w:id="0"/>
            <w:bookmarkEnd w:id="0"/>
            <w:r w:rsidDel="00000000" w:rsidR="00000000" w:rsidRPr="00000000">
              <w:rPr>
                <w:rtl w:val="0"/>
              </w:rPr>
              <w:t xml:space="preserve">Tokelau - NZ (terrestrial)</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According to </w:t>
            </w:r>
            <w:hyperlink r:id="rId14">
              <w:r w:rsidDel="00000000" w:rsidR="00000000" w:rsidRPr="00000000">
                <w:rPr>
                  <w:color w:val="1155cc"/>
                  <w:u w:val="single"/>
                  <w:rtl w:val="0"/>
                </w:rPr>
                <w:t xml:space="preserve">Landmark</w:t>
              </w:r>
            </w:hyperlink>
            <w:r w:rsidDel="00000000" w:rsidR="00000000" w:rsidRPr="00000000">
              <w:rPr>
                <w:rtl w:val="0"/>
              </w:rPr>
              <w:t xml:space="preserve">: “The Crown formally recognizes and protects rights of traditional landowners through legislation. The Tokelau Amendment Act of 1967 prohibits alienation and disposition of Tokelauans' land, except to the Crown or among themselves and in accordance with custom.” Beyond a prohibition on alienation, the dimensions of those rights are not clear. For more information, refer to EOI.</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According to Landmark, “Customary lands cover 98% of the country land area, the rest being equally shared between public land and freehold lands (1% each).”</w:t>
            </w:r>
          </w:p>
          <w:p w:rsidR="00000000" w:rsidDel="00000000" w:rsidP="00000000" w:rsidRDefault="00000000" w:rsidRPr="00000000" w14:paraId="0000003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Style w:val="Heading2"/>
              <w:spacing w:before="240" w:lineRule="auto"/>
              <w:rPr/>
            </w:pPr>
            <w:bookmarkStart w:colFirst="0" w:colLast="0" w:name="_qa7g9iqy0kfw" w:id="0"/>
            <w:bookmarkEnd w:id="0"/>
            <w:r w:rsidDel="00000000" w:rsidR="00000000" w:rsidRPr="00000000">
              <w:rPr>
                <w:rtl w:val="0"/>
              </w:rPr>
              <w:t xml:space="preserve">Tokelau - NZ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No data-refer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2"/>
              <w:spacing w:before="240" w:lineRule="auto"/>
              <w:rPr/>
            </w:pPr>
            <w:bookmarkStart w:colFirst="0" w:colLast="0" w:name="_qa7g9iqy0kfw" w:id="0"/>
            <w:bookmarkEnd w:id="0"/>
            <w:r w:rsidDel="00000000" w:rsidR="00000000" w:rsidRPr="00000000">
              <w:rPr>
                <w:rtl w:val="0"/>
              </w:rPr>
              <w:t xml:space="preserve">Tonga (terrestrial)</w:t>
            </w:r>
          </w:p>
        </w:tc>
        <w:tc>
          <w:tcPr>
            <w:tcBorders>
              <w:top w:color="000000" w:space="0" w:sz="0" w:val="nil"/>
              <w:left w:color="ffffff"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According to </w:t>
            </w:r>
            <w:hyperlink r:id="rId15">
              <w:r w:rsidDel="00000000" w:rsidR="00000000" w:rsidRPr="00000000">
                <w:rPr>
                  <w:color w:val="1155cc"/>
                  <w:u w:val="single"/>
                  <w:rtl w:val="0"/>
                </w:rPr>
                <w:t xml:space="preserve">Landmark</w:t>
              </w:r>
            </w:hyperlink>
            <w:r w:rsidDel="00000000" w:rsidR="00000000" w:rsidRPr="00000000">
              <w:rPr>
                <w:rtl w:val="0"/>
              </w:rPr>
              <w:t xml:space="preserve">: “The Constitution of 1875 transferred all the ownership of the land in the country to King Tupou I, whose dynasty is still ruling Tonga. This marked the end of traditional land tenure systems. Thus, there is no more customary land in the country, all of its land mass being public land.”</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There appears to be no recognition of IPLC land rights in Tonga.</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2"/>
              <w:spacing w:before="240" w:lineRule="auto"/>
              <w:rPr/>
            </w:pPr>
            <w:bookmarkStart w:colFirst="0" w:colLast="0" w:name="_qa7g9iqy0kfw" w:id="0"/>
            <w:bookmarkEnd w:id="0"/>
            <w:r w:rsidDel="00000000" w:rsidR="00000000" w:rsidRPr="00000000">
              <w:rPr>
                <w:rtl w:val="0"/>
              </w:rPr>
              <w:t xml:space="preserve">Tonga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No data-refer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Style w:val="Heading2"/>
              <w:spacing w:before="240" w:lineRule="auto"/>
              <w:rPr/>
            </w:pPr>
            <w:bookmarkStart w:colFirst="0" w:colLast="0" w:name="_qa7g9iqy0kfw" w:id="0"/>
            <w:bookmarkEnd w:id="0"/>
            <w:r w:rsidDel="00000000" w:rsidR="00000000" w:rsidRPr="00000000">
              <w:rPr>
                <w:rtl w:val="0"/>
              </w:rPr>
              <w:t xml:space="preserve">Tuvalu (terrestrial)</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According to </w:t>
            </w:r>
            <w:hyperlink r:id="rId16">
              <w:r w:rsidDel="00000000" w:rsidR="00000000" w:rsidRPr="00000000">
                <w:rPr>
                  <w:color w:val="1155cc"/>
                  <w:u w:val="single"/>
                  <w:rtl w:val="0"/>
                </w:rPr>
                <w:t xml:space="preserve">Landmark</w:t>
              </w:r>
            </w:hyperlink>
            <w:r w:rsidDel="00000000" w:rsidR="00000000" w:rsidRPr="00000000">
              <w:rPr>
                <w:rtl w:val="0"/>
              </w:rPr>
              <w:t xml:space="preserve">: “The Crown formally recognizes and protects rights of traditional landowners through legislation.” although the dimensions of those rights are not clear. For more information, refer to EOI.</w:t>
            </w:r>
          </w:p>
          <w:p w:rsidR="00000000" w:rsidDel="00000000" w:rsidP="00000000" w:rsidRDefault="00000000" w:rsidRPr="00000000" w14:paraId="0000004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According to </w:t>
            </w:r>
            <w:hyperlink r:id="rId17">
              <w:r w:rsidDel="00000000" w:rsidR="00000000" w:rsidRPr="00000000">
                <w:rPr>
                  <w:color w:val="1155cc"/>
                  <w:u w:val="single"/>
                  <w:rtl w:val="0"/>
                </w:rPr>
                <w:t xml:space="preserve">landmark </w:t>
              </w:r>
            </w:hyperlink>
            <w:r w:rsidDel="00000000" w:rsidR="00000000" w:rsidRPr="00000000">
              <w:rPr>
                <w:rtl w:val="0"/>
              </w:rPr>
              <w:t xml:space="preserve">“Customary lands account for 95% of the country land area, the rest being mostly public land (5%) with less than 0.1% freehold lands.</w:t>
            </w:r>
          </w:p>
          <w:p w:rsidR="00000000" w:rsidDel="00000000" w:rsidP="00000000" w:rsidRDefault="00000000" w:rsidRPr="00000000" w14:paraId="00000045">
            <w:pPr>
              <w:spacing w:before="240" w:lineRule="auto"/>
              <w:rPr/>
            </w:pPr>
            <w:r w:rsidDel="00000000" w:rsidR="00000000" w:rsidRPr="00000000">
              <w:rPr>
                <w:rtl w:val="0"/>
              </w:rPr>
              <w:t xml:space="preserve">As customary tenure is extensively protected in the constitution or by law, we may consider that all customary lands are formally recognized in the country.”</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No data-refer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Style w:val="Heading2"/>
              <w:spacing w:before="240" w:lineRule="auto"/>
              <w:rPr/>
            </w:pPr>
            <w:bookmarkStart w:colFirst="0" w:colLast="0" w:name="_qa7g9iqy0kfw" w:id="0"/>
            <w:bookmarkEnd w:id="0"/>
            <w:r w:rsidDel="00000000" w:rsidR="00000000" w:rsidRPr="00000000">
              <w:rPr>
                <w:rtl w:val="0"/>
              </w:rPr>
              <w:t xml:space="preserve">Tuvalu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No data -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Style w:val="Heading2"/>
              <w:spacing w:before="240" w:lineRule="auto"/>
              <w:rPr/>
            </w:pPr>
            <w:bookmarkStart w:colFirst="0" w:colLast="0" w:name="_qa7g9iqy0kfw" w:id="0"/>
            <w:bookmarkEnd w:id="0"/>
            <w:r w:rsidDel="00000000" w:rsidR="00000000" w:rsidRPr="00000000">
              <w:rPr>
                <w:rtl w:val="0"/>
              </w:rPr>
              <w:t xml:space="preserve">Wallis &amp; Futuna  - Fr. (terrestrial)</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No data-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2"/>
              <w:spacing w:before="240" w:lineRule="auto"/>
              <w:rPr/>
            </w:pPr>
            <w:bookmarkStart w:colFirst="0" w:colLast="0" w:name="_qa7g9iqy0kfw" w:id="0"/>
            <w:bookmarkEnd w:id="0"/>
            <w:r w:rsidDel="00000000" w:rsidR="00000000" w:rsidRPr="00000000">
              <w:rPr>
                <w:rtl w:val="0"/>
              </w:rPr>
              <w:t xml:space="preserve">Wallis &amp; Futuna - Fr. (marine)</w:t>
            </w:r>
          </w:p>
        </w:tc>
        <w:tc>
          <w:tcPr>
            <w:tcBorders>
              <w:top w:color="000000" w:space="0" w:sz="0" w:val="nil"/>
              <w:left w:color="ffffff"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rPr>
                <w:sz w:val="20"/>
                <w:szCs w:val="20"/>
              </w:rPr>
            </w:pPr>
            <w:r w:rsidDel="00000000" w:rsidR="00000000" w:rsidRPr="00000000">
              <w:rPr>
                <w:sz w:val="20"/>
                <w:szCs w:val="20"/>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sz w:val="20"/>
                <w:szCs w:val="20"/>
              </w:rPr>
            </w:pPr>
            <w:r w:rsidDel="00000000" w:rsidR="00000000" w:rsidRPr="00000000">
              <w:rPr>
                <w:sz w:val="20"/>
                <w:szCs w:val="20"/>
                <w:rtl w:val="0"/>
              </w:rPr>
              <w:t xml:space="preserve">No data-refer to EOI</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sz w:val="20"/>
                <w:szCs w:val="20"/>
              </w:rPr>
            </w:pPr>
            <w:r w:rsidDel="00000000" w:rsidR="00000000" w:rsidRPr="00000000">
              <w:rPr>
                <w:sz w:val="20"/>
                <w:szCs w:val="20"/>
                <w:rtl w:val="0"/>
              </w:rPr>
              <w:t xml:space="preserve">No data-refer to EOI</w:t>
            </w:r>
          </w:p>
        </w:tc>
      </w:tr>
    </w:tbl>
    <w:p w:rsidR="00000000" w:rsidDel="00000000" w:rsidP="00000000" w:rsidRDefault="00000000" w:rsidRPr="00000000" w14:paraId="00000053">
      <w:pPr>
        <w:spacing w:after="240" w:before="240" w:lineRule="auto"/>
        <w:rPr>
          <w:sz w:val="20"/>
          <w:szCs w:val="20"/>
        </w:rPr>
      </w:pPr>
      <w:r w:rsidDel="00000000" w:rsidR="00000000" w:rsidRPr="00000000">
        <w:rPr>
          <w:rtl w:val="0"/>
        </w:rPr>
      </w:r>
    </w:p>
    <w:p w:rsidR="00000000" w:rsidDel="00000000" w:rsidP="00000000" w:rsidRDefault="00000000" w:rsidRPr="00000000" w14:paraId="00000054">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5">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0"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3"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2"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sfcloud.toobigtoignore.net/" TargetMode="External"/><Relationship Id="rId15" Type="http://schemas.openxmlformats.org/officeDocument/2006/relationships/hyperlink" Target="http://www.landmarkmap.org/map/#" TargetMode="External"/><Relationship Id="rId14"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7"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5" Type="http://schemas.openxmlformats.org/officeDocument/2006/relationships/styles" Target="styles.xml"/><Relationship Id="rId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7"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8" Type="http://schemas.openxmlformats.org/officeDocument/2006/relationships/hyperlink" Target="https://issfcloud.toobigtoigno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