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 East Asia (Mainland)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Cambodia, Lao PDR, Malaysia (Peninsular), Myanmar, Thailand, Vietnam</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Color Key: </w:t>
      </w:r>
    </w:p>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No data or not enough to justify </w:t>
      </w:r>
      <w:r w:rsidDel="00000000" w:rsidR="00000000" w:rsidRPr="00000000">
        <w:rPr>
          <w:sz w:val="20"/>
          <w:szCs w:val="20"/>
          <w:shd w:fill="d0cece" w:val="clear"/>
          <w:rtl w:val="0"/>
        </w:rPr>
        <w:t xml:space="preserve">Grey</w:t>
      </w:r>
      <w:r w:rsidDel="00000000" w:rsidR="00000000" w:rsidRPr="00000000">
        <w:rPr>
          <w:sz w:val="20"/>
          <w:szCs w:val="20"/>
          <w:rtl w:val="0"/>
        </w:rPr>
        <w:t xml:space="preserve">; </w:t>
      </w:r>
    </w:p>
    <w:p w:rsidR="00000000" w:rsidDel="00000000" w:rsidP="00000000" w:rsidRDefault="00000000" w:rsidRPr="00000000" w14:paraId="00000005">
      <w:pPr>
        <w:spacing w:line="240" w:lineRule="auto"/>
        <w:rPr>
          <w:sz w:val="20"/>
          <w:szCs w:val="20"/>
          <w:shd w:fill="fbe4d5" w:val="clear"/>
        </w:rPr>
      </w:pPr>
      <w:r w:rsidDel="00000000" w:rsidR="00000000" w:rsidRPr="00000000">
        <w:rPr>
          <w:sz w:val="20"/>
          <w:szCs w:val="20"/>
          <w:rtl w:val="0"/>
        </w:rPr>
        <w:t xml:space="preserve">Adverse or hostile conditions for IPLCs in the country </w:t>
      </w:r>
      <w:r w:rsidDel="00000000" w:rsidR="00000000" w:rsidRPr="00000000">
        <w:rPr>
          <w:sz w:val="20"/>
          <w:szCs w:val="20"/>
          <w:shd w:fill="fbe4d5" w:val="clear"/>
          <w:rtl w:val="0"/>
        </w:rPr>
        <w:t xml:space="preserve">Red; </w:t>
      </w:r>
    </w:p>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Limited/conflicting progress in achieving IPLC recognition, rights, and supporting legal frameworks </w:t>
      </w:r>
      <w:r w:rsidDel="00000000" w:rsidR="00000000" w:rsidRPr="00000000">
        <w:rPr>
          <w:sz w:val="20"/>
          <w:szCs w:val="20"/>
          <w:shd w:fill="fff2cc" w:val="clear"/>
          <w:rtl w:val="0"/>
        </w:rPr>
        <w:t xml:space="preserve">Yellow</w:t>
      </w:r>
      <w:r w:rsidDel="00000000" w:rsidR="00000000" w:rsidRPr="00000000">
        <w:rPr>
          <w:sz w:val="20"/>
          <w:szCs w:val="20"/>
          <w:rtl w:val="0"/>
        </w:rPr>
        <w:t xml:space="preserve">;</w:t>
      </w:r>
    </w:p>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Strong legal frameworks, recognition, and willingness to support IPLC rights </w:t>
      </w:r>
      <w:r w:rsidDel="00000000" w:rsidR="00000000" w:rsidRPr="00000000">
        <w:rPr>
          <w:sz w:val="20"/>
          <w:szCs w:val="20"/>
          <w:shd w:fill="e2efd9" w:val="clear"/>
          <w:rtl w:val="0"/>
        </w:rPr>
        <w:t xml:space="preserve">Green.</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Legal Framework, Scale of Recognition, &amp; Government Willingness</w:t>
      </w:r>
    </w:p>
    <w:tbl>
      <w:tblPr>
        <w:tblStyle w:val="Table1"/>
        <w:tblW w:w="12955.48808172531" w:type="dxa"/>
        <w:jc w:val="left"/>
        <w:tblInd w:w="100.0" w:type="pct"/>
        <w:tblLayout w:type="fixed"/>
        <w:tblLook w:val="0600"/>
      </w:tblPr>
      <w:tblGrid>
        <w:gridCol w:w="1965"/>
        <w:gridCol w:w="3900"/>
        <w:gridCol w:w="3412.849035187287"/>
        <w:gridCol w:w="3677.639046538025"/>
        <w:tblGridChange w:id="0">
          <w:tblGrid>
            <w:gridCol w:w="1965"/>
            <w:gridCol w:w="3900"/>
            <w:gridCol w:w="3412.849035187287"/>
            <w:gridCol w:w="3677.639046538025"/>
          </w:tblGrid>
        </w:tblGridChange>
      </w:tblGrid>
      <w:tr>
        <w:trPr>
          <w:trHeight w:val="7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sz w:val="20"/>
                <w:szCs w:val="20"/>
              </w:rPr>
            </w:pPr>
            <w:r w:rsidDel="00000000" w:rsidR="00000000" w:rsidRPr="00000000">
              <w:rPr>
                <w:b w:val="1"/>
                <w:sz w:val="20"/>
                <w:szCs w:val="20"/>
                <w:rtl w:val="0"/>
              </w:rPr>
              <w:t xml:space="preserve">Legal Framework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b w:val="1"/>
                <w:sz w:val="20"/>
                <w:szCs w:val="20"/>
              </w:rPr>
            </w:pPr>
            <w:r w:rsidDel="00000000" w:rsidR="00000000" w:rsidRPr="00000000">
              <w:rPr>
                <w:b w:val="1"/>
                <w:sz w:val="20"/>
                <w:szCs w:val="20"/>
                <w:rtl w:val="0"/>
              </w:rPr>
              <w:t xml:space="preserve">Scale of Recognition vs actual IPLC governance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sz w:val="20"/>
                <w:szCs w:val="20"/>
              </w:rPr>
            </w:pPr>
            <w:r w:rsidDel="00000000" w:rsidR="00000000" w:rsidRPr="00000000">
              <w:rPr>
                <w:b w:val="1"/>
                <w:sz w:val="20"/>
                <w:szCs w:val="20"/>
                <w:rtl w:val="0"/>
              </w:rPr>
              <w:t xml:space="preserve">Government willingness</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Style w:val="Heading2"/>
              <w:spacing w:before="240" w:lineRule="auto"/>
              <w:rPr/>
            </w:pPr>
            <w:bookmarkStart w:colFirst="0" w:colLast="0" w:name="_2l8e44prey73" w:id="0"/>
            <w:bookmarkEnd w:id="0"/>
            <w:r w:rsidDel="00000000" w:rsidR="00000000" w:rsidRPr="00000000">
              <w:rPr>
                <w:rtl w:val="0"/>
              </w:rPr>
              <w:t xml:space="preserve">Cambodia (terrestrial)</w:t>
            </w:r>
          </w:p>
        </w:tc>
        <w:tc>
          <w:tcPr>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Cambodia’s legal framework allows for IPLCs to apply to have their collective ownership of land recognized. It also has regimes to enable community-based conservation (community protected areas) and to create community forests. </w:t>
            </w:r>
          </w:p>
          <w:p w:rsidR="00000000" w:rsidDel="00000000" w:rsidP="00000000" w:rsidRDefault="00000000" w:rsidRPr="00000000" w14:paraId="0000000F">
            <w:pPr>
              <w:spacing w:before="240" w:lineRule="auto"/>
              <w:rPr/>
            </w:pPr>
            <w:r w:rsidDel="00000000" w:rsidR="00000000" w:rsidRPr="00000000">
              <w:rPr>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 0.01 Mha have been recognized by the government as owned by IPLCs. Another 0.58 Mha have been recognized as under community control. Together, these represent 3 % of the country’s total land area.</w:t>
            </w:r>
          </w:p>
          <w:p w:rsidR="00000000" w:rsidDel="00000000" w:rsidP="00000000" w:rsidRDefault="00000000" w:rsidRPr="00000000" w14:paraId="00000011">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12">
            <w:pPr>
              <w:spacing w:before="240" w:lineRule="auto"/>
              <w:rPr/>
            </w:pPr>
            <w:r w:rsidDel="00000000" w:rsidR="00000000" w:rsidRPr="00000000">
              <w:rPr>
                <w:rtl w:val="0"/>
              </w:rPr>
              <w:t xml:space="preserve">According to </w:t>
            </w:r>
            <w:hyperlink r:id="rId6">
              <w:r w:rsidDel="00000000" w:rsidR="00000000" w:rsidRPr="00000000">
                <w:rPr>
                  <w:color w:val="1155cc"/>
                  <w:u w:val="single"/>
                  <w:rtl w:val="0"/>
                </w:rPr>
                <w:t xml:space="preserve">Landmark</w:t>
              </w:r>
            </w:hyperlink>
            <w:r w:rsidDel="00000000" w:rsidR="00000000" w:rsidRPr="00000000">
              <w:rPr>
                <w:rtl w:val="0"/>
              </w:rPr>
              <w:t xml:space="preserve">, recognition is mostly concentrated in the northeastern areas of the country, especially near the vietnamese and laotian borders. There is no data on the total area claimed by IPLCs.</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pPr>
            <w:r w:rsidDel="00000000" w:rsidR="00000000" w:rsidRPr="00000000">
              <w:rPr>
                <w:rtl w:val="0"/>
              </w:rPr>
              <w:t xml:space="preserve">Due to conflicting/overlapping mandates between the relevant government ministries, implementation of IPLC recognition is extremely difficult. There is somewhat higher willingness in the sub-national technical departments responsible for the implementation of these initiatives.</w:t>
            </w:r>
          </w:p>
          <w:p w:rsidR="00000000" w:rsidDel="00000000" w:rsidP="00000000" w:rsidRDefault="00000000" w:rsidRPr="00000000" w14:paraId="00000014">
            <w:pPr>
              <w:spacing w:before="240" w:lineRule="auto"/>
              <w:rPr/>
            </w:pPr>
            <w:r w:rsidDel="00000000" w:rsidR="00000000" w:rsidRPr="00000000">
              <w:rPr>
                <w:rtl w:val="0"/>
              </w:rPr>
              <w:t xml:space="preserve">(Source. RRI. 2020. Opportunity Framework.</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Style w:val="Heading2"/>
              <w:spacing w:before="240" w:lineRule="auto"/>
              <w:rPr/>
            </w:pPr>
            <w:bookmarkStart w:colFirst="0" w:colLast="0" w:name="_2l8e44prey73" w:id="0"/>
            <w:bookmarkEnd w:id="0"/>
            <w:r w:rsidDel="00000000" w:rsidR="00000000" w:rsidRPr="00000000">
              <w:rPr>
                <w:rtl w:val="0"/>
              </w:rPr>
              <w:t xml:space="preserve">Cambodia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rPr/>
            </w:pPr>
            <w:r w:rsidDel="00000000" w:rsidR="00000000" w:rsidRPr="00000000">
              <w:rPr>
                <w:rtl w:val="0"/>
              </w:rPr>
              <w:t xml:space="preserve">According to </w:t>
            </w:r>
            <w:hyperlink r:id="rId7">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Cambodia, although further details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rPr/>
            </w:pPr>
            <w:r w:rsidDel="00000000" w:rsidR="00000000" w:rsidRPr="00000000">
              <w:rPr>
                <w:rtl w:val="0"/>
              </w:rPr>
              <w:t xml:space="preserve">According to </w:t>
            </w:r>
            <w:hyperlink r:id="rId8">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18">
            <w:pPr>
              <w:numPr>
                <w:ilvl w:val="0"/>
                <w:numId w:val="1"/>
              </w:numPr>
              <w:spacing w:after="0" w:afterAutospacing="0" w:before="240" w:lineRule="auto"/>
              <w:ind w:left="720" w:hanging="360"/>
              <w:rPr>
                <w:sz w:val="20"/>
                <w:szCs w:val="20"/>
              </w:rPr>
            </w:pPr>
            <w:r w:rsidDel="00000000" w:rsidR="00000000" w:rsidRPr="00000000">
              <w:rPr>
                <w:rtl w:val="0"/>
              </w:rPr>
              <w:t xml:space="preserve">Co-management / co-governance</w:t>
              <w:tab/>
            </w:r>
          </w:p>
          <w:p w:rsidR="00000000" w:rsidDel="00000000" w:rsidP="00000000" w:rsidRDefault="00000000" w:rsidRPr="00000000" w14:paraId="00000019">
            <w:pPr>
              <w:numPr>
                <w:ilvl w:val="0"/>
                <w:numId w:val="1"/>
              </w:numPr>
              <w:spacing w:before="0" w:beforeAutospacing="0" w:lineRule="auto"/>
              <w:ind w:left="720" w:hanging="360"/>
              <w:rPr>
                <w:sz w:val="20"/>
                <w:szCs w:val="20"/>
              </w:rPr>
            </w:pPr>
            <w:r w:rsidDel="00000000" w:rsidR="00000000" w:rsidRPr="00000000">
              <w:rPr>
                <w:rtl w:val="0"/>
              </w:rPr>
              <w:t xml:space="preserve">Community-based management</w:t>
              <w:tab/>
            </w:r>
          </w:p>
          <w:p w:rsidR="00000000" w:rsidDel="00000000" w:rsidP="00000000" w:rsidRDefault="00000000" w:rsidRPr="00000000" w14:paraId="0000001A">
            <w:pPr>
              <w:spacing w:before="240" w:lineRule="auto"/>
              <w:rPr/>
            </w:pPr>
            <w:r w:rsidDel="00000000" w:rsidR="00000000" w:rsidRPr="00000000">
              <w:rPr>
                <w:rtl w:val="0"/>
              </w:rPr>
              <w:t xml:space="preserve">Whether this applies to a subset or all fisheries is not clear. Also it is not clear if the community based management has been recognized by the government.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rPr/>
            </w:pPr>
            <w:r w:rsidDel="00000000" w:rsidR="00000000" w:rsidRPr="00000000">
              <w:rPr>
                <w:rtl w:val="0"/>
              </w:rPr>
              <w:t xml:space="preserve">No data - refer to EOI.</w:t>
            </w:r>
          </w:p>
        </w:tc>
      </w:tr>
      <w:tr>
        <w:trPr>
          <w:trHeight w:val="8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Style w:val="Heading2"/>
              <w:spacing w:before="240" w:lineRule="auto"/>
              <w:rPr/>
            </w:pPr>
            <w:bookmarkStart w:colFirst="0" w:colLast="0" w:name="_2l8e44prey73" w:id="0"/>
            <w:bookmarkEnd w:id="0"/>
            <w:r w:rsidDel="00000000" w:rsidR="00000000" w:rsidRPr="00000000">
              <w:rPr>
                <w:rtl w:val="0"/>
              </w:rPr>
              <w:t xml:space="preserve">Lao PDR (landlocked)</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rPr/>
            </w:pPr>
            <w:r w:rsidDel="00000000" w:rsidR="00000000" w:rsidRPr="00000000">
              <w:rPr>
                <w:rtl w:val="0"/>
              </w:rPr>
              <w:t xml:space="preserve">Laos’ legal framework was recently adapted to allow for the recognition of IPLC control over forest lands (including for community conservation purposes). Implementing sub-legislation and regulations are still needed.</w:t>
            </w:r>
          </w:p>
          <w:p w:rsidR="00000000" w:rsidDel="00000000" w:rsidP="00000000" w:rsidRDefault="00000000" w:rsidRPr="00000000" w14:paraId="0000001E">
            <w:pPr>
              <w:spacing w:before="240" w:lineRule="auto"/>
              <w:rPr/>
            </w:pPr>
            <w:r w:rsidDel="00000000" w:rsidR="00000000" w:rsidRPr="00000000">
              <w:rPr>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rPr/>
            </w:pPr>
            <w:r w:rsidDel="00000000" w:rsidR="00000000" w:rsidRPr="00000000">
              <w:rPr>
                <w:rtl w:val="0"/>
              </w:rPr>
              <w:t xml:space="preserve">~ 0.02 MHa of forests have been recognized as under IPLC control - mainly in the Nakai plateau area. Otherwise recognition has not taken place on any meaningful scale pending the reforms.</w:t>
            </w:r>
          </w:p>
          <w:p w:rsidR="00000000" w:rsidDel="00000000" w:rsidP="00000000" w:rsidRDefault="00000000" w:rsidRPr="00000000" w14:paraId="00000020">
            <w:pPr>
              <w:spacing w:before="240" w:lineRule="auto"/>
              <w:rPr/>
            </w:pPr>
            <w:r w:rsidDel="00000000" w:rsidR="00000000" w:rsidRPr="00000000">
              <w:rPr>
                <w:rtl w:val="0"/>
              </w:rPr>
              <w:t xml:space="preserve">(RRI. 2014. What future for reform?)</w:t>
            </w:r>
          </w:p>
          <w:p w:rsidR="00000000" w:rsidDel="00000000" w:rsidP="00000000" w:rsidRDefault="00000000" w:rsidRPr="00000000" w14:paraId="00000021">
            <w:pPr>
              <w:spacing w:before="240" w:lineRule="auto"/>
              <w:rPr/>
            </w:pPr>
            <w:r w:rsidDel="00000000" w:rsidR="00000000" w:rsidRPr="00000000">
              <w:rPr>
                <w:rtl w:val="0"/>
              </w:rPr>
              <w:t xml:space="preserve">According to </w:t>
            </w:r>
            <w:hyperlink r:id="rId9">
              <w:r w:rsidDel="00000000" w:rsidR="00000000" w:rsidRPr="00000000">
                <w:rPr>
                  <w:color w:val="1155cc"/>
                  <w:u w:val="single"/>
                  <w:rtl w:val="0"/>
                </w:rPr>
                <w:t xml:space="preserve">Landmark</w:t>
              </w:r>
            </w:hyperlink>
            <w:r w:rsidDel="00000000" w:rsidR="00000000" w:rsidRPr="00000000">
              <w:rPr>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pPr>
            <w:r w:rsidDel="00000000" w:rsidR="00000000" w:rsidRPr="00000000">
              <w:rPr>
                <w:rtl w:val="0"/>
              </w:rPr>
              <w:t xml:space="preserve">The recent reforms point to a general willingness toward the recognition of IPLC lands - however, there are competing priorities within the ministries that have jurisdiction over this issue.</w:t>
            </w:r>
          </w:p>
          <w:p w:rsidR="00000000" w:rsidDel="00000000" w:rsidP="00000000" w:rsidRDefault="00000000" w:rsidRPr="00000000" w14:paraId="00000023">
            <w:pPr>
              <w:spacing w:before="240" w:lineRule="auto"/>
              <w:rPr/>
            </w:pPr>
            <w:r w:rsidDel="00000000" w:rsidR="00000000" w:rsidRPr="00000000">
              <w:rPr>
                <w:rtl w:val="0"/>
              </w:rPr>
              <w:t xml:space="preserve">(Source. RRI. 2020. Opportunity Framework.)</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2"/>
              <w:spacing w:before="240" w:lineRule="auto"/>
              <w:rPr/>
            </w:pPr>
            <w:bookmarkStart w:colFirst="0" w:colLast="0" w:name="_2l8e44prey73" w:id="0"/>
            <w:bookmarkEnd w:id="0"/>
            <w:r w:rsidDel="00000000" w:rsidR="00000000" w:rsidRPr="00000000">
              <w:rPr>
                <w:rtl w:val="0"/>
              </w:rPr>
              <w:t xml:space="preserve">Malaysia (Terrestrial)</w:t>
            </w:r>
          </w:p>
        </w:tc>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rPr/>
            </w:pPr>
            <w:r w:rsidDel="00000000" w:rsidR="00000000" w:rsidRPr="00000000">
              <w:rPr>
                <w:rtl w:val="0"/>
              </w:rPr>
              <w:t xml:space="preserve">There do not appear to be any national level legal frameworks for the recognition of IPLC lands or forests. There may be some laws for recognition at the sub-national level, but there is no data on this within the available resources.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rPr/>
            </w:pPr>
            <w:r w:rsidDel="00000000" w:rsidR="00000000" w:rsidRPr="00000000">
              <w:rPr>
                <w:rtl w:val="0"/>
              </w:rPr>
              <w:t xml:space="preserve">No data - refer to EOI.</w:t>
            </w:r>
          </w:p>
          <w:p w:rsidR="00000000" w:rsidDel="00000000" w:rsidP="00000000" w:rsidRDefault="00000000" w:rsidRPr="00000000" w14:paraId="00000027">
            <w:pPr>
              <w:spacing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rPr/>
            </w:pPr>
            <w:r w:rsidDel="00000000" w:rsidR="00000000" w:rsidRPr="00000000">
              <w:rPr>
                <w:rtl w:val="0"/>
              </w:rPr>
              <w:t xml:space="preserve">No data -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Style w:val="Heading2"/>
              <w:spacing w:before="240" w:lineRule="auto"/>
              <w:rPr/>
            </w:pPr>
            <w:bookmarkStart w:colFirst="0" w:colLast="0" w:name="_2l8e44prey73" w:id="0"/>
            <w:bookmarkEnd w:id="0"/>
            <w:r w:rsidDel="00000000" w:rsidR="00000000" w:rsidRPr="00000000">
              <w:rPr>
                <w:rtl w:val="0"/>
              </w:rPr>
              <w:t xml:space="preserve">Malaysia (Marine)</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rPr/>
            </w:pPr>
            <w:r w:rsidDel="00000000" w:rsidR="00000000" w:rsidRPr="00000000">
              <w:rPr>
                <w:rtl w:val="0"/>
              </w:rPr>
              <w:t xml:space="preserve">According to </w:t>
            </w:r>
            <w:hyperlink r:id="rId10">
              <w:r w:rsidDel="00000000" w:rsidR="00000000" w:rsidRPr="00000000">
                <w:rPr>
                  <w:color w:val="1155cc"/>
                  <w:u w:val="single"/>
                  <w:rtl w:val="0"/>
                </w:rPr>
                <w:t xml:space="preserve">Too-Big to Ignore,</w:t>
              </w:r>
            </w:hyperlink>
            <w:r w:rsidDel="00000000" w:rsidR="00000000" w:rsidRPr="00000000">
              <w:rPr>
                <w:rtl w:val="0"/>
              </w:rPr>
              <w:t xml:space="preserve"> there is a basis for co-management/governance of fisheries with IPLCs in Malaysia although further details about the management regimes are unavailable.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rPr/>
            </w:pPr>
            <w:r w:rsidDel="00000000" w:rsidR="00000000" w:rsidRPr="00000000">
              <w:rPr>
                <w:rtl w:val="0"/>
              </w:rPr>
              <w:t xml:space="preserve">According to </w:t>
            </w:r>
            <w:hyperlink r:id="rId11">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2C">
            <w:pPr>
              <w:numPr>
                <w:ilvl w:val="0"/>
                <w:numId w:val="2"/>
              </w:numPr>
              <w:spacing w:after="0" w:afterAutospacing="0" w:before="240" w:lineRule="auto"/>
              <w:ind w:left="720" w:hanging="360"/>
              <w:rPr>
                <w:sz w:val="20"/>
                <w:szCs w:val="20"/>
              </w:rPr>
            </w:pPr>
            <w:r w:rsidDel="00000000" w:rsidR="00000000" w:rsidRPr="00000000">
              <w:rPr>
                <w:rtl w:val="0"/>
              </w:rPr>
              <w:t xml:space="preserve">Top-down governance</w:t>
            </w:r>
          </w:p>
          <w:p w:rsidR="00000000" w:rsidDel="00000000" w:rsidP="00000000" w:rsidRDefault="00000000" w:rsidRPr="00000000" w14:paraId="0000002D">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Co-management / co-governance and</w:t>
            </w:r>
          </w:p>
          <w:p w:rsidR="00000000" w:rsidDel="00000000" w:rsidP="00000000" w:rsidRDefault="00000000" w:rsidRPr="00000000" w14:paraId="0000002E">
            <w:pPr>
              <w:numPr>
                <w:ilvl w:val="0"/>
                <w:numId w:val="2"/>
              </w:numPr>
              <w:spacing w:before="0" w:beforeAutospacing="0" w:lineRule="auto"/>
              <w:ind w:left="720" w:hanging="360"/>
              <w:rPr>
                <w:sz w:val="20"/>
                <w:szCs w:val="20"/>
              </w:rPr>
            </w:pPr>
            <w:r w:rsidDel="00000000" w:rsidR="00000000" w:rsidRPr="00000000">
              <w:rPr>
                <w:rtl w:val="0"/>
              </w:rPr>
              <w:t xml:space="preserve">Community-based management</w:t>
            </w:r>
          </w:p>
          <w:p w:rsidR="00000000" w:rsidDel="00000000" w:rsidP="00000000" w:rsidRDefault="00000000" w:rsidRPr="00000000" w14:paraId="0000002F">
            <w:pPr>
              <w:spacing w:before="240" w:lineRule="auto"/>
              <w:rPr/>
            </w:pPr>
            <w:r w:rsidDel="00000000" w:rsidR="00000000" w:rsidRPr="00000000">
              <w:rPr>
                <w:rtl w:val="0"/>
              </w:rPr>
              <w:t xml:space="preserve">It is not clear if the community-based management sites have been recognized by the government.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rPr/>
            </w:pPr>
            <w:r w:rsidDel="00000000" w:rsidR="00000000" w:rsidRPr="00000000">
              <w:rPr>
                <w:rtl w:val="0"/>
              </w:rPr>
              <w:t xml:space="preserve">No data - refer to EOI</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Style w:val="Heading2"/>
              <w:spacing w:before="240" w:lineRule="auto"/>
              <w:rPr/>
            </w:pPr>
            <w:bookmarkStart w:colFirst="0" w:colLast="0" w:name="_2l8e44prey73" w:id="0"/>
            <w:bookmarkEnd w:id="0"/>
            <w:r w:rsidDel="00000000" w:rsidR="00000000" w:rsidRPr="00000000">
              <w:rPr>
                <w:rtl w:val="0"/>
              </w:rPr>
              <w:t xml:space="preserve">Myanmar (terrestrial)</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pPr>
            <w:r w:rsidDel="00000000" w:rsidR="00000000" w:rsidRPr="00000000">
              <w:rPr>
                <w:rtl w:val="0"/>
              </w:rPr>
              <w:t xml:space="preserve">Myanmar’s legal framework provides two options for recognizing IPLC control (community forest lands, and community protected areas.) There is little information about community protected areas.</w:t>
            </w:r>
          </w:p>
          <w:p w:rsidR="00000000" w:rsidDel="00000000" w:rsidP="00000000" w:rsidRDefault="00000000" w:rsidRPr="00000000" w14:paraId="00000033">
            <w:pPr>
              <w:spacing w:before="240" w:lineRule="auto"/>
              <w:rPr/>
            </w:pPr>
            <w:r w:rsidDel="00000000" w:rsidR="00000000" w:rsidRPr="00000000">
              <w:rPr>
                <w:rtl w:val="0"/>
              </w:rPr>
              <w:t xml:space="preserve">(Source. RRI. 2020. Opportunity Framework)</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rPr/>
            </w:pPr>
            <w:r w:rsidDel="00000000" w:rsidR="00000000" w:rsidRPr="00000000">
              <w:rPr>
                <w:rtl w:val="0"/>
              </w:rPr>
              <w:t xml:space="preserve">~ 0.05 Mha have been recognized by the government as under IPLC control (community forest concessions). This represents less than 1 % of the country’s total land area.</w:t>
            </w:r>
          </w:p>
          <w:p w:rsidR="00000000" w:rsidDel="00000000" w:rsidP="00000000" w:rsidRDefault="00000000" w:rsidRPr="00000000" w14:paraId="00000035">
            <w:pPr>
              <w:spacing w:before="240" w:lineRule="auto"/>
              <w:rPr/>
            </w:pPr>
            <w:r w:rsidDel="00000000" w:rsidR="00000000" w:rsidRPr="00000000">
              <w:rPr>
                <w:rtl w:val="0"/>
              </w:rPr>
              <w:t xml:space="preserve">(Source: RRI. 2015. Who Owns the World’s Lands)</w:t>
            </w:r>
          </w:p>
          <w:p w:rsidR="00000000" w:rsidDel="00000000" w:rsidP="00000000" w:rsidRDefault="00000000" w:rsidRPr="00000000" w14:paraId="00000036">
            <w:pPr>
              <w:spacing w:before="240" w:lineRule="auto"/>
              <w:rPr/>
            </w:pPr>
            <w:r w:rsidDel="00000000" w:rsidR="00000000" w:rsidRPr="00000000">
              <w:rPr>
                <w:rtl w:val="0"/>
              </w:rPr>
              <w:t xml:space="preserve">According to </w:t>
            </w:r>
            <w:hyperlink r:id="rId12">
              <w:r w:rsidDel="00000000" w:rsidR="00000000" w:rsidRPr="00000000">
                <w:rPr>
                  <w:color w:val="1155cc"/>
                  <w:u w:val="single"/>
                  <w:rtl w:val="0"/>
                </w:rPr>
                <w:t xml:space="preserve">Landmark</w:t>
              </w:r>
            </w:hyperlink>
            <w:r w:rsidDel="00000000" w:rsidR="00000000" w:rsidRPr="00000000">
              <w:rPr>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pPr>
            <w:r w:rsidDel="00000000" w:rsidR="00000000" w:rsidRPr="00000000">
              <w:rPr>
                <w:rtl w:val="0"/>
              </w:rPr>
              <w:t xml:space="preserve">There are conflicting priorities at the national government level between entities who are willing to support the recognition of IPLC rights and those who wish to allocate lands and resources to concessions. Willingness at sub-national level is hampered by inadequate mandates and the prevalence of land conflicts.</w:t>
            </w:r>
          </w:p>
          <w:p w:rsidR="00000000" w:rsidDel="00000000" w:rsidP="00000000" w:rsidRDefault="00000000" w:rsidRPr="00000000" w14:paraId="00000038">
            <w:pPr>
              <w:spacing w:before="240" w:lineRule="auto"/>
              <w:rPr/>
            </w:pPr>
            <w:r w:rsidDel="00000000" w:rsidR="00000000" w:rsidRPr="00000000">
              <w:rPr>
                <w:rtl w:val="0"/>
              </w:rPr>
              <w:t xml:space="preserve">(Source. RRI. 2020. Opportunity Framework)  </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2"/>
              <w:spacing w:before="240" w:lineRule="auto"/>
              <w:rPr/>
            </w:pPr>
            <w:bookmarkStart w:colFirst="0" w:colLast="0" w:name="_2l8e44prey73" w:id="0"/>
            <w:bookmarkEnd w:id="0"/>
            <w:r w:rsidDel="00000000" w:rsidR="00000000" w:rsidRPr="00000000">
              <w:rPr>
                <w:rtl w:val="0"/>
              </w:rPr>
              <w:t xml:space="preserve">Myanmar (marine)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A">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rPr/>
            </w:pPr>
            <w:r w:rsidDel="00000000" w:rsidR="00000000" w:rsidRPr="00000000">
              <w:rPr>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rPr/>
            </w:pPr>
            <w:r w:rsidDel="00000000" w:rsidR="00000000" w:rsidRPr="00000000">
              <w:rPr>
                <w:rtl w:val="0"/>
              </w:rPr>
              <w:t xml:space="preserve">No data -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2"/>
              <w:spacing w:before="240" w:lineRule="auto"/>
              <w:rPr/>
            </w:pPr>
            <w:bookmarkStart w:colFirst="0" w:colLast="0" w:name="_2l8e44prey73" w:id="0"/>
            <w:bookmarkEnd w:id="0"/>
            <w:r w:rsidDel="00000000" w:rsidR="00000000" w:rsidRPr="00000000">
              <w:rPr>
                <w:rtl w:val="0"/>
              </w:rPr>
              <w:t xml:space="preserve">Thailand (terrestrial)</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rPr/>
            </w:pPr>
            <w:r w:rsidDel="00000000" w:rsidR="00000000" w:rsidRPr="00000000">
              <w:rPr>
                <w:rtl w:val="0"/>
              </w:rPr>
              <w:t xml:space="preserve">Thailand’s legal framework allows for the  recognition of IPLC control of lands (community title) and forests (community forests)</w:t>
            </w:r>
          </w:p>
          <w:p w:rsidR="00000000" w:rsidDel="00000000" w:rsidP="00000000" w:rsidRDefault="00000000" w:rsidRPr="00000000" w14:paraId="0000003F">
            <w:pPr>
              <w:spacing w:before="240" w:lineRule="auto"/>
              <w:rPr/>
            </w:pPr>
            <w:r w:rsidDel="00000000" w:rsidR="00000000" w:rsidRPr="00000000">
              <w:rPr>
                <w:rtl w:val="0"/>
              </w:rPr>
              <w:t xml:space="preserve">(Source. RRI. 2015. Who Owns the World’s Land?)</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rPr/>
            </w:pPr>
            <w:r w:rsidDel="00000000" w:rsidR="00000000" w:rsidRPr="00000000">
              <w:rPr>
                <w:rtl w:val="0"/>
              </w:rPr>
              <w:t xml:space="preserve">~ 0.48 Mha have been recognized by the government as under IPLC control. This represents less than 1 % of the country’s total land area.</w:t>
            </w:r>
          </w:p>
          <w:p w:rsidR="00000000" w:rsidDel="00000000" w:rsidP="00000000" w:rsidRDefault="00000000" w:rsidRPr="00000000" w14:paraId="00000041">
            <w:pPr>
              <w:spacing w:before="240" w:lineRule="auto"/>
              <w:rPr/>
            </w:pPr>
            <w:r w:rsidDel="00000000" w:rsidR="00000000" w:rsidRPr="00000000">
              <w:rPr>
                <w:rtl w:val="0"/>
              </w:rPr>
              <w:t xml:space="preserve">(Source. RRI. 2015. Who Owns the World’s Land?)</w:t>
            </w:r>
          </w:p>
          <w:p w:rsidR="00000000" w:rsidDel="00000000" w:rsidP="00000000" w:rsidRDefault="00000000" w:rsidRPr="00000000" w14:paraId="00000042">
            <w:pPr>
              <w:spacing w:before="240" w:lineRule="auto"/>
              <w:rPr/>
            </w:pPr>
            <w:r w:rsidDel="00000000" w:rsidR="00000000" w:rsidRPr="00000000">
              <w:rPr>
                <w:rtl w:val="0"/>
              </w:rPr>
              <w:t xml:space="preserve">According to </w:t>
            </w:r>
            <w:hyperlink r:id="rId13">
              <w:r w:rsidDel="00000000" w:rsidR="00000000" w:rsidRPr="00000000">
                <w:rPr>
                  <w:color w:val="1155cc"/>
                  <w:u w:val="single"/>
                  <w:rtl w:val="0"/>
                </w:rPr>
                <w:t xml:space="preserve">Landmark</w:t>
              </w:r>
            </w:hyperlink>
            <w:r w:rsidDel="00000000" w:rsidR="00000000" w:rsidRPr="00000000">
              <w:rPr>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rPr/>
            </w:pPr>
            <w:r w:rsidDel="00000000" w:rsidR="00000000" w:rsidRPr="00000000">
              <w:rPr>
                <w:rtl w:val="0"/>
              </w:rPr>
              <w:t xml:space="preserve">No data -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Style w:val="Heading2"/>
              <w:spacing w:before="240" w:lineRule="auto"/>
              <w:rPr/>
            </w:pPr>
            <w:bookmarkStart w:colFirst="0" w:colLast="0" w:name="_2l8e44prey73" w:id="0"/>
            <w:bookmarkEnd w:id="0"/>
            <w:r w:rsidDel="00000000" w:rsidR="00000000" w:rsidRPr="00000000">
              <w:rPr>
                <w:rtl w:val="0"/>
              </w:rPr>
              <w:t xml:space="preserve">Thailand (marine)</w:t>
            </w:r>
          </w:p>
        </w:tc>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rPr/>
            </w:pPr>
            <w:r w:rsidDel="00000000" w:rsidR="00000000" w:rsidRPr="00000000">
              <w:rPr>
                <w:rtl w:val="0"/>
              </w:rPr>
              <w:t xml:space="preserve">According to </w:t>
            </w:r>
            <w:hyperlink r:id="rId14">
              <w:r w:rsidDel="00000000" w:rsidR="00000000" w:rsidRPr="00000000">
                <w:rPr>
                  <w:color w:val="1155cc"/>
                  <w:u w:val="single"/>
                  <w:rtl w:val="0"/>
                </w:rPr>
                <w:t xml:space="preserve">Too-Big to Ignore,</w:t>
              </w:r>
            </w:hyperlink>
            <w:r w:rsidDel="00000000" w:rsidR="00000000" w:rsidRPr="00000000">
              <w:rPr>
                <w:rtl w:val="0"/>
              </w:rPr>
              <w:t xml:space="preserve"> it is not clear whether IPLCs have a recognized role in the governance of fisheries and marine areas.</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rPr/>
            </w:pPr>
            <w:r w:rsidDel="00000000" w:rsidR="00000000" w:rsidRPr="00000000">
              <w:rPr>
                <w:rtl w:val="0"/>
              </w:rPr>
              <w:t xml:space="preserve">According to </w:t>
            </w:r>
            <w:hyperlink r:id="rId15">
              <w:r w:rsidDel="00000000" w:rsidR="00000000" w:rsidRPr="00000000">
                <w:rPr>
                  <w:color w:val="1155cc"/>
                  <w:u w:val="single"/>
                  <w:rtl w:val="0"/>
                </w:rPr>
                <w:t xml:space="preserve">Too Big to Ignore</w:t>
              </w:r>
            </w:hyperlink>
            <w:r w:rsidDel="00000000" w:rsidR="00000000" w:rsidRPr="00000000">
              <w:rPr>
                <w:rtl w:val="0"/>
              </w:rPr>
              <w:t xml:space="preserve"> the fisheries were reported as being under either :</w:t>
            </w:r>
          </w:p>
          <w:p w:rsidR="00000000" w:rsidDel="00000000" w:rsidP="00000000" w:rsidRDefault="00000000" w:rsidRPr="00000000" w14:paraId="00000047">
            <w:pPr>
              <w:numPr>
                <w:ilvl w:val="0"/>
                <w:numId w:val="2"/>
              </w:numPr>
              <w:spacing w:after="0" w:afterAutospacing="0" w:before="240" w:lineRule="auto"/>
              <w:ind w:left="720" w:hanging="360"/>
              <w:rPr>
                <w:sz w:val="20"/>
                <w:szCs w:val="20"/>
              </w:rPr>
            </w:pPr>
            <w:r w:rsidDel="00000000" w:rsidR="00000000" w:rsidRPr="00000000">
              <w:rPr>
                <w:rtl w:val="0"/>
              </w:rPr>
              <w:t xml:space="preserve">Top-down governance</w:t>
            </w:r>
          </w:p>
          <w:p w:rsidR="00000000" w:rsidDel="00000000" w:rsidP="00000000" w:rsidRDefault="00000000" w:rsidRPr="00000000" w14:paraId="00000048">
            <w:pPr>
              <w:numPr>
                <w:ilvl w:val="0"/>
                <w:numId w:val="2"/>
              </w:numPr>
              <w:spacing w:after="0" w:afterAutospacing="0" w:before="0" w:beforeAutospacing="0" w:lineRule="auto"/>
              <w:ind w:left="720" w:hanging="360"/>
              <w:rPr>
                <w:sz w:val="20"/>
                <w:szCs w:val="20"/>
              </w:rPr>
            </w:pPr>
            <w:r w:rsidDel="00000000" w:rsidR="00000000" w:rsidRPr="00000000">
              <w:rPr>
                <w:rtl w:val="0"/>
              </w:rPr>
              <w:t xml:space="preserve">Community-based management</w:t>
            </w:r>
          </w:p>
          <w:p w:rsidR="00000000" w:rsidDel="00000000" w:rsidP="00000000" w:rsidRDefault="00000000" w:rsidRPr="00000000" w14:paraId="00000049">
            <w:pPr>
              <w:numPr>
                <w:ilvl w:val="0"/>
                <w:numId w:val="2"/>
              </w:numPr>
              <w:spacing w:before="0" w:beforeAutospacing="0" w:lineRule="auto"/>
              <w:ind w:left="720" w:hanging="360"/>
              <w:rPr>
                <w:sz w:val="20"/>
                <w:szCs w:val="20"/>
              </w:rPr>
            </w:pPr>
            <w:r w:rsidDel="00000000" w:rsidR="00000000" w:rsidRPr="00000000">
              <w:rPr>
                <w:rtl w:val="0"/>
              </w:rPr>
              <w:t xml:space="preserve">Self governance</w:t>
            </w:r>
          </w:p>
          <w:p w:rsidR="00000000" w:rsidDel="00000000" w:rsidP="00000000" w:rsidRDefault="00000000" w:rsidRPr="00000000" w14:paraId="0000004A">
            <w:pPr>
              <w:spacing w:before="240" w:lineRule="auto"/>
              <w:rPr/>
            </w:pPr>
            <w:r w:rsidDel="00000000" w:rsidR="00000000" w:rsidRPr="00000000">
              <w:rPr>
                <w:rtl w:val="0"/>
              </w:rPr>
              <w:t xml:space="preserve">It is not clear if the community-based management or self governance sites have been recognized by the government.</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rPr/>
            </w:pPr>
            <w:r w:rsidDel="00000000" w:rsidR="00000000" w:rsidRPr="00000000">
              <w:rPr>
                <w:rtl w:val="0"/>
              </w:rPr>
              <w:t xml:space="preserve">No data -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Style w:val="Heading2"/>
              <w:spacing w:before="240" w:lineRule="auto"/>
              <w:rPr/>
            </w:pPr>
            <w:bookmarkStart w:colFirst="0" w:colLast="0" w:name="_2l8e44prey73" w:id="0"/>
            <w:bookmarkEnd w:id="0"/>
            <w:r w:rsidDel="00000000" w:rsidR="00000000" w:rsidRPr="00000000">
              <w:rPr>
                <w:rtl w:val="0"/>
              </w:rPr>
              <w:t xml:space="preserve">Vietnam (terrestrial)</w:t>
            </w:r>
          </w:p>
        </w:tc>
        <w:tc>
          <w:tcPr>
            <w:tcBorders>
              <w:top w:color="000000" w:space="0" w:sz="0" w:val="nil"/>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rPr/>
            </w:pPr>
            <w:r w:rsidDel="00000000" w:rsidR="00000000" w:rsidRPr="00000000">
              <w:rPr>
                <w:rtl w:val="0"/>
              </w:rPr>
              <w:t xml:space="preserve">Vietnam’s legal framework allows for the recognition of IPLC control of  forests. </w:t>
            </w:r>
          </w:p>
          <w:p w:rsidR="00000000" w:rsidDel="00000000" w:rsidP="00000000" w:rsidRDefault="00000000" w:rsidRPr="00000000" w14:paraId="0000004E">
            <w:pPr>
              <w:spacing w:before="240" w:lineRule="auto"/>
              <w:rPr/>
            </w:pPr>
            <w:r w:rsidDel="00000000" w:rsidR="00000000" w:rsidRPr="00000000">
              <w:rPr>
                <w:rtl w:val="0"/>
              </w:rPr>
              <w:t xml:space="preserve">(Source. RRI 2014. What Future for Reform?)</w:t>
            </w:r>
          </w:p>
        </w:tc>
        <w:tc>
          <w:tcPr>
            <w:tcBorders>
              <w:top w:color="000000" w:space="0" w:sz="0" w:val="nil"/>
              <w:left w:color="000000" w:space="0" w:sz="0" w:val="nil"/>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rPr/>
            </w:pPr>
            <w:r w:rsidDel="00000000" w:rsidR="00000000" w:rsidRPr="00000000">
              <w:rPr>
                <w:rtl w:val="0"/>
              </w:rPr>
              <w:t xml:space="preserve">~ 0.3 Mha of the country’s forests have been recognized by the government as under IPLC control. No data for other types of tenure.</w:t>
            </w:r>
          </w:p>
          <w:p w:rsidR="00000000" w:rsidDel="00000000" w:rsidP="00000000" w:rsidRDefault="00000000" w:rsidRPr="00000000" w14:paraId="00000050">
            <w:pPr>
              <w:spacing w:before="240" w:lineRule="auto"/>
              <w:rPr/>
            </w:pPr>
            <w:r w:rsidDel="00000000" w:rsidR="00000000" w:rsidRPr="00000000">
              <w:rPr>
                <w:rtl w:val="0"/>
              </w:rPr>
              <w:t xml:space="preserve">(Source. RRI 2014. What Future for Reform?)</w:t>
            </w:r>
          </w:p>
          <w:p w:rsidR="00000000" w:rsidDel="00000000" w:rsidP="00000000" w:rsidRDefault="00000000" w:rsidRPr="00000000" w14:paraId="00000051">
            <w:pPr>
              <w:spacing w:before="240" w:lineRule="auto"/>
              <w:rPr/>
            </w:pPr>
            <w:r w:rsidDel="00000000" w:rsidR="00000000" w:rsidRPr="00000000">
              <w:rPr>
                <w:rtl w:val="0"/>
              </w:rPr>
              <w:t xml:space="preserve">According to </w:t>
            </w:r>
            <w:hyperlink r:id="rId16">
              <w:r w:rsidDel="00000000" w:rsidR="00000000" w:rsidRPr="00000000">
                <w:rPr>
                  <w:color w:val="1155cc"/>
                  <w:u w:val="single"/>
                  <w:rtl w:val="0"/>
                </w:rPr>
                <w:t xml:space="preserve">Landmark</w:t>
              </w:r>
            </w:hyperlink>
            <w:r w:rsidDel="00000000" w:rsidR="00000000" w:rsidRPr="00000000">
              <w:rPr>
                <w:rtl w:val="0"/>
              </w:rPr>
              <w:t xml:space="preserve">, there is no data on the total area claimed by IPLCs.</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No data - refer to EOI.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Style w:val="Heading2"/>
              <w:spacing w:before="240" w:lineRule="auto"/>
              <w:rPr/>
            </w:pPr>
            <w:bookmarkStart w:colFirst="0" w:colLast="0" w:name="_2l8e44prey73" w:id="0"/>
            <w:bookmarkEnd w:id="0"/>
            <w:r w:rsidDel="00000000" w:rsidR="00000000" w:rsidRPr="00000000">
              <w:rPr>
                <w:rtl w:val="0"/>
              </w:rPr>
              <w:t xml:space="preserve">Vietnam (marine)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rPr>
                <w:sz w:val="20"/>
                <w:szCs w:val="20"/>
              </w:rPr>
            </w:pPr>
            <w:r w:rsidDel="00000000" w:rsidR="00000000" w:rsidRPr="00000000">
              <w:rPr>
                <w:sz w:val="20"/>
                <w:szCs w:val="20"/>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rPr>
                <w:sz w:val="20"/>
                <w:szCs w:val="20"/>
              </w:rPr>
            </w:pPr>
            <w:r w:rsidDel="00000000" w:rsidR="00000000" w:rsidRPr="00000000">
              <w:rPr>
                <w:sz w:val="20"/>
                <w:szCs w:val="20"/>
                <w:rtl w:val="0"/>
              </w:rPr>
              <w:t xml:space="preserve">No data - refer to EOI.</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rPr>
                <w:sz w:val="20"/>
                <w:szCs w:val="20"/>
              </w:rPr>
            </w:pPr>
            <w:r w:rsidDel="00000000" w:rsidR="00000000" w:rsidRPr="00000000">
              <w:rPr>
                <w:sz w:val="20"/>
                <w:szCs w:val="20"/>
                <w:rtl w:val="0"/>
              </w:rPr>
              <w:t xml:space="preserve">No data - refer to EOI.</w:t>
            </w:r>
          </w:p>
        </w:tc>
      </w:tr>
    </w:tbl>
    <w:p w:rsidR="00000000" w:rsidDel="00000000" w:rsidP="00000000" w:rsidRDefault="00000000" w:rsidRPr="00000000" w14:paraId="00000057">
      <w:pPr>
        <w:spacing w:after="240" w:before="240" w:lineRule="auto"/>
        <w:rPr>
          <w:sz w:val="20"/>
          <w:szCs w:val="20"/>
        </w:rPr>
      </w:pPr>
      <w:r w:rsidDel="00000000" w:rsidR="00000000" w:rsidRPr="00000000">
        <w:rPr>
          <w:rtl w:val="0"/>
        </w:rPr>
      </w:r>
    </w:p>
    <w:p w:rsidR="00000000" w:rsidDel="00000000" w:rsidP="00000000" w:rsidRDefault="00000000" w:rsidRPr="00000000" w14:paraId="00000058">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59">
      <w:pPr>
        <w:spacing w:after="240" w:before="240" w:lineRule="auto"/>
        <w:rPr>
          <w:sz w:val="20"/>
          <w:szCs w:val="20"/>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issfcloud.toobigtoignore.net/" TargetMode="External"/><Relationship Id="rId10" Type="http://schemas.openxmlformats.org/officeDocument/2006/relationships/hyperlink" Target="https://issfcloud.toobigtoignore.net/" TargetMode="External"/><Relationship Id="rId13"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2"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15" Type="http://schemas.openxmlformats.org/officeDocument/2006/relationships/hyperlink" Target="https://issfcloud.toobigtoignore.net/" TargetMode="External"/><Relationship Id="rId14" Type="http://schemas.openxmlformats.org/officeDocument/2006/relationships/hyperlink" Target="https://issfcloud.toobigtoignore.net/" TargetMode="External"/><Relationship Id="rId1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5" Type="http://schemas.openxmlformats.org/officeDocument/2006/relationships/styles" Target="styles.xml"/><Relationship Id="rId6" Type="http://schemas.openxmlformats.org/officeDocument/2006/relationships/hyperlink" Target="http://www.landmarkmap.org/map/#x=-102.46&amp;y=13.47&amp;l=3&amp;a=community_FormalDoc%2Ccommunity_NoDoc%2Ccommunity_FormalClaim%2Ccommunity_Occupied%2Cindigenous_FormalDoc%2Cindigenous_NoDoc%2Cindigenous_FormalClaim%2Cindigenous_Occupied" TargetMode="External"/><Relationship Id="rId7" Type="http://schemas.openxmlformats.org/officeDocument/2006/relationships/hyperlink" Target="https://issfcloud.toobigtoignore.net/" TargetMode="External"/><Relationship Id="rId8" Type="http://schemas.openxmlformats.org/officeDocument/2006/relationships/hyperlink" Target="https://issfcloud.toobigtoignor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