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Gran Chaco</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Argentina, Bolivia, Chile &amp; Paraguay</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60.0" w:type="dxa"/>
        <w:jc w:val="left"/>
        <w:tblInd w:w="100.0" w:type="pct"/>
        <w:tblLayout w:type="fixed"/>
        <w:tblLook w:val="0600"/>
      </w:tblPr>
      <w:tblGrid>
        <w:gridCol w:w="1740"/>
        <w:gridCol w:w="3495"/>
        <w:gridCol w:w="4410"/>
        <w:gridCol w:w="3315"/>
        <w:tblGridChange w:id="0">
          <w:tblGrid>
            <w:gridCol w:w="1740"/>
            <w:gridCol w:w="3495"/>
            <w:gridCol w:w="4410"/>
            <w:gridCol w:w="331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2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ojeud8pgvtuv" w:id="0"/>
            <w:bookmarkEnd w:id="0"/>
            <w:r w:rsidDel="00000000" w:rsidR="00000000" w:rsidRPr="00000000">
              <w:rPr>
                <w:rtl w:val="0"/>
              </w:rPr>
              <w:t xml:space="preserve">Argentina</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Argentina’s recognition of IPLC takes place mainly through sub-national laws - some of which recognize IPLC ownership or control.</w:t>
            </w:r>
          </w:p>
          <w:p w:rsidR="00000000" w:rsidDel="00000000" w:rsidP="00000000" w:rsidRDefault="00000000" w:rsidRPr="00000000" w14:paraId="0000000F">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 2.7 Mha have been recognized as owned by IPLCs, and another 5.3 MHa have been designated for IPLCs, in total representing less than 3 % of the country’s total land area. </w:t>
            </w:r>
          </w:p>
          <w:p w:rsidR="00000000" w:rsidDel="00000000" w:rsidP="00000000" w:rsidRDefault="00000000" w:rsidRPr="00000000" w14:paraId="00000011">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12">
            <w:pPr>
              <w:spacing w:before="240" w:lineRule="auto"/>
              <w:rPr/>
            </w:pPr>
            <w:r w:rsidDel="00000000" w:rsidR="00000000" w:rsidRPr="00000000">
              <w:rPr>
                <w:rtl w:val="0"/>
              </w:rPr>
              <w:t xml:space="preserve">According to </w:t>
            </w:r>
            <w:hyperlink r:id="rId6">
              <w:r w:rsidDel="00000000" w:rsidR="00000000" w:rsidRPr="00000000">
                <w:rPr>
                  <w:color w:val="1155cc"/>
                  <w:u w:val="single"/>
                  <w:rtl w:val="0"/>
                </w:rPr>
                <w:t xml:space="preserve">Landmark</w:t>
              </w:r>
            </w:hyperlink>
            <w:r w:rsidDel="00000000" w:rsidR="00000000" w:rsidRPr="00000000">
              <w:rPr>
                <w:rtl w:val="0"/>
              </w:rPr>
              <w:t xml:space="preserve">, recognition is ongoing but no data is available on the total area claimed. </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No data. Refer to EOI.</w:t>
            </w:r>
          </w:p>
        </w:tc>
      </w:tr>
      <w:tr>
        <w:trPr>
          <w:trHeight w:val="2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Style w:val="Heading2"/>
              <w:spacing w:before="240" w:lineRule="auto"/>
              <w:rPr/>
            </w:pPr>
            <w:bookmarkStart w:colFirst="0" w:colLast="0" w:name="_ojeud8pgvtuv" w:id="0"/>
            <w:bookmarkEnd w:id="0"/>
            <w:r w:rsidDel="00000000" w:rsidR="00000000" w:rsidRPr="00000000">
              <w:rPr>
                <w:rtl w:val="0"/>
              </w:rPr>
              <w:t xml:space="preserve">Bolivia</w:t>
            </w:r>
          </w:p>
        </w:tc>
        <w:tc>
          <w:tcPr>
            <w:tcBorders>
              <w:top w:color="000000" w:space="0" w:sz="0" w:val="nil"/>
              <w:left w:color="000000" w:space="0" w:sz="8" w:val="single"/>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0"/>
                <w:szCs w:val="20"/>
              </w:rPr>
            </w:pPr>
            <w:r w:rsidDel="00000000" w:rsidR="00000000" w:rsidRPr="00000000">
              <w:rPr>
                <w:sz w:val="20"/>
                <w:szCs w:val="20"/>
                <w:rtl w:val="0"/>
              </w:rPr>
              <w:t xml:space="preserve">Bolivia has a strong legal framework for the recognition of IPLC tenure, with four distinct community based tenure regimes, with most recognizing a robust set of rights.</w:t>
            </w:r>
          </w:p>
          <w:p w:rsidR="00000000" w:rsidDel="00000000" w:rsidP="00000000" w:rsidRDefault="00000000" w:rsidRPr="00000000" w14:paraId="00000016">
            <w:pPr>
              <w:spacing w:before="240" w:lineRule="auto"/>
              <w:rPr>
                <w:sz w:val="20"/>
                <w:szCs w:val="20"/>
              </w:rPr>
            </w:pPr>
            <w:r w:rsidDel="00000000" w:rsidR="00000000" w:rsidRPr="00000000">
              <w:rPr>
                <w:sz w:val="20"/>
                <w:szCs w:val="20"/>
                <w:rtl w:val="0"/>
              </w:rPr>
              <w:t xml:space="preserve">(Source RRI Opportunity Framework)</w:t>
            </w:r>
          </w:p>
        </w:tc>
        <w:tc>
          <w:tcPr>
            <w:tcBorders>
              <w:top w:color="000000" w:space="0" w:sz="0" w:val="nil"/>
              <w:left w:color="000000" w:space="0" w:sz="0" w:val="nil"/>
              <w:bottom w:color="000000" w:space="0" w:sz="8" w:val="single"/>
              <w:right w:color="000000"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0"/>
                <w:szCs w:val="20"/>
              </w:rPr>
            </w:pPr>
            <w:r w:rsidDel="00000000" w:rsidR="00000000" w:rsidRPr="00000000">
              <w:rPr>
                <w:sz w:val="20"/>
                <w:szCs w:val="20"/>
                <w:rtl w:val="0"/>
              </w:rPr>
              <w:t xml:space="preserve">~39 Mha have been recognized as owned by IPLCs, representing 36% of the country’s total land area.</w:t>
            </w:r>
          </w:p>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(Sources: RRI. 2015. Who Owns the World's Land)</w:t>
            </w:r>
          </w:p>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According to </w:t>
            </w:r>
            <w:hyperlink r:id="rId7">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be4d5"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The current federal government is hostile toward initiatives to secure IPLC rights.</w:t>
            </w:r>
          </w:p>
          <w:p w:rsidR="00000000" w:rsidDel="00000000" w:rsidP="00000000" w:rsidRDefault="00000000" w:rsidRPr="00000000" w14:paraId="0000001B">
            <w:pPr>
              <w:spacing w:before="240" w:lineRule="auto"/>
              <w:rPr>
                <w:sz w:val="20"/>
                <w:szCs w:val="20"/>
              </w:rPr>
            </w:pPr>
            <w:r w:rsidDel="00000000" w:rsidR="00000000" w:rsidRPr="00000000">
              <w:rPr>
                <w:sz w:val="20"/>
                <w:szCs w:val="20"/>
                <w:rtl w:val="0"/>
              </w:rPr>
              <w:t xml:space="preserve">(Source RRI Opportunity Framework)</w:t>
            </w:r>
          </w:p>
          <w:p w:rsidR="00000000" w:rsidDel="00000000" w:rsidP="00000000" w:rsidRDefault="00000000" w:rsidRPr="00000000" w14:paraId="0000001C">
            <w:pPr>
              <w:spacing w:before="240" w:lineRule="auto"/>
              <w:rPr>
                <w:sz w:val="20"/>
                <w:szCs w:val="20"/>
              </w:rPr>
            </w:pPr>
            <w:r w:rsidDel="00000000" w:rsidR="00000000" w:rsidRPr="00000000">
              <w:rPr>
                <w:rtl w:val="0"/>
              </w:rPr>
            </w:r>
          </w:p>
        </w:tc>
      </w:tr>
      <w:tr>
        <w:trPr>
          <w:trHeight w:val="1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2"/>
              <w:spacing w:before="240" w:lineRule="auto"/>
              <w:rPr/>
            </w:pPr>
            <w:bookmarkStart w:colFirst="0" w:colLast="0" w:name="_weslvgzhekkw" w:id="1"/>
            <w:bookmarkEnd w:id="1"/>
            <w:r w:rsidDel="00000000" w:rsidR="00000000" w:rsidRPr="00000000">
              <w:rPr>
                <w:rtl w:val="0"/>
              </w:rPr>
              <w:t xml:space="preserve">Chile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rPr/>
            </w:pPr>
            <w:r w:rsidDel="00000000" w:rsidR="00000000" w:rsidRPr="00000000">
              <w:rPr>
                <w:rtl w:val="0"/>
              </w:rPr>
              <w:t xml:space="preserve">Chile’s legal framework recognizes some degree of IPLC ownership and control.</w:t>
            </w:r>
          </w:p>
          <w:p w:rsidR="00000000" w:rsidDel="00000000" w:rsidP="00000000" w:rsidRDefault="00000000" w:rsidRPr="00000000" w14:paraId="0000001F">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rPr/>
            </w:pPr>
            <w:r w:rsidDel="00000000" w:rsidR="00000000" w:rsidRPr="00000000">
              <w:rPr>
                <w:rtl w:val="0"/>
              </w:rPr>
              <w:t xml:space="preserve">~ 2.25  Mha have been recognized as owned by IPLCs, and another 0.06  MHa have been designated for IPLCs, in total representing 3 % of the country’s total land area. </w:t>
            </w:r>
          </w:p>
          <w:p w:rsidR="00000000" w:rsidDel="00000000" w:rsidP="00000000" w:rsidRDefault="00000000" w:rsidRPr="00000000" w14:paraId="00000021">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22">
            <w:pPr>
              <w:spacing w:before="240" w:lineRule="auto"/>
              <w:rPr/>
            </w:pPr>
            <w:r w:rsidDel="00000000" w:rsidR="00000000" w:rsidRPr="00000000">
              <w:rPr>
                <w:rtl w:val="0"/>
              </w:rPr>
              <w:t xml:space="preserve">According to </w:t>
            </w:r>
            <w:hyperlink r:id="rId8">
              <w:r w:rsidDel="00000000" w:rsidR="00000000" w:rsidRPr="00000000">
                <w:rPr>
                  <w:color w:val="1155cc"/>
                  <w:u w:val="single"/>
                  <w:rtl w:val="0"/>
                </w:rPr>
                <w:t xml:space="preserve">Landmark</w:t>
              </w:r>
            </w:hyperlink>
            <w:r w:rsidDel="00000000" w:rsidR="00000000" w:rsidRPr="00000000">
              <w:rPr>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No data. Refer to EOI.</w:t>
            </w:r>
          </w:p>
        </w:tc>
      </w:tr>
      <w:tr>
        <w:trPr>
          <w:trHeight w:val="1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before="240" w:lineRule="auto"/>
              <w:rPr/>
            </w:pPr>
            <w:bookmarkStart w:colFirst="0" w:colLast="0" w:name="_weslvgzhekkw" w:id="1"/>
            <w:bookmarkEnd w:id="1"/>
            <w:r w:rsidDel="00000000" w:rsidR="00000000" w:rsidRPr="00000000">
              <w:rPr>
                <w:rtl w:val="0"/>
              </w:rPr>
              <w:t xml:space="preserve">Paraguay</w:t>
            </w:r>
          </w:p>
        </w:tc>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0"/>
                <w:szCs w:val="20"/>
              </w:rPr>
            </w:pPr>
            <w:r w:rsidDel="00000000" w:rsidR="00000000" w:rsidRPr="00000000">
              <w:rPr>
                <w:sz w:val="20"/>
                <w:szCs w:val="20"/>
                <w:rtl w:val="0"/>
              </w:rPr>
              <w:t xml:space="preserve">No data. Refer to EOI</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rPr>
                <w:sz w:val="20"/>
                <w:szCs w:val="20"/>
              </w:rPr>
            </w:pPr>
            <w:r w:rsidDel="00000000" w:rsidR="00000000" w:rsidRPr="00000000">
              <w:rPr>
                <w:sz w:val="20"/>
                <w:szCs w:val="20"/>
                <w:rtl w:val="0"/>
              </w:rPr>
              <w:t xml:space="preserve">According to </w:t>
            </w:r>
            <w:hyperlink r:id="rId9">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there is no data on the total area recognized nor claimed by IPLCs.</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According to </w:t>
            </w:r>
            <w:hyperlink r:id="rId10">
              <w:r w:rsidDel="00000000" w:rsidR="00000000" w:rsidRPr="00000000">
                <w:rPr>
                  <w:color w:val="1155cc"/>
                  <w:sz w:val="20"/>
                  <w:szCs w:val="20"/>
                  <w:u w:val="single"/>
                  <w:rtl w:val="0"/>
                </w:rPr>
                <w:t xml:space="preserve">Landmark</w:t>
              </w:r>
            </w:hyperlink>
            <w:r w:rsidDel="00000000" w:rsidR="00000000" w:rsidRPr="00000000">
              <w:rPr>
                <w:sz w:val="20"/>
                <w:szCs w:val="20"/>
                <w:rtl w:val="0"/>
              </w:rPr>
              <w:t xml:space="preserve"> “Although Paraguay has ratified the main human rights instruments such as ILO convention 169 and the Inter-American Court ruled against Paraguay for the third time in 2010 demanding that the state adopt legislative, administrative and any other measures necessary to create an effective system for claiming the ancestral or traditional lands of the indigenous peoples, their land rights continues to be violated.”</w:t>
            </w:r>
          </w:p>
        </w:tc>
      </w:tr>
    </w:tbl>
    <w:p w:rsidR="00000000" w:rsidDel="00000000" w:rsidP="00000000" w:rsidRDefault="00000000" w:rsidRPr="00000000" w14:paraId="00000028">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9"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5" Type="http://schemas.openxmlformats.org/officeDocument/2006/relationships/styles" Target="styles.xml"/><Relationship Id="rId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7"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8"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