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Region: Mesoamérica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Countries included: Belize, Costa Rica, El Salvador, Guatemala, Honduras, México, Nicaragua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Key: 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data or not enough to justify </w:t>
      </w:r>
      <w:r w:rsidDel="00000000" w:rsidR="00000000" w:rsidRPr="00000000">
        <w:rPr>
          <w:sz w:val="20"/>
          <w:szCs w:val="20"/>
          <w:shd w:fill="d0cece" w:val="clear"/>
          <w:rtl w:val="0"/>
        </w:rPr>
        <w:t xml:space="preserve">Grey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shd w:fill="fbe4d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Adverse or hostile conditions for IPLCs in the country </w:t>
      </w:r>
      <w:r w:rsidDel="00000000" w:rsidR="00000000" w:rsidRPr="00000000">
        <w:rPr>
          <w:sz w:val="20"/>
          <w:szCs w:val="20"/>
          <w:shd w:fill="fbe4d5" w:val="clear"/>
          <w:rtl w:val="0"/>
        </w:rPr>
        <w:t xml:space="preserve">Red;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Limited/conflicting progress in achieving IPLC recognition, rights, and supporting legal frameworks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Yellow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legal frameworks, recognition, and willingness to support IPLC rights </w:t>
      </w:r>
      <w:r w:rsidDel="00000000" w:rsidR="00000000" w:rsidRPr="00000000">
        <w:rPr>
          <w:sz w:val="20"/>
          <w:szCs w:val="20"/>
          <w:shd w:fill="e2efd9" w:val="clear"/>
          <w:rtl w:val="0"/>
        </w:rPr>
        <w:t xml:space="preserve">Green.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tbl>
      <w:tblPr>
        <w:tblStyle w:val="Table1"/>
        <w:tblW w:w="12960.0" w:type="dxa"/>
        <w:jc w:val="left"/>
        <w:tblInd w:w="100.0" w:type="pct"/>
        <w:tblLayout w:type="fixed"/>
        <w:tblLook w:val="0600"/>
      </w:tblPr>
      <w:tblGrid>
        <w:gridCol w:w="1815"/>
        <w:gridCol w:w="3465"/>
        <w:gridCol w:w="4290"/>
        <w:gridCol w:w="3390"/>
        <w:tblGridChange w:id="0">
          <w:tblGrid>
            <w:gridCol w:w="1815"/>
            <w:gridCol w:w="3465"/>
            <w:gridCol w:w="4290"/>
            <w:gridCol w:w="3390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 Framework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Scale of Recognition vs actual IPLC governance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Government willingness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Belize (terrestrial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National Court has ruled in favor of the recognition of IPLC tenure.  Otherwise no data available - refer to EOIs.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available on the recognition of IPLC lands and waters in Belize, either through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 or RRI.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Landmark, substantial areas of the country are occupied by IPLCs.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Belize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rtl w:val="0"/>
              </w:rPr>
              <w:t xml:space="preserve"> there is a basis for co-management / governance of fisheries with IPLCs in Belize and property rights are held communally although further details about the management regimes are unavailable.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 the fisheries were reported as being under either 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Top-down governance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Co-management / co-governance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EOIs.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Costa Rica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Costa Rica’s legal framework appears to recognize Indigenous ownership of land under the Territorios Indigenas Tenure Regime.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0.33 Mha of lands have been recognized by the government as owned by IPLCs, representing 6.4% of the country’s total land area.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land)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Landmark</w:t>
              </w:r>
            </w:hyperlink>
            <w:r w:rsidDel="00000000" w:rsidR="00000000" w:rsidRPr="00000000">
              <w:rPr>
                <w:rtl w:val="0"/>
              </w:rPr>
              <w:t xml:space="preserve">, substantial areas of the country’s southeast and north are occupied by IPLCs - more than the level of government recognition seems to suggest. No specific data exists on total claims.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Costa Rica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El Salvador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However, according to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Landmark</w:t>
              </w:r>
            </w:hyperlink>
            <w:r w:rsidDel="00000000" w:rsidR="00000000" w:rsidRPr="00000000">
              <w:rPr>
                <w:rtl w:val="0"/>
              </w:rPr>
              <w:t xml:space="preserve">,There is a government effort to demarcate and title indigenous lands, but the reviewed literature did not provide estimates of the amount of land held and/or used by Indigenous peoples and communities in the country nor the type of recognition this confers.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El Salvador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Guatemala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Guatemala’s legal framework provides a basis for recognizing IPLC ownership or control (community concessions) of lands and forests. However, there are inadequate subordinate laws and regulations to meaningfully implement and secure these rights.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Opportunity Framework)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1.4 MHa have been recognized by the government as owned by IPLCs and another ~0.38 MHa are under community concessions.This represents 16% of the country’s total land area.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2015. Who Owns the World’s Lands?)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substantial areas of the country are occupied by IPLCs - much more than official recognition seems to suggest- but there is no specific data on total claims.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seems to be little political or administrative will at the national level to support the recognition of IPLC lands - with a strong favor for extractives. However, there is some interest at provincial level, as evidenced by the ongoing negotiations for renewal of community concessions in Peten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Opportunity Framework)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Guatemala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Honduras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Honduras’s legal framework provides a basis to recognize IPLC ownership (private tribal land and Miskito coastal communities) or control (forest management contracts and micro-watersheds) of lands and forests.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1.1 MHa have been recognized by the government as owned by IPLCs and another ~0.5 MHa are designated for IPLC communities. Together, this represents 14% of the country’s total land area.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Much of this recognition is found along the Miskito coast.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2015. Who Owns the World’s Lands?)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However, according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substantial areas of the country are occupied by IPLCs - much more than official recognition seems to suggest.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Honduras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- refer to EOIs.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México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México’s legal framework provides a strong foundation for the recognition of IPLC ownership of lands and forests (Ejidos and Communidades).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~101 MHa have been recognized by the government as owned by IPLCs.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reforms recognizing IPLC ownership of lands and forests stems from the 1920s - and virtually all claims appear to have been recognized by the government. 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Opportunity Framework)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appears to be strong political support for IPLC governance of lands and resources at the federal and sub-national levels.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 Opportunity Framework)</w:t>
            </w:r>
          </w:p>
        </w:tc>
      </w:tr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Mexico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rtl w:val="0"/>
              </w:rPr>
              <w:t xml:space="preserve"> there is a basis for co-management / governance of fisheries with IPLCs in Mexico although further details about the management regimes are unavailable.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rtl w:val="0"/>
              </w:rPr>
              <w:t xml:space="preserve"> the fisheries were reported as being under either 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Top-down governance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Co-management / co-governance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Community-based management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Self-management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is not clear if the self-governance and community based management have been recognized by the government.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</w:tr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Nicaragua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EOI. - There appears to be a legal framework for the recognition of IPLC lands or resources in Nicaragua, although no further details are available from the current sources on the type of recognition.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17 of the 23 indigenous and afro-descendant territories the Government engaged to title have been formally documented, totaling 2.25 Mha - 17.3% of the country land area.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Almost all recognition to date seems to have taken place in the north and southeast areas - especially along the Carribean coast.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Another 3.98 Mha are claimed by IPLCs but haven’t been recognized yet.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Nicaragua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Panama (terrestrial)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EOI. - There appears to be a legal framework for the recognition of IPLC lands or resources in Panama (Comarcas), although further details are needed on the type of recognition that confers.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the government has recognized 1.67 Mha as Comarcas, representing 22% of the country’s total land area.Most recognition appears to have taken place on the northeastern and north western coasts.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Another 0.65 Mha remains unrecognized.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spacing w:before="240" w:lineRule="auto"/>
              <w:rPr/>
            </w:pPr>
            <w:bookmarkStart w:colFirst="0" w:colLast="0" w:name="_b9suo1lr4k6" w:id="0"/>
            <w:bookmarkEnd w:id="0"/>
            <w:r w:rsidDel="00000000" w:rsidR="00000000" w:rsidRPr="00000000">
              <w:rPr>
                <w:rtl w:val="0"/>
              </w:rPr>
              <w:t xml:space="preserve">Panama (marine)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Too-Big to Ignore,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the only fishery management system identified was top-down / hierarchical governance. This does not mean that other governance forms are not available, only that the available data does not show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Too Big to Ignore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the only fisheries was reported as being under top-down governance, which excludes IPLCs. Other forms of governance may exist but were not reported.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 - refer to EOI.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0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3" Type="http://schemas.openxmlformats.org/officeDocument/2006/relationships/hyperlink" Target="https://issfcloud.toobigtoignore.net/" TargetMode="External"/><Relationship Id="rId12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5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4" Type="http://schemas.openxmlformats.org/officeDocument/2006/relationships/hyperlink" Target="https://issfcloud.toobigtoignore.net/" TargetMode="External"/><Relationship Id="rId17" Type="http://schemas.openxmlformats.org/officeDocument/2006/relationships/hyperlink" Target="https://issfcloud.toobigtoignore.net/" TargetMode="External"/><Relationship Id="rId1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8" Type="http://schemas.openxmlformats.org/officeDocument/2006/relationships/hyperlink" Target="https://issfcloud.toobigtoignore.net/" TargetMode="External"/><Relationship Id="rId7" Type="http://schemas.openxmlformats.org/officeDocument/2006/relationships/hyperlink" Target="https://issfcloud.toobigtoignore.net/" TargetMode="External"/><Relationship Id="rId8" Type="http://schemas.openxmlformats.org/officeDocument/2006/relationships/hyperlink" Target="https://issfcloud.toobigtoigno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