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0"/>
          <w:szCs w:val="20"/>
          <w:u w:val="single"/>
        </w:rPr>
      </w:pPr>
      <w:r w:rsidDel="00000000" w:rsidR="00000000" w:rsidRPr="00000000">
        <w:rPr>
          <w:b w:val="1"/>
          <w:sz w:val="20"/>
          <w:szCs w:val="20"/>
          <w:u w:val="single"/>
          <w:rtl w:val="0"/>
        </w:rPr>
        <w:t xml:space="preserve">Region: South East Asia (Islands)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Countries Include: Indonesia, Island Malaysia (Islands), Philippines, Timor-Leste</w:t>
      </w:r>
    </w:p>
    <w:p w:rsidR="00000000" w:rsidDel="00000000" w:rsidP="00000000" w:rsidRDefault="00000000" w:rsidRPr="00000000" w14:paraId="00000003">
      <w:pPr>
        <w:spacing w:after="240" w:before="240" w:lineRule="auto"/>
        <w:rPr>
          <w:b w:val="1"/>
          <w:sz w:val="20"/>
          <w:szCs w:val="20"/>
        </w:rPr>
      </w:pPr>
      <w:r w:rsidDel="00000000" w:rsidR="00000000" w:rsidRPr="00000000">
        <w:rPr>
          <w:b w:val="1"/>
          <w:sz w:val="20"/>
          <w:szCs w:val="20"/>
          <w:rtl w:val="0"/>
        </w:rPr>
        <w:t xml:space="preserve">Biodiversity and Global Environmental Benefits Regional Highlights:</w:t>
      </w:r>
    </w:p>
    <w:tbl>
      <w:tblPr>
        <w:tblStyle w:val="Table1"/>
        <w:tblW w:w="124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0650"/>
        <w:tblGridChange w:id="0">
          <w:tblGrid>
            <w:gridCol w:w="1770"/>
            <w:gridCol w:w="10650"/>
          </w:tblGrid>
        </w:tblGridChange>
      </w:tblGrid>
      <w:tr>
        <w:trPr>
          <w:trHeight w:val="37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before="240" w:lineRule="auto"/>
              <w:rPr>
                <w:sz w:val="20"/>
                <w:szCs w:val="20"/>
              </w:rPr>
            </w:pPr>
            <w:r w:rsidDel="00000000" w:rsidR="00000000" w:rsidRPr="00000000">
              <w:rPr>
                <w:sz w:val="20"/>
                <w:szCs w:val="20"/>
                <w:rtl w:val="0"/>
              </w:rPr>
              <w:t xml:space="preserve"> Country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Rule="auto"/>
              <w:rPr>
                <w:sz w:val="20"/>
                <w:szCs w:val="20"/>
              </w:rPr>
            </w:pPr>
            <w:r w:rsidDel="00000000" w:rsidR="00000000" w:rsidRPr="00000000">
              <w:rPr>
                <w:sz w:val="20"/>
                <w:szCs w:val="20"/>
                <w:rtl w:val="0"/>
              </w:rPr>
              <w:t xml:space="preserve">Country-level biodiversity significance</w:t>
            </w:r>
          </w:p>
        </w:tc>
      </w:tr>
      <w:tr>
        <w:trPr>
          <w:trHeight w:val="27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pStyle w:val="Heading2"/>
              <w:spacing w:before="240" w:lineRule="auto"/>
              <w:rPr/>
            </w:pPr>
            <w:bookmarkStart w:colFirst="0" w:colLast="0" w:name="_mpka3oe0i91l" w:id="0"/>
            <w:bookmarkEnd w:id="0"/>
            <w:r w:rsidDel="00000000" w:rsidR="00000000" w:rsidRPr="00000000">
              <w:rPr>
                <w:rtl w:val="0"/>
              </w:rPr>
              <w:t xml:space="preserve">Indonesia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Indonesia is an archipelago which comprises over 17,000 islands, and 7 major biogeographic regions. Indonesia is considered one of the world’s megadiverse countries, with two of the world’s hotspots: the Wallacea and Sundaland Biodiversity Hotspot.</w:t>
            </w:r>
            <w:r w:rsidDel="00000000" w:rsidR="00000000" w:rsidRPr="00000000">
              <w:rPr>
                <w:sz w:val="20"/>
                <w:szCs w:val="20"/>
                <w:vertAlign w:val="superscript"/>
              </w:rPr>
              <w:footnoteReference w:customMarkFollows="0" w:id="0"/>
            </w:r>
            <w:r w:rsidDel="00000000" w:rsidR="00000000" w:rsidRPr="00000000">
              <w:rPr>
                <w:sz w:val="20"/>
                <w:szCs w:val="20"/>
                <w:rtl w:val="0"/>
              </w:rPr>
              <w:t xml:space="preserve"> A significant proportion of Indonesia’s population is dependent on the country’s coastal ecosystem services, particularly the mangroves, coral reef, and sea grass plain. </w:t>
            </w:r>
          </w:p>
          <w:p w:rsidR="00000000" w:rsidDel="00000000" w:rsidP="00000000" w:rsidRDefault="00000000" w:rsidRPr="00000000" w14:paraId="0000000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Indonesia's ecosystems, which are found throughout the archipelago. </w:t>
            </w:r>
            <w:r w:rsidDel="00000000" w:rsidR="00000000" w:rsidRPr="00000000">
              <w:rPr>
                <w:sz w:val="20"/>
                <w:szCs w:val="20"/>
                <w:highlight w:val="white"/>
                <w:rtl w:val="0"/>
              </w:rPr>
              <w:t xml:space="preserve">This distribution is matched in the geographic scope of species range-size rarity—relative to the global average coverage, Indonesia is among the homogeneously critical countries.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24.92 to 44 percent, respectively.  Large KBAs outside of/or partially within Protected Areas (PAs) clustered in Sumatra, Kalimantan, Papua, and Sulawesi, particularly Maputo and Gaza Province and include: </w:t>
            </w:r>
            <w:hyperlink r:id="rId7">
              <w:r w:rsidDel="00000000" w:rsidR="00000000" w:rsidRPr="00000000">
                <w:rPr>
                  <w:color w:val="1155cc"/>
                  <w:sz w:val="20"/>
                  <w:szCs w:val="20"/>
                  <w:highlight w:val="white"/>
                  <w:u w:val="single"/>
                  <w:rtl w:val="0"/>
                </w:rPr>
                <w:t xml:space="preserve">Rawa di Pesisir Kapuas</w:t>
              </w:r>
            </w:hyperlink>
            <w:r w:rsidDel="00000000" w:rsidR="00000000" w:rsidRPr="00000000">
              <w:rPr>
                <w:sz w:val="20"/>
                <w:szCs w:val="20"/>
                <w:highlight w:val="white"/>
                <w:rtl w:val="0"/>
              </w:rPr>
              <w:t xml:space="preserve">, </w:t>
            </w:r>
            <w:hyperlink r:id="rId8">
              <w:r w:rsidDel="00000000" w:rsidR="00000000" w:rsidRPr="00000000">
                <w:rPr>
                  <w:color w:val="1155cc"/>
                  <w:sz w:val="20"/>
                  <w:szCs w:val="20"/>
                  <w:highlight w:val="white"/>
                  <w:u w:val="single"/>
                  <w:rtl w:val="0"/>
                </w:rPr>
                <w:t xml:space="preserve">Pulau Nias</w:t>
              </w:r>
            </w:hyperlink>
            <w:r w:rsidDel="00000000" w:rsidR="00000000" w:rsidRPr="00000000">
              <w:rPr>
                <w:sz w:val="20"/>
                <w:szCs w:val="20"/>
                <w:highlight w:val="white"/>
                <w:rtl w:val="0"/>
              </w:rPr>
              <w:t xml:space="preserve">, </w:t>
            </w:r>
            <w:hyperlink r:id="rId9">
              <w:r w:rsidDel="00000000" w:rsidR="00000000" w:rsidRPr="00000000">
                <w:rPr>
                  <w:color w:val="1155cc"/>
                  <w:sz w:val="20"/>
                  <w:szCs w:val="20"/>
                  <w:highlight w:val="white"/>
                  <w:u w:val="single"/>
                  <w:rtl w:val="0"/>
                </w:rPr>
                <w:t xml:space="preserve">Kepulauan Selayar</w:t>
              </w:r>
            </w:hyperlink>
            <w:r w:rsidDel="00000000" w:rsidR="00000000" w:rsidRPr="00000000">
              <w:rPr>
                <w:sz w:val="20"/>
                <w:szCs w:val="20"/>
                <w:highlight w:val="white"/>
                <w:rtl w:val="0"/>
              </w:rPr>
              <w:t xml:space="preserve">, </w:t>
            </w:r>
            <w:hyperlink r:id="rId10">
              <w:r w:rsidDel="00000000" w:rsidR="00000000" w:rsidRPr="00000000">
                <w:rPr>
                  <w:color w:val="1155cc"/>
                  <w:sz w:val="20"/>
                  <w:szCs w:val="20"/>
                  <w:highlight w:val="white"/>
                  <w:u w:val="single"/>
                  <w:rtl w:val="0"/>
                </w:rPr>
                <w:t xml:space="preserve">Kawaluso</w:t>
              </w:r>
            </w:hyperlink>
            <w:r w:rsidDel="00000000" w:rsidR="00000000" w:rsidRPr="00000000">
              <w:rPr>
                <w:sz w:val="20"/>
                <w:szCs w:val="20"/>
                <w:highlight w:val="white"/>
                <w:rtl w:val="0"/>
              </w:rPr>
              <w:t xml:space="preserve">, </w:t>
            </w:r>
            <w:hyperlink r:id="rId11">
              <w:r w:rsidDel="00000000" w:rsidR="00000000" w:rsidRPr="00000000">
                <w:rPr>
                  <w:color w:val="1155cc"/>
                  <w:sz w:val="20"/>
                  <w:szCs w:val="20"/>
                  <w:highlight w:val="white"/>
                  <w:u w:val="single"/>
                  <w:rtl w:val="0"/>
                </w:rPr>
                <w:t xml:space="preserve">Wapoga</w:t>
              </w:r>
            </w:hyperlink>
            <w:r w:rsidDel="00000000" w:rsidR="00000000" w:rsidRPr="00000000">
              <w:rPr>
                <w:sz w:val="20"/>
                <w:szCs w:val="20"/>
                <w:highlight w:val="white"/>
                <w:rtl w:val="0"/>
              </w:rPr>
              <w:t xml:space="preserve">, </w:t>
            </w:r>
            <w:hyperlink r:id="rId12">
              <w:r w:rsidDel="00000000" w:rsidR="00000000" w:rsidRPr="00000000">
                <w:rPr>
                  <w:color w:val="1155cc"/>
                  <w:sz w:val="20"/>
                  <w:szCs w:val="20"/>
                  <w:highlight w:val="white"/>
                  <w:u w:val="single"/>
                  <w:rtl w:val="0"/>
                </w:rPr>
                <w:t xml:space="preserve">Bumi - Tobo - Sirwo</w:t>
              </w:r>
            </w:hyperlink>
            <w:r w:rsidDel="00000000" w:rsidR="00000000" w:rsidRPr="00000000">
              <w:rPr>
                <w:sz w:val="20"/>
                <w:szCs w:val="20"/>
                <w:highlight w:val="white"/>
                <w:rtl w:val="0"/>
              </w:rPr>
              <w:t xml:space="preserve">, and the </w:t>
            </w:r>
            <w:hyperlink r:id="rId13">
              <w:r w:rsidDel="00000000" w:rsidR="00000000" w:rsidRPr="00000000">
                <w:rPr>
                  <w:color w:val="1155cc"/>
                  <w:sz w:val="20"/>
                  <w:szCs w:val="20"/>
                  <w:highlight w:val="white"/>
                  <w:u w:val="single"/>
                  <w:rtl w:val="0"/>
                </w:rPr>
                <w:t xml:space="preserve">Hose-Laga mountains</w:t>
              </w:r>
            </w:hyperlink>
            <w:r w:rsidDel="00000000" w:rsidR="00000000" w:rsidRPr="00000000">
              <w:rPr>
                <w:sz w:val="20"/>
                <w:szCs w:val="20"/>
                <w:highlight w:val="white"/>
                <w:rtl w:val="0"/>
              </w:rPr>
              <w:t xml:space="preserve">. PA protection of KBAs has risen from 2000, from 18.77 percent. </w:t>
            </w:r>
          </w:p>
          <w:p w:rsidR="00000000" w:rsidDel="00000000" w:rsidP="00000000" w:rsidRDefault="00000000" w:rsidRPr="00000000" w14:paraId="0000000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Mapping efforts by AMAN’s membership are found </w:t>
            </w:r>
            <w:hyperlink r:id="rId14">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 with </w:t>
            </w:r>
            <w:r w:rsidDel="00000000" w:rsidR="00000000" w:rsidRPr="00000000">
              <w:rPr>
                <w:sz w:val="20"/>
                <w:szCs w:val="20"/>
                <w:highlight w:val="white"/>
                <w:rtl w:val="0"/>
              </w:rPr>
              <w:t xml:space="preserve">BRWA’s</w:t>
            </w:r>
            <w:r w:rsidDel="00000000" w:rsidR="00000000" w:rsidRPr="00000000">
              <w:rPr>
                <w:sz w:val="20"/>
                <w:szCs w:val="20"/>
                <w:highlight w:val="white"/>
                <w:rtl w:val="0"/>
              </w:rPr>
              <w:t xml:space="preserve"> ancestral lands database </w:t>
            </w:r>
            <w:hyperlink r:id="rId15">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r w:rsidDel="00000000" w:rsidR="00000000" w:rsidRPr="00000000">
              <w:rPr>
                <w:sz w:val="20"/>
                <w:szCs w:val="20"/>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0B">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Coral Triangle Initiative has a </w:t>
            </w:r>
            <w:hyperlink r:id="rId16">
              <w:r w:rsidDel="00000000" w:rsidR="00000000" w:rsidRPr="00000000">
                <w:rPr>
                  <w:color w:val="1155cc"/>
                  <w:sz w:val="20"/>
                  <w:szCs w:val="20"/>
                  <w:highlight w:val="white"/>
                  <w:u w:val="single"/>
                  <w:rtl w:val="0"/>
                </w:rPr>
                <w:t xml:space="preserve">marine biodiversity conservation prioritization</w:t>
              </w:r>
            </w:hyperlink>
            <w:r w:rsidDel="00000000" w:rsidR="00000000" w:rsidRPr="00000000">
              <w:rPr>
                <w:sz w:val="20"/>
                <w:szCs w:val="20"/>
                <w:highlight w:val="white"/>
                <w:rtl w:val="0"/>
              </w:rPr>
              <w:t xml:space="preserve"> map, and academic studies have investigated </w:t>
            </w:r>
            <w:hyperlink r:id="rId17">
              <w:r w:rsidDel="00000000" w:rsidR="00000000" w:rsidRPr="00000000">
                <w:rPr>
                  <w:color w:val="1155cc"/>
                  <w:sz w:val="20"/>
                  <w:szCs w:val="20"/>
                  <w:highlight w:val="white"/>
                  <w:u w:val="single"/>
                  <w:rtl w:val="0"/>
                </w:rPr>
                <w:t xml:space="preserve">participatory mapping in conservation planning in Jor Bay, Indonesia</w:t>
              </w:r>
            </w:hyperlink>
            <w:r w:rsidDel="00000000" w:rsidR="00000000" w:rsidRPr="00000000">
              <w:rPr>
                <w:sz w:val="20"/>
                <w:szCs w:val="20"/>
                <w:highlight w:val="white"/>
                <w:rtl w:val="0"/>
              </w:rPr>
              <w:t xml:space="preserve">, among other regions.</w:t>
            </w:r>
          </w:p>
          <w:p w:rsidR="00000000" w:rsidDel="00000000" w:rsidP="00000000" w:rsidRDefault="00000000" w:rsidRPr="00000000" w14:paraId="0000000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Prioritization mapping efforts of the Wallacea  Biodiversity Hotspot, conducted by CEPF have extensively profiled KBAs by irreplaceability, vulnerability, as well as climate risk, Indigenous and local community capacity, and funding as of 2014.</w:t>
            </w:r>
            <w:r w:rsidDel="00000000" w:rsidR="00000000" w:rsidRPr="00000000">
              <w:rPr>
                <w:sz w:val="20"/>
                <w:szCs w:val="20"/>
                <w:highlight w:val="white"/>
                <w:vertAlign w:val="superscript"/>
              </w:rPr>
              <w:footnoteReference w:customMarkFollows="0" w:id="2"/>
            </w:r>
            <w:r w:rsidDel="00000000" w:rsidR="00000000" w:rsidRPr="00000000">
              <w:rPr>
                <w:sz w:val="20"/>
                <w:szCs w:val="20"/>
                <w:highlight w:val="white"/>
                <w:rtl w:val="0"/>
              </w:rPr>
              <w:t xml:space="preserve">    </w:t>
            </w:r>
          </w:p>
          <w:p w:rsidR="00000000" w:rsidDel="00000000" w:rsidP="00000000" w:rsidRDefault="00000000" w:rsidRPr="00000000" w14:paraId="0000000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 the dated CEPF document for the Sundaland hotspot, the authors prioritized Sumatra, as it holds the highest levels of biodiversity under the most severe threat. In the years that followed this prediction of loss of habitats and species has continued.</w:t>
            </w:r>
            <w:r w:rsidDel="00000000" w:rsidR="00000000" w:rsidRPr="00000000">
              <w:rPr>
                <w:sz w:val="20"/>
                <w:szCs w:val="20"/>
                <w:highlight w:val="white"/>
                <w:vertAlign w:val="superscript"/>
              </w:rPr>
              <w:footnoteReference w:customMarkFollows="0" w:id="3"/>
            </w:r>
            <w:r w:rsidDel="00000000" w:rsidR="00000000" w:rsidRPr="00000000">
              <w:rPr>
                <w:sz w:val="20"/>
                <w:szCs w:val="20"/>
                <w:highlight w:val="white"/>
                <w:rtl w:val="0"/>
              </w:rPr>
              <w:t xml:space="preserve"> </w:t>
            </w:r>
          </w:p>
          <w:p w:rsidR="00000000" w:rsidDel="00000000" w:rsidP="00000000" w:rsidRDefault="00000000" w:rsidRPr="00000000" w14:paraId="0000000E">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relatively high throughout the country, with key concentrations in Kalimantan, and Papua.</w:t>
            </w:r>
          </w:p>
          <w:p w:rsidR="00000000" w:rsidDel="00000000" w:rsidP="00000000" w:rsidRDefault="00000000" w:rsidRPr="00000000" w14:paraId="0000000F">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- 100Mha; Agriculture - 67.1Mha; Wetland - 15.9Mha; Water - 2.55Mha; and Sparse vegetation - 1.93Mha. This however, is not disaggregated by primary or natural forests, of which FAO produced estimates in 2015 as: Naturally Regenerated Forest - 40.0Mha; Primary Forest - 46.0Mha; Planted Forest - 4.95Mha.</w:t>
            </w:r>
            <w:r w:rsidDel="00000000" w:rsidR="00000000" w:rsidRPr="00000000">
              <w:rPr>
                <w:sz w:val="20"/>
                <w:szCs w:val="20"/>
                <w:highlight w:val="white"/>
                <w:vertAlign w:val="superscript"/>
              </w:rPr>
              <w:footnoteReference w:customMarkFollows="0" w:id="4"/>
            </w:r>
            <w:r w:rsidDel="00000000" w:rsidR="00000000" w:rsidRPr="00000000">
              <w:rPr>
                <w:rtl w:val="0"/>
              </w:rPr>
            </w:r>
          </w:p>
          <w:p w:rsidR="00000000" w:rsidDel="00000000" w:rsidP="00000000" w:rsidRDefault="00000000" w:rsidRPr="00000000" w14:paraId="00000010">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Indonesia has 7 ramsar sites with additional context </w:t>
            </w:r>
            <w:hyperlink r:id="rId18">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1">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Indonesia is below the global average in ocean health, with large gaps in sustainable food provision, and moderate deficiencies in artisanal fishing opportunities, coastal livelihoods and economies, and clean waters.</w:t>
            </w:r>
            <w:r w:rsidDel="00000000" w:rsidR="00000000" w:rsidRPr="00000000">
              <w:rPr>
                <w:rtl w:val="0"/>
              </w:rPr>
            </w:r>
          </w:p>
        </w:tc>
      </w:tr>
      <w:tr>
        <w:trPr>
          <w:trHeight w:val="31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Style w:val="Heading2"/>
              <w:spacing w:before="240" w:lineRule="auto"/>
              <w:rPr/>
            </w:pPr>
            <w:bookmarkStart w:colFirst="0" w:colLast="0" w:name="_wpmdrhybn5uk" w:id="1"/>
            <w:bookmarkEnd w:id="1"/>
            <w:r w:rsidDel="00000000" w:rsidR="00000000" w:rsidRPr="00000000">
              <w:rPr>
                <w:rtl w:val="0"/>
              </w:rPr>
              <w:t xml:space="preserve">Malaysia (Islands)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Malaysia is one of the world’s megadiverse countries, with equal importance of its terrestrial and marine habitats. Due to a strong commitment by the national government at Rio in 1992, Malaysia’s forest cover remains high, covering over 50 percent of land area. Hill and montane forests have a high level of endemism, which rises with altitude. Malaysia’s tropical peatlands are a highly vulnerable category of wetland, and provide significant ecosystem services from carbon storage to fish provision for local communities.</w:t>
            </w:r>
            <w:r w:rsidDel="00000000" w:rsidR="00000000" w:rsidRPr="00000000">
              <w:rPr>
                <w:sz w:val="20"/>
                <w:szCs w:val="20"/>
                <w:vertAlign w:val="superscript"/>
              </w:rPr>
              <w:footnoteReference w:customMarkFollows="0" w:id="5"/>
            </w:r>
            <w:r w:rsidDel="00000000" w:rsidR="00000000" w:rsidRPr="00000000">
              <w:rPr>
                <w:sz w:val="20"/>
                <w:szCs w:val="20"/>
                <w:rtl w:val="0"/>
              </w:rPr>
              <w:t xml:space="preserve"> </w:t>
            </w:r>
          </w:p>
          <w:p w:rsidR="00000000" w:rsidDel="00000000" w:rsidP="00000000" w:rsidRDefault="00000000" w:rsidRPr="00000000" w14:paraId="00000014">
            <w:pPr>
              <w:numPr>
                <w:ilvl w:val="0"/>
                <w:numId w:val="2"/>
              </w:numPr>
              <w:spacing w:after="0" w:afterAutospacing="0" w:before="0" w:beforeAutospacing="0" w:lineRule="auto"/>
              <w:ind w:left="720" w:hanging="360"/>
              <w:rPr>
                <w:sz w:val="20"/>
                <w:szCs w:val="20"/>
              </w:rPr>
            </w:pPr>
            <w:r w:rsidDel="00000000" w:rsidR="00000000" w:rsidRPr="00000000">
              <w:rPr>
                <w:sz w:val="20"/>
                <w:szCs w:val="20"/>
                <w:rtl w:val="0"/>
              </w:rPr>
              <w:t xml:space="preserve">Malaysia’s coastal regions are dominated by mangroves, which cover 544 kHa of Malaysia’s Exclusive Economic Zone (EEZ). Also within the EEZ, is the Coral Triangle area, which has the greatest concentration of marine biodiversity in the world. Malaysia’s coral reefs are predominantly located along the east coast of Peninsular Malaysia, Sabah, and Sarawalk. Valuation of the ecosystem services of these reefs were estimated in 2014 at $45B/yr.</w:t>
            </w:r>
            <w:r w:rsidDel="00000000" w:rsidR="00000000" w:rsidRPr="00000000">
              <w:rPr>
                <w:sz w:val="20"/>
                <w:szCs w:val="20"/>
                <w:vertAlign w:val="superscript"/>
              </w:rPr>
              <w:footnoteReference w:customMarkFollows="0" w:id="6"/>
            </w:r>
            <w:r w:rsidDel="00000000" w:rsidR="00000000" w:rsidRPr="00000000">
              <w:rPr>
                <w:sz w:val="20"/>
                <w:szCs w:val="20"/>
                <w:rtl w:val="0"/>
              </w:rPr>
              <w:t xml:space="preserve"> </w:t>
            </w:r>
          </w:p>
          <w:p w:rsidR="00000000" w:rsidDel="00000000" w:rsidP="00000000" w:rsidRDefault="00000000" w:rsidRPr="00000000" w14:paraId="0000001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There are a number of endemic species to Malaysia's ecosystems, which are found predominantly in Western Peninsular Malaysia (Perak, Selangor, and Negeri Sembilan States) and in Island Malaysia (Northern Sarawak and Northern Sabah). </w:t>
            </w:r>
            <w:r w:rsidDel="00000000" w:rsidR="00000000" w:rsidRPr="00000000">
              <w:rPr>
                <w:sz w:val="20"/>
                <w:szCs w:val="20"/>
                <w:highlight w:val="white"/>
                <w:rtl w:val="0"/>
              </w:rPr>
              <w:t xml:space="preserve">This distribution is matched in the geographic scope of species range-size rarity—relative to Peninsular and Island Malaysia, the States of Sarawak and Sabah have a higher concentration of important ranges.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37.08 to 44 percent, respectively. Large KBAs outside of/or partially within Protected Areas (PAs) are clustered in Southern Sarawak and Peninsular Malaysia and include: </w:t>
            </w:r>
            <w:hyperlink r:id="rId19">
              <w:r w:rsidDel="00000000" w:rsidR="00000000" w:rsidRPr="00000000">
                <w:rPr>
                  <w:color w:val="1155cc"/>
                  <w:sz w:val="20"/>
                  <w:szCs w:val="20"/>
                  <w:highlight w:val="white"/>
                  <w:u w:val="single"/>
                  <w:rtl w:val="0"/>
                </w:rPr>
                <w:t xml:space="preserve">Kelabit Highlands</w:t>
              </w:r>
            </w:hyperlink>
            <w:r w:rsidDel="00000000" w:rsidR="00000000" w:rsidRPr="00000000">
              <w:rPr>
                <w:sz w:val="20"/>
                <w:szCs w:val="20"/>
                <w:highlight w:val="white"/>
                <w:rtl w:val="0"/>
              </w:rPr>
              <w:t xml:space="preserve">, </w:t>
            </w:r>
            <w:hyperlink r:id="rId20">
              <w:r w:rsidDel="00000000" w:rsidR="00000000" w:rsidRPr="00000000">
                <w:rPr>
                  <w:color w:val="1155cc"/>
                  <w:sz w:val="20"/>
                  <w:szCs w:val="20"/>
                  <w:highlight w:val="white"/>
                  <w:u w:val="single"/>
                  <w:rtl w:val="0"/>
                </w:rPr>
                <w:t xml:space="preserve">Hose-Laga mountains</w:t>
              </w:r>
            </w:hyperlink>
            <w:r w:rsidDel="00000000" w:rsidR="00000000" w:rsidRPr="00000000">
              <w:rPr>
                <w:sz w:val="20"/>
                <w:szCs w:val="20"/>
                <w:highlight w:val="white"/>
                <w:rtl w:val="0"/>
              </w:rPr>
              <w:t xml:space="preserve">, </w:t>
            </w:r>
            <w:hyperlink r:id="rId21">
              <w:r w:rsidDel="00000000" w:rsidR="00000000" w:rsidRPr="00000000">
                <w:rPr>
                  <w:color w:val="1155cc"/>
                  <w:sz w:val="20"/>
                  <w:szCs w:val="20"/>
                  <w:highlight w:val="white"/>
                  <w:u w:val="single"/>
                  <w:rtl w:val="0"/>
                </w:rPr>
                <w:t xml:space="preserve">South-East Pahang peat swamp forest</w:t>
              </w:r>
            </w:hyperlink>
            <w:r w:rsidDel="00000000" w:rsidR="00000000" w:rsidRPr="00000000">
              <w:rPr>
                <w:sz w:val="20"/>
                <w:szCs w:val="20"/>
                <w:highlight w:val="white"/>
                <w:rtl w:val="0"/>
              </w:rPr>
              <w:t xml:space="preserve">, </w:t>
            </w:r>
            <w:hyperlink r:id="rId22">
              <w:r w:rsidDel="00000000" w:rsidR="00000000" w:rsidRPr="00000000">
                <w:rPr>
                  <w:color w:val="1155cc"/>
                  <w:sz w:val="20"/>
                  <w:szCs w:val="20"/>
                  <w:highlight w:val="white"/>
                  <w:u w:val="single"/>
                  <w:rtl w:val="0"/>
                </w:rPr>
                <w:t xml:space="preserve">Belum-Temenggor</w:t>
              </w:r>
            </w:hyperlink>
            <w:r w:rsidDel="00000000" w:rsidR="00000000" w:rsidRPr="00000000">
              <w:rPr>
                <w:sz w:val="20"/>
                <w:szCs w:val="20"/>
                <w:highlight w:val="white"/>
                <w:rtl w:val="0"/>
              </w:rPr>
              <w:t xml:space="preserve">, </w:t>
            </w:r>
            <w:hyperlink r:id="rId23">
              <w:r w:rsidDel="00000000" w:rsidR="00000000" w:rsidRPr="00000000">
                <w:rPr>
                  <w:color w:val="1155cc"/>
                  <w:sz w:val="20"/>
                  <w:szCs w:val="20"/>
                  <w:highlight w:val="white"/>
                  <w:u w:val="single"/>
                  <w:rtl w:val="0"/>
                </w:rPr>
                <w:t xml:space="preserve">Bintang Range</w:t>
              </w:r>
            </w:hyperlink>
            <w:r w:rsidDel="00000000" w:rsidR="00000000" w:rsidRPr="00000000">
              <w:rPr>
                <w:sz w:val="20"/>
                <w:szCs w:val="20"/>
                <w:highlight w:val="white"/>
                <w:rtl w:val="0"/>
              </w:rPr>
              <w:t xml:space="preserve">, and </w:t>
            </w:r>
            <w:hyperlink r:id="rId24">
              <w:r w:rsidDel="00000000" w:rsidR="00000000" w:rsidRPr="00000000">
                <w:rPr>
                  <w:color w:val="1155cc"/>
                  <w:sz w:val="20"/>
                  <w:szCs w:val="20"/>
                  <w:highlight w:val="white"/>
                  <w:u w:val="single"/>
                  <w:rtl w:val="0"/>
                </w:rPr>
                <w:t xml:space="preserve">Ulu Muda</w:t>
              </w:r>
            </w:hyperlink>
            <w:r w:rsidDel="00000000" w:rsidR="00000000" w:rsidRPr="00000000">
              <w:rPr>
                <w:sz w:val="20"/>
                <w:szCs w:val="20"/>
                <w:highlight w:val="white"/>
                <w:rtl w:val="0"/>
              </w:rPr>
              <w:t xml:space="preserve">. PA protection of KBAs has risen from 2000, from 36.55 percent. </w:t>
            </w:r>
          </w:p>
          <w:p w:rsidR="00000000" w:rsidDel="00000000" w:rsidP="00000000" w:rsidRDefault="00000000" w:rsidRPr="00000000" w14:paraId="0000001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PACOS Trust has ongoing projects with Indigenous or local communities in Gana village, Kota Marudu; Wasai village, Tamparuli; Kipouvo village, Penampang; Kipouvo village, Penampang; Kibunut village, Penampang; and Togudon village, Penampang.</w:t>
            </w:r>
            <w:r w:rsidDel="00000000" w:rsidR="00000000" w:rsidRPr="00000000">
              <w:rPr>
                <w:sz w:val="20"/>
                <w:szCs w:val="20"/>
                <w:highlight w:val="white"/>
                <w:vertAlign w:val="superscript"/>
              </w:rPr>
              <w:footnoteReference w:customMarkFollows="0" w:id="7"/>
            </w:r>
            <w:r w:rsidDel="00000000" w:rsidR="00000000" w:rsidRPr="00000000">
              <w:rPr>
                <w:rtl w:val="0"/>
              </w:rPr>
            </w:r>
          </w:p>
          <w:p w:rsidR="00000000" w:rsidDel="00000000" w:rsidP="00000000" w:rsidRDefault="00000000" w:rsidRPr="00000000" w14:paraId="0000001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studies include a dated </w:t>
            </w:r>
            <w:hyperlink r:id="rId25">
              <w:r w:rsidDel="00000000" w:rsidR="00000000" w:rsidRPr="00000000">
                <w:rPr>
                  <w:color w:val="1155cc"/>
                  <w:sz w:val="20"/>
                  <w:szCs w:val="20"/>
                  <w:highlight w:val="white"/>
                  <w:u w:val="single"/>
                  <w:rtl w:val="0"/>
                </w:rPr>
                <w:t xml:space="preserve">multi-criteria decision making case study in Sabah</w:t>
              </w:r>
            </w:hyperlink>
            <w:r w:rsidDel="00000000" w:rsidR="00000000" w:rsidRPr="00000000">
              <w:rPr>
                <w:sz w:val="20"/>
                <w:szCs w:val="20"/>
                <w:highlight w:val="white"/>
                <w:rtl w:val="0"/>
              </w:rPr>
              <w:t xml:space="preserve"> and recent </w:t>
            </w:r>
            <w:hyperlink r:id="rId26">
              <w:r w:rsidDel="00000000" w:rsidR="00000000" w:rsidRPr="00000000">
                <w:rPr>
                  <w:color w:val="1155cc"/>
                  <w:sz w:val="20"/>
                  <w:szCs w:val="20"/>
                  <w:highlight w:val="white"/>
                  <w:u w:val="single"/>
                  <w:rtl w:val="0"/>
                </w:rPr>
                <w:t xml:space="preserve">mapping research agendas for tropical peatland management</w:t>
              </w:r>
            </w:hyperlink>
            <w:r w:rsidDel="00000000" w:rsidR="00000000" w:rsidRPr="00000000">
              <w:rPr>
                <w:sz w:val="20"/>
                <w:szCs w:val="20"/>
                <w:highlight w:val="white"/>
                <w:rtl w:val="0"/>
              </w:rPr>
              <w:t xml:space="preserve">.</w:t>
            </w:r>
          </w:p>
          <w:p w:rsidR="00000000" w:rsidDel="00000000" w:rsidP="00000000" w:rsidRDefault="00000000" w:rsidRPr="00000000" w14:paraId="00000019">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Coral Triangle Initiative has a </w:t>
            </w:r>
            <w:hyperlink r:id="rId27">
              <w:r w:rsidDel="00000000" w:rsidR="00000000" w:rsidRPr="00000000">
                <w:rPr>
                  <w:color w:val="1155cc"/>
                  <w:sz w:val="20"/>
                  <w:szCs w:val="20"/>
                  <w:highlight w:val="white"/>
                  <w:u w:val="single"/>
                  <w:rtl w:val="0"/>
                </w:rPr>
                <w:t xml:space="preserve">marine biodiversity conservation prioritization</w:t>
              </w:r>
            </w:hyperlink>
            <w:r w:rsidDel="00000000" w:rsidR="00000000" w:rsidRPr="00000000">
              <w:rPr>
                <w:sz w:val="20"/>
                <w:szCs w:val="20"/>
                <w:highlight w:val="white"/>
                <w:rtl w:val="0"/>
              </w:rPr>
              <w:t xml:space="preserve"> map, which includes limited prioritization of Island Malaysia. In 2018 WWF produced a </w:t>
            </w:r>
            <w:hyperlink r:id="rId28">
              <w:r w:rsidDel="00000000" w:rsidR="00000000" w:rsidRPr="00000000">
                <w:rPr>
                  <w:color w:val="1155cc"/>
                  <w:sz w:val="20"/>
                  <w:szCs w:val="20"/>
                  <w:highlight w:val="white"/>
                  <w:u w:val="single"/>
                  <w:rtl w:val="0"/>
                </w:rPr>
                <w:t xml:space="preserve">marine priority conservation area mapping report</w:t>
              </w:r>
            </w:hyperlink>
            <w:r w:rsidDel="00000000" w:rsidR="00000000" w:rsidRPr="00000000">
              <w:rPr>
                <w:sz w:val="20"/>
                <w:szCs w:val="20"/>
                <w:highlight w:val="white"/>
                <w:rtl w:val="0"/>
              </w:rPr>
              <w:t xml:space="preserve"> for Island Malaysia, considering climate change mainstreaming, proactive engagement with state authority, and community conservation efforts.</w:t>
            </w:r>
          </w:p>
          <w:p w:rsidR="00000000" w:rsidDel="00000000" w:rsidP="00000000" w:rsidRDefault="00000000" w:rsidRPr="00000000" w14:paraId="0000001A">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CEPF document for the Sundaland hotspot, contains no information for Malaysia.</w:t>
            </w:r>
            <w:r w:rsidDel="00000000" w:rsidR="00000000" w:rsidRPr="00000000">
              <w:rPr>
                <w:sz w:val="20"/>
                <w:szCs w:val="20"/>
                <w:highlight w:val="white"/>
                <w:vertAlign w:val="superscript"/>
              </w:rPr>
              <w:footnoteReference w:customMarkFollows="0" w:id="8"/>
            </w:r>
            <w:r w:rsidDel="00000000" w:rsidR="00000000" w:rsidRPr="00000000">
              <w:rPr>
                <w:sz w:val="20"/>
                <w:szCs w:val="20"/>
                <w:highlight w:val="white"/>
                <w:rtl w:val="0"/>
              </w:rPr>
              <w:t xml:space="preserve"> </w:t>
            </w:r>
          </w:p>
          <w:p w:rsidR="00000000" w:rsidDel="00000000" w:rsidP="00000000" w:rsidRDefault="00000000" w:rsidRPr="00000000" w14:paraId="0000001B">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key concentrations along protected corridors.</w:t>
            </w:r>
          </w:p>
          <w:p w:rsidR="00000000" w:rsidDel="00000000" w:rsidP="00000000" w:rsidRDefault="00000000" w:rsidRPr="00000000" w14:paraId="0000001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Forest - 20.2Mha; Agriculture - 10.8Mha; Wetland - 1.35Mha; Water - 389kha; and Settlement - 382kha. </w:t>
            </w:r>
          </w:p>
          <w:p w:rsidR="00000000" w:rsidDel="00000000" w:rsidP="00000000" w:rsidRDefault="00000000" w:rsidRPr="00000000" w14:paraId="0000001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Malaysia has 7 ramsar sites with additional context </w:t>
            </w:r>
            <w:hyperlink r:id="rId29">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1E">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Malaysia is below the global average in ocean health, with large gaps in sustainable food provision, and moderate deficiencies in clean waters.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Style w:val="Heading2"/>
              <w:spacing w:before="240" w:lineRule="auto"/>
              <w:rPr/>
            </w:pPr>
            <w:bookmarkStart w:colFirst="0" w:colLast="0" w:name="_f8ympdg0fqm5" w:id="2"/>
            <w:bookmarkEnd w:id="2"/>
            <w:r w:rsidDel="00000000" w:rsidR="00000000" w:rsidRPr="00000000">
              <w:rPr>
                <w:rtl w:val="0"/>
              </w:rPr>
              <w:t xml:space="preserve">Philippines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The Philippines are located in the North of the Coral Triangle, and are one of the world’s marine megadiverse countries. The marine ecosystems of the Philippines include coral reefs, mangrove forests, and seagrass meadows.</w:t>
            </w:r>
            <w:r w:rsidDel="00000000" w:rsidR="00000000" w:rsidRPr="00000000">
              <w:rPr>
                <w:sz w:val="20"/>
                <w:szCs w:val="20"/>
                <w:vertAlign w:val="superscript"/>
              </w:rPr>
              <w:footnoteReference w:customMarkFollows="0" w:id="9"/>
            </w:r>
            <w:r w:rsidDel="00000000" w:rsidR="00000000" w:rsidRPr="00000000">
              <w:rPr>
                <w:sz w:val="20"/>
                <w:szCs w:val="20"/>
                <w:rtl w:val="0"/>
              </w:rPr>
              <w:t xml:space="preserve"> The Philippines are classified as their own hotspot by CEPF, due to the islands having among the highest rate of endemism—with plant endemism estimates between 45 - 60 percent.</w:t>
            </w:r>
            <w:r w:rsidDel="00000000" w:rsidR="00000000" w:rsidRPr="00000000">
              <w:rPr>
                <w:sz w:val="20"/>
                <w:szCs w:val="20"/>
                <w:vertAlign w:val="superscript"/>
              </w:rPr>
              <w:footnoteReference w:customMarkFollows="0" w:id="10"/>
            </w:r>
            <w:r w:rsidDel="00000000" w:rsidR="00000000" w:rsidRPr="00000000">
              <w:rPr>
                <w:sz w:val="20"/>
                <w:szCs w:val="20"/>
                <w:rtl w:val="0"/>
              </w:rPr>
              <w:t xml:space="preserve"> Overall the country contains two-thirds of the world’s biodiversity and between 70 - 80 percent of the world’s plant and animal species.</w:t>
            </w:r>
            <w:r w:rsidDel="00000000" w:rsidR="00000000" w:rsidRPr="00000000">
              <w:rPr>
                <w:sz w:val="20"/>
                <w:szCs w:val="20"/>
                <w:vertAlign w:val="superscript"/>
              </w:rPr>
              <w:footnoteReference w:customMarkFollows="0" w:id="11"/>
            </w:r>
            <w:r w:rsidDel="00000000" w:rsidR="00000000" w:rsidRPr="00000000">
              <w:rPr>
                <w:rtl w:val="0"/>
              </w:rPr>
            </w:r>
          </w:p>
          <w:p w:rsidR="00000000" w:rsidDel="00000000" w:rsidP="00000000" w:rsidRDefault="00000000" w:rsidRPr="00000000" w14:paraId="0000002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 Philippines’ endemic species ranges are high throughout the island chain, with the geographic scope of important areas based in </w:t>
            </w:r>
            <w:r w:rsidDel="00000000" w:rsidR="00000000" w:rsidRPr="00000000">
              <w:rPr>
                <w:sz w:val="20"/>
                <w:szCs w:val="20"/>
                <w:highlight w:val="white"/>
                <w:rtl w:val="0"/>
              </w:rPr>
              <w:t xml:space="preserve">species range-size rarity homogeneously distributed throughout the country.</w:t>
            </w:r>
          </w:p>
          <w:p w:rsidR="00000000" w:rsidDel="00000000" w:rsidP="00000000" w:rsidRDefault="00000000" w:rsidRPr="00000000" w14:paraId="00000022">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41.94 to 44 percent, respectively. Large KBAs outside of/or partially within Protected Areas (PAs) are scattered throughout the island chain and include: </w:t>
            </w:r>
            <w:hyperlink r:id="rId30">
              <w:r w:rsidDel="00000000" w:rsidR="00000000" w:rsidRPr="00000000">
                <w:rPr>
                  <w:color w:val="1155cc"/>
                  <w:sz w:val="20"/>
                  <w:szCs w:val="20"/>
                  <w:highlight w:val="white"/>
                  <w:u w:val="single"/>
                  <w:rtl w:val="0"/>
                </w:rPr>
                <w:t xml:space="preserve">Busuanga Island</w:t>
              </w:r>
            </w:hyperlink>
            <w:r w:rsidDel="00000000" w:rsidR="00000000" w:rsidRPr="00000000">
              <w:rPr>
                <w:sz w:val="20"/>
                <w:szCs w:val="20"/>
                <w:highlight w:val="white"/>
                <w:rtl w:val="0"/>
              </w:rPr>
              <w:t xml:space="preserve">/</w:t>
            </w:r>
            <w:hyperlink r:id="rId31">
              <w:r w:rsidDel="00000000" w:rsidR="00000000" w:rsidRPr="00000000">
                <w:rPr>
                  <w:color w:val="1155cc"/>
                  <w:sz w:val="20"/>
                  <w:szCs w:val="20"/>
                  <w:highlight w:val="white"/>
                  <w:u w:val="single"/>
                  <w:rtl w:val="0"/>
                </w:rPr>
                <w:t xml:space="preserve">Culion Island</w:t>
              </w:r>
            </w:hyperlink>
            <w:r w:rsidDel="00000000" w:rsidR="00000000" w:rsidRPr="00000000">
              <w:rPr>
                <w:sz w:val="20"/>
                <w:szCs w:val="20"/>
                <w:highlight w:val="white"/>
                <w:rtl w:val="0"/>
              </w:rPr>
              <w:t xml:space="preserve">,</w:t>
            </w:r>
            <w:hyperlink r:id="rId32">
              <w:r w:rsidDel="00000000" w:rsidR="00000000" w:rsidRPr="00000000">
                <w:rPr>
                  <w:sz w:val="20"/>
                  <w:szCs w:val="20"/>
                  <w:highlight w:val="white"/>
                  <w:rtl w:val="0"/>
                </w:rPr>
                <w:t xml:space="preserve"> </w:t>
              </w:r>
            </w:hyperlink>
            <w:hyperlink r:id="rId33">
              <w:r w:rsidDel="00000000" w:rsidR="00000000" w:rsidRPr="00000000">
                <w:rPr>
                  <w:color w:val="1155cc"/>
                  <w:sz w:val="20"/>
                  <w:szCs w:val="20"/>
                  <w:highlight w:val="white"/>
                  <w:u w:val="single"/>
                  <w:rtl w:val="0"/>
                </w:rPr>
                <w:t xml:space="preserve">Southwestern Negros</w:t>
              </w:r>
            </w:hyperlink>
            <w:r w:rsidDel="00000000" w:rsidR="00000000" w:rsidRPr="00000000">
              <w:rPr>
                <w:sz w:val="20"/>
                <w:szCs w:val="20"/>
                <w:highlight w:val="white"/>
                <w:rtl w:val="0"/>
              </w:rPr>
              <w:t xml:space="preserve">,</w:t>
            </w:r>
            <w:hyperlink r:id="rId34">
              <w:r w:rsidDel="00000000" w:rsidR="00000000" w:rsidRPr="00000000">
                <w:rPr>
                  <w:sz w:val="20"/>
                  <w:szCs w:val="20"/>
                  <w:highlight w:val="white"/>
                  <w:rtl w:val="0"/>
                </w:rPr>
                <w:t xml:space="preserve"> </w:t>
              </w:r>
            </w:hyperlink>
            <w:hyperlink r:id="rId35">
              <w:r w:rsidDel="00000000" w:rsidR="00000000" w:rsidRPr="00000000">
                <w:rPr>
                  <w:color w:val="1155cc"/>
                  <w:sz w:val="20"/>
                  <w:szCs w:val="20"/>
                  <w:highlight w:val="white"/>
                  <w:u w:val="single"/>
                  <w:rtl w:val="0"/>
                </w:rPr>
                <w:t xml:space="preserve">Mount Kaluayan - Mount Kinabalian Complex</w:t>
              </w:r>
            </w:hyperlink>
            <w:r w:rsidDel="00000000" w:rsidR="00000000" w:rsidRPr="00000000">
              <w:rPr>
                <w:sz w:val="20"/>
                <w:szCs w:val="20"/>
                <w:highlight w:val="white"/>
                <w:rtl w:val="0"/>
              </w:rPr>
              <w:t xml:space="preserve">,</w:t>
            </w:r>
            <w:hyperlink r:id="rId36">
              <w:r w:rsidDel="00000000" w:rsidR="00000000" w:rsidRPr="00000000">
                <w:rPr>
                  <w:sz w:val="20"/>
                  <w:szCs w:val="20"/>
                  <w:highlight w:val="white"/>
                  <w:rtl w:val="0"/>
                </w:rPr>
                <w:t xml:space="preserve"> </w:t>
              </w:r>
            </w:hyperlink>
            <w:hyperlink r:id="rId37">
              <w:r w:rsidDel="00000000" w:rsidR="00000000" w:rsidRPr="00000000">
                <w:rPr>
                  <w:color w:val="1155cc"/>
                  <w:sz w:val="20"/>
                  <w:szCs w:val="20"/>
                  <w:highlight w:val="white"/>
                  <w:u w:val="single"/>
                  <w:rtl w:val="0"/>
                </w:rPr>
                <w:t xml:space="preserve">Mount Kampalili-Puting Bato</w:t>
              </w:r>
            </w:hyperlink>
            <w:r w:rsidDel="00000000" w:rsidR="00000000" w:rsidRPr="00000000">
              <w:rPr>
                <w:sz w:val="20"/>
                <w:szCs w:val="20"/>
                <w:highlight w:val="white"/>
                <w:rtl w:val="0"/>
              </w:rPr>
              <w:t xml:space="preserve">, and</w:t>
            </w:r>
            <w:hyperlink r:id="rId38">
              <w:r w:rsidDel="00000000" w:rsidR="00000000" w:rsidRPr="00000000">
                <w:rPr>
                  <w:sz w:val="20"/>
                  <w:szCs w:val="20"/>
                  <w:highlight w:val="white"/>
                  <w:rtl w:val="0"/>
                </w:rPr>
                <w:t xml:space="preserve"> </w:t>
              </w:r>
            </w:hyperlink>
            <w:hyperlink r:id="rId39">
              <w:r w:rsidDel="00000000" w:rsidR="00000000" w:rsidRPr="00000000">
                <w:rPr>
                  <w:color w:val="1155cc"/>
                  <w:sz w:val="20"/>
                  <w:szCs w:val="20"/>
                  <w:highlight w:val="white"/>
                  <w:u w:val="single"/>
                  <w:rtl w:val="0"/>
                </w:rPr>
                <w:t xml:space="preserve">Babuyanes Islands</w:t>
              </w:r>
            </w:hyperlink>
            <w:r w:rsidDel="00000000" w:rsidR="00000000" w:rsidRPr="00000000">
              <w:rPr>
                <w:sz w:val="20"/>
                <w:szCs w:val="20"/>
                <w:highlight w:val="white"/>
                <w:rtl w:val="0"/>
              </w:rPr>
              <w:t xml:space="preserve">. PA protection of KBAs has risen from 2000, from 30.58 percent. </w:t>
            </w:r>
          </w:p>
          <w:p w:rsidR="00000000" w:rsidDel="00000000" w:rsidP="00000000" w:rsidRDefault="00000000" w:rsidRPr="00000000" w14:paraId="00000023">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studies include a recent thesis on the Coral Triangle which produced a </w:t>
            </w:r>
            <w:hyperlink r:id="rId40">
              <w:r w:rsidDel="00000000" w:rsidR="00000000" w:rsidRPr="00000000">
                <w:rPr>
                  <w:color w:val="1155cc"/>
                  <w:sz w:val="20"/>
                  <w:szCs w:val="20"/>
                  <w:highlight w:val="white"/>
                  <w:u w:val="single"/>
                  <w:rtl w:val="0"/>
                </w:rPr>
                <w:t xml:space="preserve">prioritization mapping platform</w:t>
              </w:r>
            </w:hyperlink>
            <w:r w:rsidDel="00000000" w:rsidR="00000000" w:rsidRPr="00000000">
              <w:rPr>
                <w:sz w:val="20"/>
                <w:szCs w:val="20"/>
                <w:highlight w:val="white"/>
                <w:rtl w:val="0"/>
              </w:rPr>
              <w:t xml:space="preserve"> for conservation expansion, and </w:t>
            </w:r>
            <w:hyperlink r:id="rId41">
              <w:r w:rsidDel="00000000" w:rsidR="00000000" w:rsidRPr="00000000">
                <w:rPr>
                  <w:color w:val="1155cc"/>
                  <w:sz w:val="20"/>
                  <w:szCs w:val="20"/>
                  <w:highlight w:val="white"/>
                  <w:u w:val="single"/>
                  <w:rtl w:val="0"/>
                </w:rPr>
                <w:t xml:space="preserve">accompanying documentation</w:t>
              </w:r>
            </w:hyperlink>
            <w:r w:rsidDel="00000000" w:rsidR="00000000" w:rsidRPr="00000000">
              <w:rPr>
                <w:sz w:val="20"/>
                <w:szCs w:val="20"/>
                <w:highlight w:val="white"/>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dated CEPF documentation highlighteted priority areas in the Sierra Madre, Palawan, and Eastern Mindanao Corridor.</w:t>
            </w:r>
            <w:r w:rsidDel="00000000" w:rsidR="00000000" w:rsidRPr="00000000">
              <w:rPr>
                <w:sz w:val="20"/>
                <w:szCs w:val="20"/>
                <w:highlight w:val="white"/>
                <w:vertAlign w:val="superscript"/>
              </w:rPr>
              <w:footnoteReference w:customMarkFollows="0" w:id="12"/>
            </w:r>
            <w:r w:rsidDel="00000000" w:rsidR="00000000" w:rsidRPr="00000000">
              <w:rPr>
                <w:rtl w:val="0"/>
              </w:rPr>
            </w:r>
          </w:p>
          <w:p w:rsidR="00000000" w:rsidDel="00000000" w:rsidP="00000000" w:rsidRDefault="00000000" w:rsidRPr="00000000" w14:paraId="00000025">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accompanying resilience atlas mapping platform contains extensive spatial data on Indigenous Peoples land rights and claims throughout the Philippines.</w:t>
            </w:r>
            <w:r w:rsidDel="00000000" w:rsidR="00000000" w:rsidRPr="00000000">
              <w:rPr>
                <w:sz w:val="20"/>
                <w:szCs w:val="20"/>
                <w:highlight w:val="white"/>
                <w:vertAlign w:val="superscript"/>
              </w:rPr>
              <w:footnoteReference w:customMarkFollows="0" w:id="13"/>
            </w:r>
            <w:r w:rsidDel="00000000" w:rsidR="00000000" w:rsidRPr="00000000">
              <w:rPr>
                <w:sz w:val="20"/>
                <w:szCs w:val="20"/>
                <w:highlight w:val="white"/>
                <w:rtl w:val="0"/>
              </w:rPr>
              <w:t xml:space="preserve"> </w:t>
            </w:r>
          </w:p>
          <w:p w:rsidR="00000000" w:rsidDel="00000000" w:rsidP="00000000" w:rsidRDefault="00000000" w:rsidRPr="00000000" w14:paraId="00000026">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moderate throughout the country, with key concentrations in Mindanao and Luzon island groups.</w:t>
            </w:r>
          </w:p>
          <w:p w:rsidR="00000000" w:rsidDel="00000000" w:rsidP="00000000" w:rsidRDefault="00000000" w:rsidRPr="00000000" w14:paraId="00000027">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- 18.6Mha; Forest - 9.78Mha; Wetland - 926kha; Water - 700kha; and Settlement - 238kha. </w:t>
            </w:r>
          </w:p>
          <w:p w:rsidR="00000000" w:rsidDel="00000000" w:rsidP="00000000" w:rsidRDefault="00000000" w:rsidRPr="00000000" w14:paraId="00000028">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The Philippines</w:t>
            </w:r>
            <w:r w:rsidDel="00000000" w:rsidR="00000000" w:rsidRPr="00000000">
              <w:rPr>
                <w:sz w:val="20"/>
                <w:szCs w:val="20"/>
                <w:highlight w:val="white"/>
                <w:rtl w:val="0"/>
              </w:rPr>
              <w:t xml:space="preserve"> have 7 ramsar sites with additional context </w:t>
            </w:r>
            <w:hyperlink r:id="rId42">
              <w:r w:rsidDel="00000000" w:rsidR="00000000" w:rsidRPr="00000000">
                <w:rPr>
                  <w:color w:val="1155cc"/>
                  <w:sz w:val="20"/>
                  <w:szCs w:val="20"/>
                  <w:highlight w:val="white"/>
                  <w:u w:val="single"/>
                  <w:rtl w:val="0"/>
                </w:rPr>
                <w:t xml:space="preserve">here</w:t>
              </w:r>
            </w:hyperlink>
            <w:r w:rsidDel="00000000" w:rsidR="00000000" w:rsidRPr="00000000">
              <w:rPr>
                <w:sz w:val="20"/>
                <w:szCs w:val="20"/>
                <w:highlight w:val="white"/>
                <w:rtl w:val="0"/>
              </w:rPr>
              <w:t xml:space="preserve">.</w:t>
            </w:r>
          </w:p>
          <w:p w:rsidR="00000000" w:rsidDel="00000000" w:rsidP="00000000" w:rsidRDefault="00000000" w:rsidRPr="00000000" w14:paraId="00000029">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The Philippines are representative of the global average in ocean health, with moderate coastal livelihoods and economies, and sustainable food provision/artisanal fishing opportunities. </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pStyle w:val="Heading2"/>
              <w:spacing w:before="240" w:lineRule="auto"/>
              <w:rPr/>
            </w:pPr>
            <w:bookmarkStart w:colFirst="0" w:colLast="0" w:name="_k5zcsvhdf2uj" w:id="3"/>
            <w:bookmarkEnd w:id="3"/>
            <w:r w:rsidDel="00000000" w:rsidR="00000000" w:rsidRPr="00000000">
              <w:rPr>
                <w:rtl w:val="0"/>
              </w:rPr>
              <w:t xml:space="preserve">Timor- Leste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numPr>
                <w:ilvl w:val="0"/>
                <w:numId w:val="2"/>
              </w:numPr>
              <w:spacing w:after="0" w:afterAutospacing="0" w:before="240" w:lineRule="auto"/>
              <w:ind w:left="720" w:hanging="360"/>
              <w:rPr>
                <w:sz w:val="20"/>
                <w:szCs w:val="20"/>
                <w:highlight w:val="white"/>
              </w:rPr>
            </w:pPr>
            <w:r w:rsidDel="00000000" w:rsidR="00000000" w:rsidRPr="00000000">
              <w:rPr>
                <w:sz w:val="20"/>
                <w:szCs w:val="20"/>
                <w:rtl w:val="0"/>
              </w:rPr>
              <w:t xml:space="preserve">Timor-Leste is located in the biodiversity hotspot of Wallacea and the Coral Triangle. The country’s potential EEZ of 75,000 Km</w:t>
            </w:r>
            <w:r w:rsidDel="00000000" w:rsidR="00000000" w:rsidRPr="00000000">
              <w:rPr>
                <w:sz w:val="20"/>
                <w:szCs w:val="20"/>
                <w:vertAlign w:val="superscript"/>
                <w:rtl w:val="0"/>
              </w:rPr>
              <w:t xml:space="preserve">2</w:t>
            </w:r>
            <w:r w:rsidDel="00000000" w:rsidR="00000000" w:rsidRPr="00000000">
              <w:rPr>
                <w:sz w:val="20"/>
                <w:szCs w:val="20"/>
                <w:rtl w:val="0"/>
              </w:rPr>
              <w:t xml:space="preserve"> is a habitat to numerous marine species and a key area for conservation.</w:t>
            </w:r>
            <w:r w:rsidDel="00000000" w:rsidR="00000000" w:rsidRPr="00000000">
              <w:rPr>
                <w:sz w:val="20"/>
                <w:szCs w:val="20"/>
                <w:vertAlign w:val="superscript"/>
              </w:rPr>
              <w:footnoteReference w:customMarkFollows="0" w:id="14"/>
            </w:r>
            <w:r w:rsidDel="00000000" w:rsidR="00000000" w:rsidRPr="00000000">
              <w:rPr>
                <w:rtl w:val="0"/>
              </w:rPr>
            </w:r>
          </w:p>
          <w:p w:rsidR="00000000" w:rsidDel="00000000" w:rsidP="00000000" w:rsidRDefault="00000000" w:rsidRPr="00000000" w14:paraId="0000002C">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Timor-Leste has species ranges throughout the country, which due to its size does not have considerable variation in </w:t>
            </w:r>
            <w:r w:rsidDel="00000000" w:rsidR="00000000" w:rsidRPr="00000000">
              <w:rPr>
                <w:sz w:val="20"/>
                <w:szCs w:val="20"/>
                <w:highlight w:val="white"/>
                <w:rtl w:val="0"/>
              </w:rPr>
              <w:t xml:space="preserve">species range-size rarity.</w:t>
            </w:r>
          </w:p>
          <w:p w:rsidR="00000000" w:rsidDel="00000000" w:rsidP="00000000" w:rsidRDefault="00000000" w:rsidRPr="00000000" w14:paraId="0000002D">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Key Biodiversity Areas (KBAs) within the country are protected at a rate below the global average, 32.28 to 44 percent, respectively.  Large KBAs outside of/or partially within Protected Areas (PAs) are scattered along the North of the country and include: </w:t>
            </w:r>
            <w:hyperlink r:id="rId43">
              <w:r w:rsidDel="00000000" w:rsidR="00000000" w:rsidRPr="00000000">
                <w:rPr>
                  <w:color w:val="1155cc"/>
                  <w:sz w:val="20"/>
                  <w:szCs w:val="20"/>
                  <w:highlight w:val="white"/>
                  <w:u w:val="single"/>
                  <w:rtl w:val="0"/>
                </w:rPr>
                <w:t xml:space="preserve">Be Malae</w:t>
              </w:r>
            </w:hyperlink>
            <w:r w:rsidDel="00000000" w:rsidR="00000000" w:rsidRPr="00000000">
              <w:rPr>
                <w:sz w:val="20"/>
                <w:szCs w:val="20"/>
                <w:highlight w:val="white"/>
                <w:rtl w:val="0"/>
              </w:rPr>
              <w:t xml:space="preserve">, </w:t>
            </w:r>
            <w:hyperlink r:id="rId44">
              <w:r w:rsidDel="00000000" w:rsidR="00000000" w:rsidRPr="00000000">
                <w:rPr>
                  <w:color w:val="1155cc"/>
                  <w:sz w:val="20"/>
                  <w:szCs w:val="20"/>
                  <w:highlight w:val="white"/>
                  <w:u w:val="single"/>
                  <w:rtl w:val="0"/>
                </w:rPr>
                <w:t xml:space="preserve">Maubara</w:t>
              </w:r>
            </w:hyperlink>
            <w:r w:rsidDel="00000000" w:rsidR="00000000" w:rsidRPr="00000000">
              <w:rPr>
                <w:sz w:val="20"/>
                <w:szCs w:val="20"/>
                <w:highlight w:val="white"/>
                <w:rtl w:val="0"/>
              </w:rPr>
              <w:t xml:space="preserve">, </w:t>
            </w:r>
            <w:hyperlink r:id="rId45">
              <w:r w:rsidDel="00000000" w:rsidR="00000000" w:rsidRPr="00000000">
                <w:rPr>
                  <w:color w:val="1155cc"/>
                  <w:sz w:val="20"/>
                  <w:szCs w:val="20"/>
                  <w:highlight w:val="white"/>
                  <w:u w:val="single"/>
                  <w:rtl w:val="0"/>
                </w:rPr>
                <w:t xml:space="preserve">Perairan Subaun</w:t>
              </w:r>
            </w:hyperlink>
            <w:r w:rsidDel="00000000" w:rsidR="00000000" w:rsidRPr="00000000">
              <w:rPr>
                <w:sz w:val="20"/>
                <w:szCs w:val="20"/>
                <w:highlight w:val="white"/>
                <w:rtl w:val="0"/>
              </w:rPr>
              <w:t xml:space="preserve">, and </w:t>
            </w:r>
            <w:hyperlink r:id="rId46">
              <w:r w:rsidDel="00000000" w:rsidR="00000000" w:rsidRPr="00000000">
                <w:rPr>
                  <w:color w:val="1155cc"/>
                  <w:sz w:val="20"/>
                  <w:szCs w:val="20"/>
                  <w:highlight w:val="white"/>
                  <w:u w:val="single"/>
                  <w:rtl w:val="0"/>
                </w:rPr>
                <w:t xml:space="preserve">Nari</w:t>
              </w:r>
            </w:hyperlink>
            <w:r w:rsidDel="00000000" w:rsidR="00000000" w:rsidRPr="00000000">
              <w:rPr>
                <w:sz w:val="20"/>
                <w:szCs w:val="20"/>
                <w:highlight w:val="white"/>
                <w:rtl w:val="0"/>
              </w:rPr>
              <w:t xml:space="preserve">. PA protection of KBAs has risen from 2000, from 12.43 percent.</w:t>
            </w:r>
          </w:p>
          <w:p w:rsidR="00000000" w:rsidDel="00000000" w:rsidP="00000000" w:rsidRDefault="00000000" w:rsidRPr="00000000" w14:paraId="0000002E">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Academic studies include a recent thesis on the Coral Triangle which produced a </w:t>
            </w:r>
            <w:hyperlink r:id="rId47">
              <w:r w:rsidDel="00000000" w:rsidR="00000000" w:rsidRPr="00000000">
                <w:rPr>
                  <w:color w:val="1155cc"/>
                  <w:sz w:val="20"/>
                  <w:szCs w:val="20"/>
                  <w:highlight w:val="white"/>
                  <w:u w:val="single"/>
                  <w:rtl w:val="0"/>
                </w:rPr>
                <w:t xml:space="preserve">prioritization mapping platform</w:t>
              </w:r>
            </w:hyperlink>
            <w:r w:rsidDel="00000000" w:rsidR="00000000" w:rsidRPr="00000000">
              <w:rPr>
                <w:sz w:val="20"/>
                <w:szCs w:val="20"/>
                <w:highlight w:val="white"/>
                <w:rtl w:val="0"/>
              </w:rPr>
              <w:t xml:space="preserve"> for conservation expansion, and </w:t>
            </w:r>
            <w:hyperlink r:id="rId48">
              <w:r w:rsidDel="00000000" w:rsidR="00000000" w:rsidRPr="00000000">
                <w:rPr>
                  <w:color w:val="1155cc"/>
                  <w:sz w:val="20"/>
                  <w:szCs w:val="20"/>
                  <w:highlight w:val="white"/>
                  <w:u w:val="single"/>
                  <w:rtl w:val="0"/>
                </w:rPr>
                <w:t xml:space="preserve">accompanying documentation</w:t>
              </w:r>
            </w:hyperlink>
            <w:r w:rsidDel="00000000" w:rsidR="00000000" w:rsidRPr="00000000">
              <w:rPr>
                <w:sz w:val="20"/>
                <w:szCs w:val="20"/>
                <w:highlight w:val="white"/>
                <w:rtl w:val="0"/>
              </w:rPr>
              <w:t xml:space="preserve"> which highlights several areas for potential expansion.</w:t>
            </w:r>
          </w:p>
          <w:p w:rsidR="00000000" w:rsidDel="00000000" w:rsidP="00000000" w:rsidRDefault="00000000" w:rsidRPr="00000000" w14:paraId="0000002F">
            <w:pPr>
              <w:numPr>
                <w:ilvl w:val="0"/>
                <w:numId w:val="2"/>
              </w:numPr>
              <w:spacing w:after="0" w:afterAutospacing="0" w:before="0" w:beforeAutospacing="0" w:lineRule="auto"/>
              <w:ind w:left="720" w:hanging="360"/>
              <w:rPr>
                <w:sz w:val="20"/>
                <w:szCs w:val="20"/>
                <w:highlight w:val="white"/>
              </w:rPr>
            </w:pPr>
            <w:hyperlink r:id="rId49">
              <w:r w:rsidDel="00000000" w:rsidR="00000000" w:rsidRPr="00000000">
                <w:rPr>
                  <w:color w:val="1155cc"/>
                  <w:sz w:val="20"/>
                  <w:szCs w:val="20"/>
                  <w:highlight w:val="white"/>
                  <w:u w:val="single"/>
                  <w:rtl w:val="0"/>
                </w:rPr>
                <w:t xml:space="preserve">Timor-Leste’s NBSAP (2011-2020)</w:t>
              </w:r>
            </w:hyperlink>
            <w:r w:rsidDel="00000000" w:rsidR="00000000" w:rsidRPr="00000000">
              <w:rPr>
                <w:sz w:val="20"/>
                <w:szCs w:val="20"/>
                <w:highlight w:val="white"/>
                <w:rtl w:val="0"/>
              </w:rPr>
              <w:t xml:space="preserve"> contains recent prioritization mapping done at the national level, though there is less clarity on the involvement of Indigenous communities. This however, was </w:t>
            </w:r>
            <w:hyperlink r:id="rId50">
              <w:r w:rsidDel="00000000" w:rsidR="00000000" w:rsidRPr="00000000">
                <w:rPr>
                  <w:color w:val="1155cc"/>
                  <w:sz w:val="20"/>
                  <w:szCs w:val="20"/>
                  <w:highlight w:val="white"/>
                  <w:u w:val="single"/>
                  <w:rtl w:val="0"/>
                </w:rPr>
                <w:t xml:space="preserve">extensively documented in an earlier capacity development plan</w:t>
              </w:r>
            </w:hyperlink>
            <w:r w:rsidDel="00000000" w:rsidR="00000000" w:rsidRPr="00000000">
              <w:rPr>
                <w:sz w:val="20"/>
                <w:szCs w:val="20"/>
                <w:highlight w:val="white"/>
                <w:rtl w:val="0"/>
              </w:rPr>
              <w:t xml:space="preserve"> (indicating that there is national appetite for IPLC involvement). </w:t>
            </w:r>
            <w:hyperlink r:id="rId51">
              <w:r w:rsidDel="00000000" w:rsidR="00000000" w:rsidRPr="00000000">
                <w:rPr>
                  <w:color w:val="1155cc"/>
                  <w:sz w:val="20"/>
                  <w:szCs w:val="20"/>
                  <w:highlight w:val="white"/>
                  <w:u w:val="single"/>
                  <w:rtl w:val="0"/>
                </w:rPr>
                <w:t xml:space="preserve">This CBD document</w:t>
              </w:r>
            </w:hyperlink>
            <w:r w:rsidDel="00000000" w:rsidR="00000000" w:rsidRPr="00000000">
              <w:rPr>
                <w:sz w:val="20"/>
                <w:szCs w:val="20"/>
                <w:highlight w:val="white"/>
                <w:rtl w:val="0"/>
              </w:rPr>
              <w:t xml:space="preserve"> illustrates an effort to map Indigenous Knowledge and priorities in 2011. </w:t>
            </w:r>
          </w:p>
          <w:p w:rsidR="00000000" w:rsidDel="00000000" w:rsidP="00000000" w:rsidRDefault="00000000" w:rsidRPr="00000000" w14:paraId="00000030">
            <w:pPr>
              <w:numPr>
                <w:ilvl w:val="0"/>
                <w:numId w:val="1"/>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Stores of irrecoverable carbon are low to moderate throughout the country, with concentrations in the Southern coast and in the East of the country.</w:t>
            </w:r>
          </w:p>
          <w:p w:rsidR="00000000" w:rsidDel="00000000" w:rsidP="00000000" w:rsidRDefault="00000000" w:rsidRPr="00000000" w14:paraId="00000031">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highlight w:val="white"/>
                <w:rtl w:val="0"/>
              </w:rPr>
              <w:t xml:space="preserve">The primary land cover types are Agriculture - 1.27Mha; Forest - 209kha; Wetland - 15.2kha; Water - 13.4kha; Settlement - 6.83kha; and Sparse vegetation - 3.38kha. </w:t>
            </w:r>
          </w:p>
          <w:p w:rsidR="00000000" w:rsidDel="00000000" w:rsidP="00000000" w:rsidRDefault="00000000" w:rsidRPr="00000000" w14:paraId="00000032">
            <w:pPr>
              <w:numPr>
                <w:ilvl w:val="0"/>
                <w:numId w:val="2"/>
              </w:numPr>
              <w:spacing w:after="0" w:afterAutospacing="0" w:before="0" w:beforeAutospacing="0" w:lineRule="auto"/>
              <w:ind w:left="720" w:hanging="360"/>
              <w:rPr>
                <w:sz w:val="20"/>
                <w:szCs w:val="20"/>
                <w:highlight w:val="white"/>
              </w:rPr>
            </w:pPr>
            <w:r w:rsidDel="00000000" w:rsidR="00000000" w:rsidRPr="00000000">
              <w:rPr>
                <w:sz w:val="20"/>
                <w:szCs w:val="20"/>
                <w:rtl w:val="0"/>
              </w:rPr>
              <w:t xml:space="preserve">Timor-Leste </w:t>
            </w:r>
            <w:r w:rsidDel="00000000" w:rsidR="00000000" w:rsidRPr="00000000">
              <w:rPr>
                <w:sz w:val="20"/>
                <w:szCs w:val="20"/>
                <w:highlight w:val="white"/>
                <w:rtl w:val="0"/>
              </w:rPr>
              <w:t xml:space="preserve">has no ramsar sites.</w:t>
            </w:r>
          </w:p>
          <w:p w:rsidR="00000000" w:rsidDel="00000000" w:rsidP="00000000" w:rsidRDefault="00000000" w:rsidRPr="00000000" w14:paraId="00000033">
            <w:pPr>
              <w:numPr>
                <w:ilvl w:val="0"/>
                <w:numId w:val="2"/>
              </w:numPr>
              <w:spacing w:before="0" w:beforeAutospacing="0" w:lineRule="auto"/>
              <w:ind w:left="720" w:hanging="360"/>
              <w:rPr>
                <w:sz w:val="20"/>
                <w:szCs w:val="20"/>
                <w:highlight w:val="white"/>
              </w:rPr>
            </w:pPr>
            <w:r w:rsidDel="00000000" w:rsidR="00000000" w:rsidRPr="00000000">
              <w:rPr>
                <w:sz w:val="20"/>
                <w:szCs w:val="20"/>
                <w:rtl w:val="0"/>
              </w:rPr>
              <w:t xml:space="preserve">Timor-Leste is well below the global average in ocean health, with insufficient access to sustainable food provision, coastal livelihoods and economies, and moderate deficiencies in clean waters.</w:t>
            </w:r>
            <w:r w:rsidDel="00000000" w:rsidR="00000000" w:rsidRPr="00000000">
              <w:rPr>
                <w:rtl w:val="0"/>
              </w:rPr>
            </w:r>
          </w:p>
        </w:tc>
      </w:tr>
    </w:tbl>
    <w:p w:rsidR="00000000" w:rsidDel="00000000" w:rsidP="00000000" w:rsidRDefault="00000000" w:rsidRPr="00000000" w14:paraId="00000034">
      <w:pPr>
        <w:spacing w:after="240" w:before="240" w:lineRule="auto"/>
        <w:rPr>
          <w:sz w:val="20"/>
          <w:szCs w:val="2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https://www.cbd.int/countries/profile/?country=id</w:t>
        </w:r>
      </w:hyperlink>
      <w:r w:rsidDel="00000000" w:rsidR="00000000" w:rsidRPr="00000000">
        <w:rPr>
          <w:rtl w:val="0"/>
        </w:rPr>
      </w:r>
    </w:p>
  </w:footnote>
  <w:footnote w:id="1">
    <w:p w:rsidR="00000000" w:rsidDel="00000000" w:rsidP="00000000" w:rsidRDefault="00000000" w:rsidRPr="00000000" w14:paraId="00000037">
      <w:pPr>
        <w:spacing w:line="240" w:lineRule="auto"/>
        <w:rPr>
          <w:b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b w:val="1"/>
          <w:sz w:val="20"/>
          <w:szCs w:val="20"/>
          <w:rtl w:val="0"/>
        </w:rPr>
        <w:t xml:space="preserve">There are ongoing disputes over the accuracy of this mapping effort and the level of recognition given by the government to communal lands in the one map policy.</w:t>
      </w:r>
    </w:p>
  </w:footnote>
  <w:footnote w:id="2">
    <w:p w:rsidR="00000000" w:rsidDel="00000000" w:rsidP="00000000" w:rsidRDefault="00000000" w:rsidRPr="00000000" w14:paraId="0000003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highlight w:val="white"/>
            <w:u w:val="single"/>
            <w:rtl w:val="0"/>
          </w:rPr>
          <w:t xml:space="preserve">https://www.cepf.net/sites/default/files/ecosystemprofile_wallacea.pdf</w:t>
        </w:r>
      </w:hyperlink>
      <w:r w:rsidDel="00000000" w:rsidR="00000000" w:rsidRPr="00000000">
        <w:rPr>
          <w:rtl w:val="0"/>
        </w:rPr>
      </w:r>
    </w:p>
  </w:footnote>
  <w:footnote w:id="3">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https://www.cepf.net/sites/default/files/sundaland-ecosystem-profile-2001-english.pdf</w:t>
        </w:r>
      </w:hyperlink>
      <w:r w:rsidDel="00000000" w:rsidR="00000000" w:rsidRPr="00000000">
        <w:rPr>
          <w:rtl w:val="0"/>
        </w:rPr>
      </w:r>
    </w:p>
  </w:footnote>
  <w:footnote w:id="4">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http://www.fao.org/forest-resources-assessment/current-assessment/en/</w:t>
        </w:r>
      </w:hyperlink>
      <w:r w:rsidDel="00000000" w:rsidR="00000000" w:rsidRPr="00000000">
        <w:rPr>
          <w:sz w:val="20"/>
          <w:szCs w:val="20"/>
          <w:rtl w:val="0"/>
        </w:rPr>
        <w:t xml:space="preserve"> </w:t>
      </w:r>
    </w:p>
  </w:footnote>
  <w:footnote w:id="5">
    <w:p w:rsidR="00000000" w:rsidDel="00000000" w:rsidP="00000000" w:rsidRDefault="00000000" w:rsidRPr="00000000" w14:paraId="0000003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5">
        <w:r w:rsidDel="00000000" w:rsidR="00000000" w:rsidRPr="00000000">
          <w:rPr>
            <w:color w:val="1155cc"/>
            <w:sz w:val="20"/>
            <w:szCs w:val="20"/>
            <w:u w:val="single"/>
            <w:rtl w:val="0"/>
          </w:rPr>
          <w:t xml:space="preserve">https://www.cbd.int/doc/world/my/my-nbsap-v2-en.pdf</w:t>
        </w:r>
      </w:hyperlink>
      <w:r w:rsidDel="00000000" w:rsidR="00000000" w:rsidRPr="00000000">
        <w:rPr>
          <w:rtl w:val="0"/>
        </w:rPr>
      </w:r>
    </w:p>
  </w:footnote>
  <w:footnote w:id="6">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Ministry of Natural Resources and Environment.(2014). Fifth National Report to the Convention on Biological Diversity. Putrajaya,</w:t>
      </w:r>
    </w:p>
    <w:p w:rsidR="00000000" w:rsidDel="00000000" w:rsidP="00000000" w:rsidRDefault="00000000" w:rsidRPr="00000000" w14:paraId="0000003D">
      <w:pPr>
        <w:spacing w:line="240" w:lineRule="auto"/>
        <w:rPr>
          <w:sz w:val="20"/>
          <w:szCs w:val="20"/>
        </w:rPr>
      </w:pPr>
      <w:r w:rsidDel="00000000" w:rsidR="00000000" w:rsidRPr="00000000">
        <w:rPr>
          <w:sz w:val="20"/>
          <w:szCs w:val="20"/>
          <w:rtl w:val="0"/>
        </w:rPr>
        <w:t xml:space="preserve">Malaysia. </w:t>
      </w:r>
      <w:hyperlink r:id="rId6">
        <w:r w:rsidDel="00000000" w:rsidR="00000000" w:rsidRPr="00000000">
          <w:rPr>
            <w:color w:val="1155cc"/>
            <w:sz w:val="20"/>
            <w:szCs w:val="20"/>
            <w:u w:val="single"/>
            <w:rtl w:val="0"/>
          </w:rPr>
          <w:t xml:space="preserve">https://www.cbd.int/doc/world/my/my-nr-05-en.pdf</w:t>
        </w:r>
      </w:hyperlink>
      <w:r w:rsidDel="00000000" w:rsidR="00000000" w:rsidRPr="00000000">
        <w:rPr>
          <w:rtl w:val="0"/>
        </w:rPr>
      </w:r>
    </w:p>
  </w:footnote>
  <w:footnote w:id="7">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7">
        <w:r w:rsidDel="00000000" w:rsidR="00000000" w:rsidRPr="00000000">
          <w:rPr>
            <w:color w:val="1155cc"/>
            <w:sz w:val="20"/>
            <w:szCs w:val="20"/>
            <w:u w:val="single"/>
            <w:rtl w:val="0"/>
          </w:rPr>
          <w:t xml:space="preserve">https://pacostrust.com/projects/</w:t>
        </w:r>
      </w:hyperlink>
      <w:r w:rsidDel="00000000" w:rsidR="00000000" w:rsidRPr="00000000">
        <w:rPr>
          <w:rtl w:val="0"/>
        </w:rPr>
      </w:r>
    </w:p>
  </w:footnote>
  <w:footnote w:id="8">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8">
        <w:r w:rsidDel="00000000" w:rsidR="00000000" w:rsidRPr="00000000">
          <w:rPr>
            <w:color w:val="1155cc"/>
            <w:sz w:val="20"/>
            <w:szCs w:val="20"/>
            <w:u w:val="single"/>
            <w:rtl w:val="0"/>
          </w:rPr>
          <w:t xml:space="preserve">https://www.cepf.net/sites/default/files/sundaland-ecosystem-profile-2001-english.pdf</w:t>
        </w:r>
      </w:hyperlink>
      <w:r w:rsidDel="00000000" w:rsidR="00000000" w:rsidRPr="00000000">
        <w:rPr>
          <w:rtl w:val="0"/>
        </w:rPr>
      </w:r>
    </w:p>
  </w:footnote>
  <w:footnote w:id="9">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https://researchspace.auckland.ac.nz/handle/2292/37462</w:t>
      </w:r>
    </w:p>
  </w:footnote>
  <w:footnote w:id="10">
    <w:p w:rsidR="00000000" w:rsidDel="00000000" w:rsidP="00000000" w:rsidRDefault="00000000" w:rsidRPr="00000000" w14:paraId="0000004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https://www.cepf.net/sites/default/files/final.philippines.ep__1.pdf</w:t>
        </w:r>
      </w:hyperlink>
      <w:r w:rsidDel="00000000" w:rsidR="00000000" w:rsidRPr="00000000">
        <w:rPr>
          <w:rtl w:val="0"/>
        </w:rPr>
      </w:r>
    </w:p>
  </w:footnote>
  <w:footnote w:id="11">
    <w:p w:rsidR="00000000" w:rsidDel="00000000" w:rsidP="00000000" w:rsidRDefault="00000000" w:rsidRPr="00000000" w14:paraId="0000004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0">
        <w:r w:rsidDel="00000000" w:rsidR="00000000" w:rsidRPr="00000000">
          <w:rPr>
            <w:color w:val="1155cc"/>
            <w:sz w:val="20"/>
            <w:szCs w:val="20"/>
            <w:u w:val="single"/>
            <w:rtl w:val="0"/>
          </w:rPr>
          <w:t xml:space="preserve">https://www.cbd.int/countries/?country=ph</w:t>
        </w:r>
      </w:hyperlink>
      <w:r w:rsidDel="00000000" w:rsidR="00000000" w:rsidRPr="00000000">
        <w:rPr>
          <w:rtl w:val="0"/>
        </w:rPr>
      </w:r>
    </w:p>
  </w:footnote>
  <w:footnote w:id="12">
    <w:p w:rsidR="00000000" w:rsidDel="00000000" w:rsidP="00000000" w:rsidRDefault="00000000" w:rsidRPr="00000000" w14:paraId="0000004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1">
        <w:r w:rsidDel="00000000" w:rsidR="00000000" w:rsidRPr="00000000">
          <w:rPr>
            <w:color w:val="1155cc"/>
            <w:sz w:val="20"/>
            <w:szCs w:val="20"/>
            <w:u w:val="single"/>
            <w:rtl w:val="0"/>
          </w:rPr>
          <w:t xml:space="preserve">https://www.cepf.net/sites/default/files/final.philippines.ep__1.pdf</w:t>
        </w:r>
      </w:hyperlink>
      <w:r w:rsidDel="00000000" w:rsidR="00000000" w:rsidRPr="00000000">
        <w:rPr>
          <w:rtl w:val="0"/>
        </w:rPr>
      </w:r>
    </w:p>
  </w:footnote>
  <w:footnote w:id="13">
    <w:p w:rsidR="00000000" w:rsidDel="00000000" w:rsidP="00000000" w:rsidRDefault="00000000" w:rsidRPr="00000000" w14:paraId="0000004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2">
        <w:r w:rsidDel="00000000" w:rsidR="00000000" w:rsidRPr="00000000">
          <w:rPr>
            <w:color w:val="1155cc"/>
            <w:sz w:val="20"/>
            <w:szCs w:val="20"/>
            <w:u w:val="single"/>
            <w:rtl w:val="0"/>
          </w:rPr>
          <w:t xml:space="preserve">https://ici.resilienceatlas.org/map?tab=layers</w:t>
        </w:r>
      </w:hyperlink>
      <w:r w:rsidDel="00000000" w:rsidR="00000000" w:rsidRPr="00000000">
        <w:rPr>
          <w:rtl w:val="0"/>
        </w:rPr>
      </w:r>
    </w:p>
  </w:footnote>
  <w:footnote w:id="14">
    <w:p w:rsidR="00000000" w:rsidDel="00000000" w:rsidP="00000000" w:rsidRDefault="00000000" w:rsidRPr="00000000" w14:paraId="0000004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3">
        <w:r w:rsidDel="00000000" w:rsidR="00000000" w:rsidRPr="00000000">
          <w:rPr>
            <w:color w:val="1155cc"/>
            <w:sz w:val="20"/>
            <w:szCs w:val="20"/>
            <w:u w:val="single"/>
            <w:rtl w:val="0"/>
          </w:rPr>
          <w:t xml:space="preserve">https://www.cbd.int/countries/profile/?country=tl#facts</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uoa.maps.arcgis.com/apps/webappviewer/index.html?id=2f36a9ec18674a13a4e57fd290fc020a" TargetMode="External"/><Relationship Id="rId42" Type="http://schemas.openxmlformats.org/officeDocument/2006/relationships/hyperlink" Target="https://rsis.ramsar.org/sites/default/files/rsiswp_search/exports/Ramsar-Sites-annotated-summary-Philippines.pdf" TargetMode="External"/><Relationship Id="rId41" Type="http://schemas.openxmlformats.org/officeDocument/2006/relationships/hyperlink" Target="https://sites.google.com/view/coral-triangle-digital-map/coral-triangle?authuser=0" TargetMode="External"/><Relationship Id="rId44" Type="http://schemas.openxmlformats.org/officeDocument/2006/relationships/hyperlink" Target="http://www.keybiodiversityareas.org/site/factsheet/15794" TargetMode="External"/><Relationship Id="rId43" Type="http://schemas.openxmlformats.org/officeDocument/2006/relationships/hyperlink" Target="http://www.keybiodiversityareas.org/site/factsheet/16256" TargetMode="External"/><Relationship Id="rId46" Type="http://schemas.openxmlformats.org/officeDocument/2006/relationships/hyperlink" Target="http://www.keybiodiversityareas.org/site/factsheet/44996" TargetMode="External"/><Relationship Id="rId45" Type="http://schemas.openxmlformats.org/officeDocument/2006/relationships/hyperlink" Target="http://www.keybiodiversityareas.org/site/factsheet/4500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keybiodiversityareas.org/site/factsheet/44852" TargetMode="External"/><Relationship Id="rId48" Type="http://schemas.openxmlformats.org/officeDocument/2006/relationships/hyperlink" Target="https://sites.google.com/view/coral-triangle-digital-map/coral-triangle?authuser=0" TargetMode="External"/><Relationship Id="rId47" Type="http://schemas.openxmlformats.org/officeDocument/2006/relationships/hyperlink" Target="http://uoa.maps.arcgis.com/apps/webappviewer/index.html?id=2f36a9ec18674a13a4e57fd290fc020a" TargetMode="External"/><Relationship Id="rId49" Type="http://schemas.openxmlformats.org/officeDocument/2006/relationships/hyperlink" Target="https://www.cbd.int/doc/world/tl/tl-nbsap-v2-en.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keybiodiversityareas.org/site/factsheet/15905" TargetMode="External"/><Relationship Id="rId8" Type="http://schemas.openxmlformats.org/officeDocument/2006/relationships/hyperlink" Target="http://www.keybiodiversityareas.org/site/factsheet/15804" TargetMode="External"/><Relationship Id="rId31" Type="http://schemas.openxmlformats.org/officeDocument/2006/relationships/hyperlink" Target="http://www.keybiodiversityareas.org/site/factsheet/9749" TargetMode="External"/><Relationship Id="rId30" Type="http://schemas.openxmlformats.org/officeDocument/2006/relationships/hyperlink" Target="http://www.keybiodiversityareas.org/site/factsheet/9748" TargetMode="External"/><Relationship Id="rId33" Type="http://schemas.openxmlformats.org/officeDocument/2006/relationships/hyperlink" Target="http://www.keybiodiversityareas.org/site/factsheet/9765" TargetMode="External"/><Relationship Id="rId32" Type="http://schemas.openxmlformats.org/officeDocument/2006/relationships/hyperlink" Target="http://www.keybiodiversityareas.org/site/factsheet/9765" TargetMode="External"/><Relationship Id="rId35" Type="http://schemas.openxmlformats.org/officeDocument/2006/relationships/hyperlink" Target="http://www.keybiodiversityareas.org/site/factsheet/9792" TargetMode="External"/><Relationship Id="rId34" Type="http://schemas.openxmlformats.org/officeDocument/2006/relationships/hyperlink" Target="http://www.keybiodiversityareas.org/site/factsheet/9792" TargetMode="External"/><Relationship Id="rId37" Type="http://schemas.openxmlformats.org/officeDocument/2006/relationships/hyperlink" Target="http://www.keybiodiversityareas.org/site/factsheet/9788" TargetMode="External"/><Relationship Id="rId36" Type="http://schemas.openxmlformats.org/officeDocument/2006/relationships/hyperlink" Target="http://www.keybiodiversityareas.org/site/factsheet/9788" TargetMode="External"/><Relationship Id="rId39" Type="http://schemas.openxmlformats.org/officeDocument/2006/relationships/hyperlink" Target="http://www.keybiodiversityareas.org/site/factsheet/22324" TargetMode="External"/><Relationship Id="rId38" Type="http://schemas.openxmlformats.org/officeDocument/2006/relationships/hyperlink" Target="http://www.keybiodiversityareas.org/site/factsheet/22324" TargetMode="External"/><Relationship Id="rId20" Type="http://schemas.openxmlformats.org/officeDocument/2006/relationships/hyperlink" Target="http://www.keybiodiversityareas.org/site/factsheet/16058" TargetMode="External"/><Relationship Id="rId22" Type="http://schemas.openxmlformats.org/officeDocument/2006/relationships/hyperlink" Target="http://www.keybiodiversityareas.org/site/factsheet/16003" TargetMode="External"/><Relationship Id="rId21" Type="http://schemas.openxmlformats.org/officeDocument/2006/relationships/hyperlink" Target="http://www.keybiodiversityareas.org/site/factsheet/16040" TargetMode="External"/><Relationship Id="rId24" Type="http://schemas.openxmlformats.org/officeDocument/2006/relationships/hyperlink" Target="http://www.keybiodiversityareas.org/site/factsheet/16048" TargetMode="External"/><Relationship Id="rId23" Type="http://schemas.openxmlformats.org/officeDocument/2006/relationships/hyperlink" Target="http://www.keybiodiversityareas.org/site/factsheet/16005" TargetMode="External"/><Relationship Id="rId26" Type="http://schemas.openxmlformats.org/officeDocument/2006/relationships/hyperlink" Target="https://www.cambridge.org/core/journals/environmental-conservation/article/research-agendas-for-the-sustainable-management-of-tropical-peatland-in-malaysia/B36784C62D03B95324F1A6228D5BEA0C" TargetMode="External"/><Relationship Id="rId25" Type="http://schemas.openxmlformats.org/officeDocument/2006/relationships/hyperlink" Target="https://www.sciencedirect.com/science/article/pii/S0169204604000763" TargetMode="External"/><Relationship Id="rId28" Type="http://schemas.openxmlformats.org/officeDocument/2006/relationships/hyperlink" Target="https://d2ouvy59p0dg6k.cloudfront.net/downloads/hob_spatial_planning_report_fa.pdf" TargetMode="External"/><Relationship Id="rId27" Type="http://schemas.openxmlformats.org/officeDocument/2006/relationships/hyperlink" Target="http://www.coraltriangleinitiative.org/sites/default/files/resources/8_Geographic%20Priorities%20for%20Marine%20Biodiversity%20Conservation%20in%20Indonesia.pdf" TargetMode="External"/><Relationship Id="rId29" Type="http://schemas.openxmlformats.org/officeDocument/2006/relationships/hyperlink" Target="https://rsis.ramsar.org/sites/default/files/rsiswp_search/exports/Ramsar-Sites-annotated-summary-Malaysia.pdf" TargetMode="External"/><Relationship Id="rId51" Type="http://schemas.openxmlformats.org/officeDocument/2006/relationships/hyperlink" Target="https://www.cbd.int/financial/micro/timor-local.pdf" TargetMode="External"/><Relationship Id="rId50" Type="http://schemas.openxmlformats.org/officeDocument/2006/relationships/hyperlink" Target="https://www.cbd.int/doc/meetings/mar/cbwsoi-seasi-01/other/cbwsoi-seasi-01-timor-leste-01-en.pdf" TargetMode="External"/><Relationship Id="rId11" Type="http://schemas.openxmlformats.org/officeDocument/2006/relationships/hyperlink" Target="http://www.keybiodiversityareas.org/site/factsheet/26463" TargetMode="External"/><Relationship Id="rId10" Type="http://schemas.openxmlformats.org/officeDocument/2006/relationships/hyperlink" Target="http://www.keybiodiversityareas.org/site/factsheet/44748" TargetMode="External"/><Relationship Id="rId13" Type="http://schemas.openxmlformats.org/officeDocument/2006/relationships/hyperlink" Target="http://www.keybiodiversityareas.org/site/factsheet/16058" TargetMode="External"/><Relationship Id="rId12" Type="http://schemas.openxmlformats.org/officeDocument/2006/relationships/hyperlink" Target="http://www.keybiodiversityareas.org/site/factsheet/26434" TargetMode="External"/><Relationship Id="rId15" Type="http://schemas.openxmlformats.org/officeDocument/2006/relationships/hyperlink" Target="https://www.brwa.or.id/sig/" TargetMode="External"/><Relationship Id="rId14" Type="http://schemas.openxmlformats.org/officeDocument/2006/relationships/hyperlink" Target="https://www.aman.or.id/peta/" TargetMode="External"/><Relationship Id="rId17" Type="http://schemas.openxmlformats.org/officeDocument/2006/relationships/hyperlink" Target="https://iopscience.iop.org/article/10.1088/1755-1315/414/1/012001/meta" TargetMode="External"/><Relationship Id="rId16" Type="http://schemas.openxmlformats.org/officeDocument/2006/relationships/hyperlink" Target="http://www.coraltriangleinitiative.org/sites/default/files/resources/8_Geographic%20Priorities%20for%20Marine%20Biodiversity%20Conservation%20in%20Indonesia.pdf" TargetMode="External"/><Relationship Id="rId19" Type="http://schemas.openxmlformats.org/officeDocument/2006/relationships/hyperlink" Target="http://www.keybiodiversityareas.org/site/factsheet/16067" TargetMode="External"/><Relationship Id="rId18" Type="http://schemas.openxmlformats.org/officeDocument/2006/relationships/hyperlink" Target="https://rsis.ramsar.org/sites/default/files/rsiswp_search/exports/Ramsar-Sites-annotated-summary-Indonesia.pdf" TargetMode="External"/></Relationships>
</file>

<file path=word/_rels/footnotes.xml.rels><?xml version="1.0" encoding="UTF-8" standalone="yes"?><Relationships xmlns="http://schemas.openxmlformats.org/package/2006/relationships"><Relationship Id="rId11" Type="http://schemas.openxmlformats.org/officeDocument/2006/relationships/hyperlink" Target="https://www.cepf.net/sites/default/files/final.philippines.ep__1.pdf" TargetMode="External"/><Relationship Id="rId10" Type="http://schemas.openxmlformats.org/officeDocument/2006/relationships/hyperlink" Target="https://www.cbd.int/countries/?country=ph" TargetMode="External"/><Relationship Id="rId13" Type="http://schemas.openxmlformats.org/officeDocument/2006/relationships/hyperlink" Target="https://www.cbd.int/countries/profile/?country=tl#facts" TargetMode="External"/><Relationship Id="rId12" Type="http://schemas.openxmlformats.org/officeDocument/2006/relationships/hyperlink" Target="https://ici.resilienceatlas.org/map?tab=layers" TargetMode="External"/><Relationship Id="rId1" Type="http://schemas.openxmlformats.org/officeDocument/2006/relationships/hyperlink" Target="https://www.cbd.int/countries/profile/?country=id" TargetMode="External"/><Relationship Id="rId2" Type="http://schemas.openxmlformats.org/officeDocument/2006/relationships/hyperlink" Target="https://www.cepf.net/sites/default/files/ecosystemprofile_wallacea.pdf" TargetMode="External"/><Relationship Id="rId3" Type="http://schemas.openxmlformats.org/officeDocument/2006/relationships/hyperlink" Target="https://www.cepf.net/sites/default/files/sundaland-ecosystem-profile-2001-english.pdf" TargetMode="External"/><Relationship Id="rId4" Type="http://schemas.openxmlformats.org/officeDocument/2006/relationships/hyperlink" Target="http://www.fao.org/forest-resources-assessment/current-assessment/en/" TargetMode="External"/><Relationship Id="rId9" Type="http://schemas.openxmlformats.org/officeDocument/2006/relationships/hyperlink" Target="https://www.cepf.net/sites/default/files/final.philippines.ep__1.pdf" TargetMode="External"/><Relationship Id="rId5" Type="http://schemas.openxmlformats.org/officeDocument/2006/relationships/hyperlink" Target="https://www.cbd.int/doc/world/my/my-nbsap-v2-en.pdf" TargetMode="External"/><Relationship Id="rId6" Type="http://schemas.openxmlformats.org/officeDocument/2006/relationships/hyperlink" Target="https://www.cbd.int/doc/world/my/my-nr-05-en.pdf" TargetMode="External"/><Relationship Id="rId7" Type="http://schemas.openxmlformats.org/officeDocument/2006/relationships/hyperlink" Target="https://pacostrust.com/projects/" TargetMode="External"/><Relationship Id="rId8" Type="http://schemas.openxmlformats.org/officeDocument/2006/relationships/hyperlink" Target="https://www.cepf.net/sites/default/files/sundaland-ecosystem-profile-2001-english.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