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000E2F" w:color="auto" w:val="clear"/>
            <w:tcMar>
              <w:top w:type="dxa" w:w="260"/>
              <w:left w:type="dxa" w:w="280"/>
              <w:bottom w:type="dxa" w:w="260"/>
              <w:right w:type="dxa" w:w="2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anyPIM</w:t>
            </w:r>
            <w:r>
              <w:rPr>
                <w:rFonts w:ascii="Arial" w:cs="Arial" w:eastAsia="Arial" w:hAnsi="Arial"/>
                <w:color w:val="FFFFFF"/>
                <w:sz w:val="32"/>
                <w:szCs w:val="32"/>
              </w:rPr>
              <w:t xml:space="preserve">  für Kohlhammer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C6E6E3" w:color="auto" w:val="clear"/>
            <w:tcMar>
              <w:top w:type="dxa" w:w="300"/>
              <w:left w:type="dxa" w:w="280"/>
              <w:bottom w:type="dxa" w:w="300"/>
              <w:right w:type="dxa" w:w="280"/>
            </w:tcMar>
            <w:vAlign w:val="top"/>
          </w:tcPr>
          <w:p>
            <w:pPr>
              <w:spacing w:after="0" w:before="500"/>
              <w:ind w:left="900"/>
            </w:pPr>
            <w:r>
              <w:rPr>
                <w:rFonts w:ascii="Arial" w:cs="Arial" w:eastAsia="Arial" w:hAnsi="Arial"/>
                <w:color w:val="2B3050"/>
                <w:sz w:val="64"/>
                <w:szCs w:val="64"/>
              </w:rPr>
              <w:t xml:space="preserve">Wissen braucht</w:t>
            </w:r>
          </w:p>
          <w:p>
            <w:pPr>
              <w:spacing w:after="500" w:before="0"/>
              <w:ind w:left="300"/>
            </w:pPr>
            <w:r>
              <w:rPr>
                <w:rFonts w:ascii="Arial" w:cs="Arial" w:eastAsia="Arial" w:hAnsi="Arial"/>
                <w:color w:val="2B3050"/>
                <w:sz w:val="150"/>
                <w:szCs w:val="150"/>
              </w:rPr>
              <w:t xml:space="preserve">Struktur.</w:t>
            </w:r>
          </w:p>
        </w:tc>
      </w:tr>
    </w:tbl>
    <w:p>
      <w:pPr>
        <w:spacing w:after="40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000E2F"/>
          <w:sz w:val="44"/>
          <w:szCs w:val="44"/>
        </w:rPr>
        <w:t xml:space="preserve">Von Pimcore 6 zu anyPIM</w:t>
      </w:r>
    </w:p>
    <w:p>
      <w:pPr>
        <w:spacing w:after="360"/>
      </w:pPr>
      <w:r>
        <w:rPr>
          <w:rFonts w:ascii="Arial" w:cs="Arial" w:eastAsia="Arial" w:hAnsi="Arial"/>
          <w:color w:val="1B2D5C"/>
          <w:sz w:val="36"/>
          <w:szCs w:val="36"/>
        </w:rPr>
        <w:t xml:space="preserve">Der Projektablauf</w:t>
      </w:r>
    </w:p>
    <w:p>
      <w:pPr>
        <w:spacing w:after="600" w:line="320"/>
      </w:pPr>
      <w:r>
        <w:rPr>
          <w:rFonts w:ascii="Arial" w:cs="Arial" w:eastAsia="Arial" w:hAnsi="Arial"/>
          <w:color w:val="16181D"/>
          <w:sz w:val="24"/>
          <w:szCs w:val="24"/>
        </w:rPr>
        <w:t xml:space="preserve">Was passiert wann – und wer ist beteiligt. Geschrieben für Marketing, Vertrieb, Herstellung und IT.</w:t>
      </w:r>
    </w:p>
    <w:p>
      <w:pPr>
        <w:spacing w:after="120" w:line="290"/>
      </w:pPr>
      <w:r>
        <w:rPr>
          <w:rFonts w:ascii="Arial" w:cs="Arial" w:eastAsia="Arial" w:hAnsi="Arial"/>
          <w:color w:val="4B5563"/>
          <w:sz w:val="18"/>
          <w:szCs w:val="18"/>
        </w:rPr>
        <w:t xml:space="preserve">W. Kohlhammer GmbH  ·  incoxx GmbH  ·  Stand: September 2026  ·  Entwurf zur Abstimmung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WORUM ES GEHT</w:t>
      </w:r>
    </w:p>
    <w:p>
      <w:pPr>
        <w:spacing w:after="120" w:line="290"/>
      </w:pPr>
      <w:r>
        <w:rPr>
          <w:rFonts w:ascii="Arial" w:cs="Arial" w:eastAsia="Arial" w:hAnsi="Arial"/>
        </w:rPr>
        <w:t xml:space="preserve">Kohlhammer pflegt seine Titel- und Produktdaten seit vielen Jahren in einem zentralen System, heute Pimcore 6 – eingeführt und betreut von incoxx, seit 25 Jahren Partner von Kohlhammer. Aus diesen Daten entstehen Vorschauen und Buchinfos, der Onlinekatalog, die Daten für Shop und Handel und vieles mehr.</w:t>
      </w:r>
    </w:p>
    <w:p>
      <w:pPr>
        <w:spacing w:after="120" w:line="290"/>
      </w:pPr>
      <w:r>
        <w:rPr>
          <w:rFonts w:ascii="Arial" w:cs="Arial" w:eastAsia="Arial" w:hAnsi="Arial"/>
        </w:rPr>
        <w:t xml:space="preserve">Dieses Dokument beschreibt, wie der Umzug auf anyPIM abläuft: in welchen Schritten, mit welchem Beitrag der einzelnen Abteilungen und wie wir sicherstellen, dass im Tagesgeschäft nichts verloren geht. Es setzt kein technisches Vorwissen voraus; Fachbegriffe sind am Ende erklärt.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4F3F1" w:color="auto" w:val="clear"/>
            <w:tcMar>
              <w:top w:type="dxa" w:w="220"/>
              <w:left w:type="dxa" w:w="280"/>
              <w:bottom w:type="dxa" w:w="220"/>
              <w:right w:type="dxa" w:w="280"/>
            </w:tcMar>
            <w:vAlign w:val="top"/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000E2F"/>
                <w:sz w:val="24"/>
                <w:szCs w:val="24"/>
              </w:rPr>
              <w:t xml:space="preserve">Das Wichtigste in Kürze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  <w:b/>
                <w:bCs/>
              </w:rPr>
              <w:t xml:space="preserve">Kein Sprung ins kalte Wasser. </w:t>
            </w:r>
            <w:r>
              <w:rPr>
                <w:rFonts w:ascii="Arial" w:cs="Arial" w:eastAsia="Arial" w:hAnsi="Arial"/>
              </w:rPr>
              <w:t xml:space="preserve">Das bisherige System läuft weiter, bis alle Bereiche umgestellt und abgenommen sind.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  <w:b/>
                <w:bCs/>
              </w:rPr>
              <w:t xml:space="preserve">Wir starten klein. </w:t>
            </w:r>
            <w:r>
              <w:rPr>
                <w:rFonts w:ascii="Arial" w:cs="Arial" w:eastAsia="Arial" w:hAnsi="Arial"/>
              </w:rPr>
              <w:t xml:space="preserve">Ein Fachbereich – Vorschlag: Brandschutz – geht als Pilot voran.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  <w:b/>
                <w:bCs/>
              </w:rPr>
              <w:t xml:space="preserve">Keine Neuerfassung. </w:t>
            </w:r>
            <w:r>
              <w:rPr>
                <w:rFonts w:ascii="Arial" w:cs="Arial" w:eastAsia="Arial" w:hAnsi="Arial"/>
              </w:rPr>
              <w:t xml:space="preserve">Die vorhandenen Daten werden übernommen, nicht abgetippt.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  <w:b/>
                <w:bCs/>
              </w:rPr>
              <w:t xml:space="preserve">Keine Doppelpflege. </w:t>
            </w:r>
            <w:r>
              <w:rPr>
                <w:rFonts w:ascii="Arial" w:cs="Arial" w:eastAsia="Arial" w:hAnsi="Arial"/>
              </w:rPr>
              <w:t xml:space="preserve">Bis zur Umstellung wird wie gewohnt im bisherigen System gepflegt; anyPIM wird automatisch nachgezogen.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  <w:b/>
                <w:bCs/>
              </w:rPr>
              <w:t xml:space="preserve">Jede Abteilung prüft selbst. </w:t>
            </w:r>
            <w:r>
              <w:rPr>
                <w:rFonts w:ascii="Arial" w:cs="Arial" w:eastAsia="Arial" w:hAnsi="Arial"/>
              </w:rPr>
              <w:t xml:space="preserve">Umgeschaltet wird erst, wenn Vorschau, Katalog und Shop-Daten stimmen.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line="280"/>
            </w:pPr>
            <w:r>
              <w:rPr>
                <w:rFonts w:ascii="Arial" w:cs="Arial" w:eastAsia="Arial" w:hAnsi="Arial"/>
                <w:b/>
                <w:bCs/>
              </w:rPr>
              <w:t xml:space="preserve">Was fehlt, wird Standard. </w:t>
            </w:r>
            <w:r>
              <w:rPr>
                <w:rFonts w:ascii="Arial" w:cs="Arial" w:eastAsia="Arial" w:hAnsi="Arial"/>
              </w:rPr>
              <w:t xml:space="preserve">Funktionen, die Kohlhammer braucht und die es heute noch nicht gibt, bauen wir als feste Produktfunktion.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DER ABLAUF AUF EINEN BLICK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2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c>
          <w:tcPr>
            <w:tcW w:type="dxa" w:w="1606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01</w:t>
            </w:r>
          </w:p>
        </w:tc>
        <w:tc>
          <w:tcPr>
            <w:tcW w:type="dxa" w:w="1606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02</w:t>
            </w:r>
          </w:p>
        </w:tc>
        <w:tc>
          <w:tcPr>
            <w:tcW w:type="dxa" w:w="1606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03</w:t>
            </w:r>
          </w:p>
        </w:tc>
        <w:tc>
          <w:tcPr>
            <w:tcW w:type="dxa" w:w="1606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04</w:t>
            </w:r>
          </w:p>
        </w:tc>
        <w:tc>
          <w:tcPr>
            <w:tcW w:type="dxa" w:w="1606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05</w:t>
            </w:r>
          </w:p>
        </w:tc>
        <w:tc>
          <w:tcPr>
            <w:tcW w:type="dxa" w:w="1608"/>
            <w:shd w:fill="E2211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06</w:t>
            </w:r>
          </w:p>
        </w:tc>
      </w:tr>
      <w:tr>
        <w:tc>
          <w:tcPr>
            <w:tcW w:type="dxa" w:w="1606"/>
            <w:shd w:fill="EEF0F2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16181D"/>
                <w:sz w:val="18"/>
                <w:szCs w:val="18"/>
              </w:rPr>
              <w:t xml:space="preserve">Auftakt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ein halber Tag</w:t>
            </w:r>
          </w:p>
        </w:tc>
        <w:tc>
          <w:tcPr>
            <w:tcW w:type="dxa" w:w="1606"/>
            <w:shd w:fill="EEF0F2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16181D"/>
                <w:sz w:val="18"/>
                <w:szCs w:val="18"/>
              </w:rPr>
              <w:t xml:space="preserve">Bestands­aufnahme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ca. 2 Wochen</w:t>
            </w:r>
          </w:p>
        </w:tc>
        <w:tc>
          <w:tcPr>
            <w:tcW w:type="dxa" w:w="1606"/>
            <w:shd w:fill="EEF0F2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16181D"/>
                <w:sz w:val="18"/>
                <w:szCs w:val="18"/>
              </w:rPr>
              <w:t xml:space="preserve">Pilot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ca. 4 Wochen</w:t>
            </w:r>
          </w:p>
        </w:tc>
        <w:tc>
          <w:tcPr>
            <w:tcW w:type="dxa" w:w="1606"/>
            <w:shd w:fill="EEF0F2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16181D"/>
                <w:sz w:val="18"/>
                <w:szCs w:val="18"/>
              </w:rPr>
              <w:t xml:space="preserve">Projekt­funktionen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je nach Umfang</w:t>
            </w:r>
          </w:p>
        </w:tc>
        <w:tc>
          <w:tcPr>
            <w:tcW w:type="dxa" w:w="1606"/>
            <w:shd w:fill="EEF0F2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16181D"/>
                <w:sz w:val="18"/>
                <w:szCs w:val="18"/>
              </w:rPr>
              <w:t xml:space="preserve">Gesamt­übernahme, Parallel­betrieb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ca. 4–6 Wochen</w:t>
            </w:r>
          </w:p>
        </w:tc>
        <w:tc>
          <w:tcPr>
            <w:tcW w:type="dxa" w:w="1608"/>
            <w:shd w:fill="EEF0F2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16181D"/>
                <w:sz w:val="18"/>
                <w:szCs w:val="18"/>
              </w:rPr>
              <w:t xml:space="preserve">Umstellung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Stichtag, danach Ablösung</w:t>
            </w:r>
          </w:p>
        </w:tc>
      </w:tr>
    </w:tbl>
    <w:p>
      <w:pPr>
        <w:spacing w:after="80"/>
      </w:pPr>
    </w:p>
    <w:p>
      <w:pPr>
        <w:spacing w:after="120" w:line="290"/>
      </w:pPr>
      <w:r>
        <w:rPr>
          <w:rFonts w:ascii="Arial" w:cs="Arial" w:eastAsia="Arial" w:hAnsi="Arial"/>
          <w:i/>
          <w:iCs/>
          <w:color w:val="4B5563"/>
          <w:sz w:val="18"/>
          <w:szCs w:val="18"/>
        </w:rPr>
        <w:t xml:space="preserve">Die Zeitangaben sind Richtwerte. Sie werden in der Bestandsaufnahme verbindlich geplant. Die Phasen 3 und 4 laufen teilweise parallel.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DIE PHASEN IM DETAIL</w:t>
      </w:r>
    </w:p>
    <w:p>
      <w:pPr>
        <w:pStyle w:val="Heading2"/>
      </w:pPr>
      <w:r>
        <w:rPr>
          <w:rFonts w:ascii="Arial" w:cs="Arial" w:eastAsia="Arial" w:hAnsi="Arial"/>
        </w:rPr>
        <w:t xml:space="preserve">Phase 1 · Auftakt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Alle Beteiligten kennen Ziel, Ablauf und Ansprechpartner.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Was passiert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Halbtägiger Workshop. Wir zeigen anyPIM an einem echten Kohlhammer-Titel und legen gemeinsam Pilotbereich, Termine und Zuständigkeiten fest.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Wer ist gefragt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Projektleitung sowie je ein bis zwei Personen aus Marketing, Vertrieb, Herstellung und IT.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Ergebnis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Das Projektteam steht, der Pilotbereich ist gewählt, die Termine der Bestandsaufnahme sind vereinbart.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Phase 2 · Bestandsaufnahme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Wir verstehen genau, was heute im System steckt und was daraus entsteht.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Was passiert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Gespräche mit jeder Abteilung, jeweils etwa ein bis zwei Stunden. Wir gehen gemeinsam durch: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Datenfelder, Fachbereiche, Reihen und Ausgaben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alle Ausgaben der Daten: Vorschau, Vorschau RS, Buchinfo, Foreign Rights, Onlinekatalog, Thieme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Verbindungen zu Buchshop und Formularserver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Rollen und Berechtigungen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Wer ist gefragt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Key-User jeder Abteilung; die IT für Schnittstellen und Server.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Ergebnis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Eine bestätigte Funktionsliste, das Zielbild und ein verbindlicher Zeitplan. Offene Punkte wie Ärzteshop und die Cloud-Anwendung für Compu sind geklärt.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Phase 3 · Pilot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Erste echte Erfahrung mit anyPIM – an einem überschaubaren Ausschnitt des Programms.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Was passiert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anyPIM wird eingerichtet, die Titel des Pilotbereichs werden aus dem bisherigen System übernommen. Die Key-User arbeiten mit echten Daten: suchen, prüfen, ändern – und melden zurück, was fehlt oder unklar ist.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Wer ist gefragt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Key-User: Stichproben prüfen und Rückmeldung geben. IT: Testumgebung und Zugänge bereitstellen.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Ergebnis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Pilotdaten sind vollständig und geprüft, die Rückmeldungen eingearbeitet.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Phase 4 · Projektfunktionen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Was Kohlhammer braucht und heute noch nicht Standard ist, wird gebaut – als feste Funktion des Produkts, nicht als Sonderlösung.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Was passiert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Laut Funktionsliste gehören dazu zum Beispiel: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Exporte für die Vorschauen in InDesign mit EasyCatalog (Vorschau, Vorschau RS, Buchinfo, Foreign Rights)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Export für Thieme sowie XML-Metadaten bzw. ONIX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Übernahme von Metadaten aus dem Cover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80"/>
            </w:pPr>
            <w:r>
              <w:rPr>
                <w:rFonts w:ascii="Arial" w:cs="Arial" w:eastAsia="Arial" w:hAnsi="Arial"/>
              </w:rPr>
              <w:t xml:space="preserve">Uploads im Onlinekatalog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Jede Funktion wird mit echten Kohlhammer-Daten vorgeführt, bevor sie als fertig gilt.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Wer ist gefragt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Abteilung, die eine Funktion nutzt, nimmt sie ab. incoxx setzt um.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Ergebnis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Alle Funktionen der Liste sind verfügbar und abgenommen.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Phase 5 · Gesamtübernahme und Parallelbetrieb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Das ganze Programm ist in anyPIM – und wir beweisen, dass die Ergebnisse stimmen.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Was passiert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Alle Titel, Zeitschriften, Formulare und Seminare werden übernommen. Beide Systeme laufen nebeneinander; gepflegt wird weiter im bisherigen System, anyPIM wird regelmäßig automatisch nachgezogen.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Ergebnisse werden nebeneinandergelegt: Stimmt die Vorschau? Sind die Shop-Daten gleich? Kommt beim Handel alles an?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Alle Anwenderinnen und Anwender werden geschult – etwa einen halben Tag je Rolle.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Wer ist gefragt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Alle Key-User für den Vergleich; danach alle Anwender für die Schulung.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Ergebnis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Schriftliche Abnahme durch jede Abteilung und ein festgelegter Stichtag für die Umstellung.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Phase 6 · Umstellung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anyPIM wird das führende System.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Was passiert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Am Stichtag wird der letzte Datenstand übernommen. Shop, Handel, Onlinekatalog und Vorschau-Exporte werden auf anyPIM umgestellt. Das bisherige System bleibt noch eine Übergangszeit zum Nachschlagen erreichbar und wird dann abgeschaltet.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Wer ist gefragt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IT für die Umschaltung; Key-User für die Kontrolle in den ersten Tagen.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Ergebnis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anyPIM ist im Einsatz, die Betreuung durch incoxx läuft wie gewohnt weiter.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WAS BEDEUTET DAS FÜR IHRE ABTEILUNG?</w:t>
      </w:r>
    </w:p>
    <w:p>
      <w:pPr>
        <w:spacing w:after="120" w:line="290"/>
      </w:pPr>
      <w:r>
        <w:rPr>
          <w:rFonts w:ascii="Arial" w:cs="Arial" w:eastAsia="Arial" w:hAnsi="Arial"/>
        </w:rPr>
        <w:t xml:space="preserve">Für jede Abteilung in vier Fragen: Worum geht es für Sie, was ist Ihr Beitrag im Projekt, was ändert sich im Alltag – und was bleibt gleich.</w:t>
      </w:r>
    </w:p>
    <w:p>
      <w:pPr>
        <w:pStyle w:val="Heading2"/>
      </w:pPr>
      <w:r>
        <w:rPr>
          <w:rFonts w:ascii="Arial" w:cs="Arial" w:eastAsia="Arial" w:hAnsi="Arial"/>
        </w:rPr>
        <w:t xml:space="preserve">Marketing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Klappentexte, Beschreibungen, Cover, Flyer und Vorschauen – Ihre Inhalte stehen im Mittelpunkt.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Ihr Beitrag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Key-User benennen. In der Bestandsaufnahme zeigen, wie Vorschau und Flyer heute entstehen. Im Pilot Texte und Cover prüfen, im Parallelbetrieb die Vorschau-Ergebnisse abnehmen.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Im Alltag neu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Ein Werk wird mit allen Ausgaben (Print, PDF, ePub) an einer Stelle gepflegt. Ein Text, einmal geändert, gilt für alle Ausgaben.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Bleibt gleich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Vorschauen entstehen weiterhin in InDesign mit EasyCatalog. Ihre Layouts bleiben.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Vertrieb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Daten für Onlinekatalog, Buchshop und Handel, Bestellblöcke, Titelübersichten und Foreign Rights.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Ihr Beitrag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Klären, welcher Abnehmer welche Daten wann bekommt. Im Parallelbetrieb prüfen, ob überall die gleichen Daten ankommen.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Im Alltag neu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Bestellblöcke und Titelübersichten entstehen direkt aus dem System. Partner können über befristete Links auf ausgewählte Titel zugreifen.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Bleibt gleich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Formate und Lieferwege für Ihre Abnehmer. Im Idealfall merken Handel und Partner von der Umstellung nichts.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Herstellung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bibliografischen Angaben: ISBN je Ausgabe, Umfang, Format, Ausstattung, Erscheinungstermin und Cover-Dateien.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Ihr Beitrag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Felder und Pflichtangaben mit uns durchgehen, Regeln für die Textprüfungen festlegen, die Übernahme der Cover-Metadaten prüfen.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Im Alltag neu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Prüfregeln zeigen fehlende oder fehlerhafte Angaben direkt an. Erscheinungstermine lassen sich im System planen.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Bleibt gleich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Herstellung, Kalkulation und Honorare bleiben in den bisherigen Systemen.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IT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Worum es geht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Betrieb, Sicherheit und Schnittstellen.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Ihr Beitrag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Server bereitstellen (Linux), Anmeldung und Berechtigungen abstimmen – auf Wunsch per Single Sign-on –, die Verbindungen zu Buchshop und Formularserver begleiten, das Backup-Konzept festlegen.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Im Alltag neu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Ein Linux-Server mit Webserver, PHP, MySQL-Datenbank und Redis. Updates laufen per Skript mit Wartungsmodus. Betrieb und Updates kann incoxx auf Wunsch übernehmen.</w:t>
            </w:r>
          </w:p>
        </w:tc>
      </w:tr>
      <w:tr>
        <w:trPr>
          <w:cantSplit/>
        </w:trPr>
        <w:tc>
          <w:tcPr>
            <w:tcW w:type="dxa" w:w="2100"/>
            <w:shd w:fill="E4F3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E2F"/>
                <w:sz w:val="19"/>
                <w:szCs w:val="19"/>
              </w:rPr>
              <w:t xml:space="preserve">Bleibt gleich</w:t>
            </w:r>
          </w:p>
        </w:tc>
        <w:tc>
          <w:tcPr>
            <w:tcW w:type="dxa" w:w="7538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60" w:line="280"/>
            </w:pPr>
            <w:r>
              <w:rPr>
                <w:rFonts w:ascii="Arial" w:cs="Arial" w:eastAsia="Arial" w:hAnsi="Arial"/>
              </w:rPr>
              <w:t xml:space="preserve">Die Betreuung durch incoxx und die bekannten Ansprechpartner.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WIE WIR RISIKEN KLEIN HALTEN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b/>
          <w:bCs/>
        </w:rPr>
        <w:t xml:space="preserve">Rückweg jederzeit möglich. </w:t>
      </w:r>
      <w:r>
        <w:rPr>
          <w:rFonts w:ascii="Arial" w:cs="Arial" w:eastAsia="Arial" w:hAnsi="Arial"/>
        </w:rPr>
        <w:t xml:space="preserve">Das bisherige System bleibt führend, bis alle Abteilungen abgenommen haben.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b/>
          <w:bCs/>
        </w:rPr>
        <w:t xml:space="preserve">Pilot zuerst. </w:t>
      </w:r>
      <w:r>
        <w:rPr>
          <w:rFonts w:ascii="Arial" w:cs="Arial" w:eastAsia="Arial" w:hAnsi="Arial"/>
        </w:rPr>
        <w:t xml:space="preserve">Fehler zeigen sich an wenigen Titeln, nicht am ganzen Programm.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b/>
          <w:bCs/>
        </w:rPr>
        <w:t xml:space="preserve">Automatischer Abgleich. </w:t>
      </w:r>
      <w:r>
        <w:rPr>
          <w:rFonts w:ascii="Arial" w:cs="Arial" w:eastAsia="Arial" w:hAnsi="Arial"/>
        </w:rPr>
        <w:t xml:space="preserve">Zählungen und Stichproben vergleichen alte und neue Daten bei jeder Übernahme.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b/>
          <w:bCs/>
        </w:rPr>
        <w:t xml:space="preserve">Ergebnisse vergleichen statt vertrauen. </w:t>
      </w:r>
      <w:r>
        <w:rPr>
          <w:rFonts w:ascii="Arial" w:cs="Arial" w:eastAsia="Arial" w:hAnsi="Arial"/>
        </w:rPr>
        <w:t xml:space="preserve">Vorschau, Katalog und Shop-Daten werden nebeneinandergelegt.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b/>
          <w:bCs/>
        </w:rPr>
        <w:t xml:space="preserve">Abnahme je Abteilung. </w:t>
      </w:r>
      <w:r>
        <w:rPr>
          <w:rFonts w:ascii="Arial" w:cs="Arial" w:eastAsia="Arial" w:hAnsi="Arial"/>
        </w:rPr>
        <w:t xml:space="preserve">Umgeschaltet wird erst, wenn alle zugestimmt haben.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b/>
          <w:bCs/>
        </w:rPr>
        <w:t xml:space="preserve">Der richtige Zeitpunkt. </w:t>
      </w:r>
      <w:r>
        <w:rPr>
          <w:rFonts w:ascii="Arial" w:cs="Arial" w:eastAsia="Arial" w:hAnsi="Arial"/>
        </w:rPr>
        <w:t xml:space="preserve">Die Umstellung liegt außerhalb kritischer Phasen – zum Beispiel nicht während der Vorschau-Produktion oder kurz vor einer Buchmesse.</w:t>
      </w:r>
    </w:p>
    <w:p>
      <w:pPr>
        <w:pStyle w:val="Heading1"/>
      </w:pPr>
      <w:r>
        <w:rPr>
          <w:rFonts w:ascii="Arial" w:cs="Arial" w:eastAsia="Arial" w:hAnsi="Arial"/>
        </w:rPr>
        <w:t xml:space="preserve">ZUSAMMENARBEIT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600"/>
        <w:gridCol w:w="2600"/>
        <w:gridCol w:w="4438"/>
      </w:tblGrid>
      <w:tr>
        <w:trPr>
          <w:tblHeader/>
        </w:trPr>
        <w:tc>
          <w:tcPr>
            <w:tcW w:type="dxa" w:w="2600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Rolle</w:t>
            </w:r>
          </w:p>
        </w:tc>
        <w:tc>
          <w:tcPr>
            <w:tcW w:type="dxa" w:w="2600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Wer</w:t>
            </w:r>
          </w:p>
        </w:tc>
        <w:tc>
          <w:tcPr>
            <w:tcW w:type="dxa" w:w="4438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Projektleitung Kohlhammer</w:t>
            </w:r>
          </w:p>
        </w:tc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wird benannt</w:t>
            </w:r>
          </w:p>
        </w:tc>
        <w:tc>
          <w:tcPr>
            <w:tcW w:type="dxa" w:w="44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Hält die Fäden zusammen, priorisiert, bereitet Entscheidungen vor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Key-User</w:t>
            </w:r>
          </w:p>
        </w:tc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 Abteilung 1–2 Personen</w:t>
            </w:r>
          </w:p>
        </w:tc>
        <w:tc>
          <w:tcPr>
            <w:tcW w:type="dxa" w:w="44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Fachwissen einbringen, prüfen, abnehmen, Kolleginnen und Kollegen mitnehmen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IT-Ansprechpartner</w:t>
            </w:r>
          </w:p>
        </w:tc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wird benannt</w:t>
            </w:r>
          </w:p>
        </w:tc>
        <w:tc>
          <w:tcPr>
            <w:tcW w:type="dxa" w:w="44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Server, Zugänge, Schnittstellen, Sicherheit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Projektleitung incoxx</w:t>
            </w:r>
          </w:p>
        </w:tc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feste Ansprechperson</w:t>
            </w:r>
          </w:p>
        </w:tc>
        <w:tc>
          <w:tcPr>
            <w:tcW w:type="dxa" w:w="44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Planung, Abstimmung, Statusberichte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Umsetzung incoxx</w:t>
            </w:r>
          </w:p>
        </w:tc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Entwicklung und Datenübernahme</w:t>
            </w:r>
          </w:p>
        </w:tc>
        <w:tc>
          <w:tcPr>
            <w:tcW w:type="dxa" w:w="44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Einrichtung, Übernahme, Projektfunktionen, Schulung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Lenkungskreis</w:t>
            </w:r>
          </w:p>
        </w:tc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Geschäfts- bzw. Bereichsleitung</w:t>
            </w:r>
          </w:p>
        </w:tc>
        <w:tc>
          <w:tcPr>
            <w:tcW w:type="dxa" w:w="44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Entscheidet an den Meilensteinen</w:t>
            </w:r>
          </w:p>
        </w:tc>
      </w:tr>
    </w:tbl>
    <w:p>
      <w:pPr>
        <w:spacing w:after="160"/>
      </w:pPr>
    </w:p>
    <w:p>
      <w:pPr>
        <w:spacing w:after="120" w:line="290"/>
      </w:pPr>
      <w:r>
        <w:rPr>
          <w:rFonts w:ascii="Arial" w:cs="Arial" w:eastAsia="Arial" w:hAnsi="Arial"/>
          <w:b/>
          <w:bCs/>
          <w:color w:val="000E2F"/>
          <w:sz w:val="22"/>
          <w:szCs w:val="22"/>
        </w:rPr>
        <w:t xml:space="preserve">Unser Rhythmus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Wöchentlicher Jour fixe, 30 Minuten: Stand, nächste Schritte, offene Fragen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Alle zwei Wochen eine Vorführung für die Key-User: Was ist neu, was ist fertig?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Lenkungskreis an jedem Meilenstein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Eine gemeinsame Aufgabenliste, für alle Beteiligten einsehbar</w:t>
      </w:r>
    </w:p>
    <w:p>
      <w:pPr>
        <w:pStyle w:val="Heading1"/>
      </w:pPr>
      <w:r>
        <w:rPr>
          <w:rFonts w:ascii="Arial" w:cs="Arial" w:eastAsia="Arial" w:hAnsi="Arial"/>
        </w:rPr>
        <w:t xml:space="preserve">MEILENSTEINE UND ENTSCHEIDUNGEN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600"/>
        <w:gridCol w:w="3900"/>
        <w:gridCol w:w="3138"/>
      </w:tblGrid>
      <w:tr>
        <w:trPr>
          <w:tblHeader/>
        </w:trPr>
        <w:tc>
          <w:tcPr>
            <w:tcW w:type="dxa" w:w="2600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Meilenstein</w:t>
            </w:r>
          </w:p>
        </w:tc>
        <w:tc>
          <w:tcPr>
            <w:tcW w:type="dxa" w:w="3900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Woran man ihn erkennt</w:t>
            </w:r>
          </w:p>
        </w:tc>
        <w:tc>
          <w:tcPr>
            <w:tcW w:type="dxa" w:w="3138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Entscheidung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M1 · Projektstart</w:t>
            </w:r>
          </w:p>
        </w:tc>
        <w:tc>
          <w:tcPr>
            <w:tcW w:type="dxa" w:w="3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Auftakt erledigt, Team benannt</w:t>
            </w:r>
          </w:p>
        </w:tc>
        <w:tc>
          <w:tcPr>
            <w:tcW w:type="dxa" w:w="31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Pilotbereich festlegen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M2 · Zielbild</w:t>
            </w:r>
          </w:p>
        </w:tc>
        <w:tc>
          <w:tcPr>
            <w:tcW w:type="dxa" w:w="39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Bestandsaufnahme abgeschlossen</w:t>
            </w:r>
          </w:p>
        </w:tc>
        <w:tc>
          <w:tcPr>
            <w:tcW w:type="dxa" w:w="31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Umfang und Zeitplan freigeben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M3 · Pilot</w:t>
            </w:r>
          </w:p>
        </w:tc>
        <w:tc>
          <w:tcPr>
            <w:tcW w:type="dxa" w:w="3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Pilotdaten geprüft</w:t>
            </w:r>
          </w:p>
        </w:tc>
        <w:tc>
          <w:tcPr>
            <w:tcW w:type="dxa" w:w="31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Gesamtübernahme freigeben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M4 · Projektfunktionen</w:t>
            </w:r>
          </w:p>
        </w:tc>
        <w:tc>
          <w:tcPr>
            <w:tcW w:type="dxa" w:w="39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Alle Funktionen der Liste abgenommen</w:t>
            </w:r>
          </w:p>
        </w:tc>
        <w:tc>
          <w:tcPr>
            <w:tcW w:type="dxa" w:w="31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M5 · Parallelbetrieb</w:t>
            </w:r>
          </w:p>
        </w:tc>
        <w:tc>
          <w:tcPr>
            <w:tcW w:type="dxa" w:w="3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Ergebnisvergleich bestanden, Schulungen erfolgt</w:t>
            </w:r>
          </w:p>
        </w:tc>
        <w:tc>
          <w:tcPr>
            <w:tcW w:type="dxa" w:w="31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Stichtag freigeben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M6 · Umstellung</w:t>
            </w:r>
          </w:p>
        </w:tc>
        <w:tc>
          <w:tcPr>
            <w:tcW w:type="dxa" w:w="39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anyPIM ist führendes System</w:t>
            </w:r>
          </w:p>
        </w:tc>
        <w:tc>
          <w:tcPr>
            <w:tcW w:type="dxa" w:w="31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Abschaltung des bisherigen Systems freigeben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WAS WIR VON KOHLHAMMER BRAUCHEN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Eine Projektleitung sowie Key-User aus Marketing, Vertrieb, Herstellung und IT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Lesezugriff auf das bisherige System und Beispiele aller heutigen Exporte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Beispiel-Dokumente der Vorschauen, Buchinfos und Flyer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Eine Server- bzw. Testumgebung nach Absprache mit der IT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Klärung der offenen Punkte: Ärzteshop und Cloud-Anwendung für Compu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</w:rPr>
        <w:t xml:space="preserve">Kritische Zeiträume im Verlagsjahr, in denen nicht umgestellt werden soll</w:t>
      </w:r>
    </w:p>
    <w:p>
      <w:pPr>
        <w:pStyle w:val="Heading1"/>
      </w:pPr>
      <w:r>
        <w:rPr>
          <w:rFonts w:ascii="Arial" w:cs="Arial" w:eastAsia="Arial" w:hAnsi="Arial"/>
        </w:rPr>
        <w:t xml:space="preserve">KLEINES GLOSSAR</w:t>
      </w:r>
    </w:p>
    <w:tbl>
      <w:tblPr>
        <w:tblW w:type="dxa" w:w="9638"/>
        <w:tblBorders>
          <w:top w:val="single" w:color="D6DDE3" w:sz="4"/>
          <w:left w:val="single" w:color="D6DDE3" w:sz="4"/>
          <w:bottom w:val="single" w:color="D6DDE3" w:sz="4"/>
          <w:right w:val="single" w:color="D6DDE3" w:sz="4"/>
          <w:insideH w:val="single" w:color="D6DDE3" w:sz="4"/>
          <w:insideV w:val="single" w:color="D6DDE3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Begriff</w:t>
            </w:r>
          </w:p>
        </w:tc>
        <w:tc>
          <w:tcPr>
            <w:tcW w:type="dxa" w:w="7038"/>
            <w:shd w:fill="000E2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PIM</w:t>
            </w:r>
          </w:p>
        </w:tc>
        <w:tc>
          <w:tcPr>
            <w:tcW w:type="dxa" w:w="7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Product Information Management – das zentrale System für alle Titel- und Produktdaten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Attribut</w:t>
            </w:r>
          </w:p>
        </w:tc>
        <w:tc>
          <w:tcPr>
            <w:tcW w:type="dxa" w:w="70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Ein einzelnes Datenfeld, zum Beispiel ISBN, Seitenzahl oder Klappentext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Hierarchie</w:t>
            </w:r>
          </w:p>
        </w:tc>
        <w:tc>
          <w:tcPr>
            <w:tcW w:type="dxa" w:w="7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Eine Ordnung der Titel, zum Beispiel nach Fachbereichen oder Reihen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Werk und Ausgabe</w:t>
            </w:r>
          </w:p>
        </w:tc>
        <w:tc>
          <w:tcPr>
            <w:tcW w:type="dxa" w:w="70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 Werk bündelt den gemeinsamen Inhalt; Print, PDF und ePub sind seine Ausgaben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7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Daten in einem bestimmten Format ausgeben, etwa für EasyCatalog, den Shop oder den Handel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Schnittstelle</w:t>
            </w:r>
          </w:p>
        </w:tc>
        <w:tc>
          <w:tcPr>
            <w:tcW w:type="dxa" w:w="70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Eine automatische Verbindung zu einem anderen System, zum Beispiel dem Buchshop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Key-User</w:t>
            </w:r>
          </w:p>
        </w:tc>
        <w:tc>
          <w:tcPr>
            <w:tcW w:type="dxa" w:w="7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Erfahrene Anwender einer Abteilung, die im Projekt mitarbeiten und ihr Team mitnehmen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Parallelbetrieb</w:t>
            </w:r>
          </w:p>
        </w:tc>
        <w:tc>
          <w:tcPr>
            <w:tcW w:type="dxa" w:w="70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Beide Systeme laufen gleichzeitig, damit die Ergebnisse verglichen werden können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Stichtag</w:t>
            </w:r>
          </w:p>
        </w:tc>
        <w:tc>
          <w:tcPr>
            <w:tcW w:type="dxa" w:w="7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Der Tag, an dem anyPIM zum führenden System wird</w:t>
            </w:r>
          </w:p>
        </w:tc>
      </w:tr>
      <w:tr>
        <w:tc>
          <w:tcPr>
            <w:tcW w:type="dxa" w:w="2600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Abnahme</w:t>
            </w:r>
          </w:p>
        </w:tc>
        <w:tc>
          <w:tcPr>
            <w:tcW w:type="dxa" w:w="7038"/>
            <w:shd w:fill="F7F9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Die Bestätigung einer Abteilung, dass ein Ergebnis so passt</w:t>
            </w:r>
          </w:p>
        </w:tc>
      </w:tr>
    </w:tbl>
    <w:p>
      <w:pPr>
        <w:spacing w:after="3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C6E6E3" w:color="auto" w:val="clear"/>
            <w:tcMar>
              <w:top w:type="dxa" w:w="220"/>
              <w:left w:type="dxa" w:w="280"/>
              <w:bottom w:type="dxa" w:w="220"/>
              <w:right w:type="dxa" w:w="280"/>
            </w:tcMar>
            <w:vAlign w:val="top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0E2F"/>
                <w:sz w:val="24"/>
                <w:szCs w:val="24"/>
              </w:rPr>
              <w:t xml:space="preserve">Nächster Schritt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Termin für den Auftakt-Workshop vereinbaren und die Ansprechpartner der Abteilungen benennen.</w:t>
            </w:r>
          </w:p>
        </w:tc>
      </w:tr>
    </w:tbl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563"/>
        <w:sz w:val="16"/>
        <w:szCs w:val="16"/>
      </w:rPr>
      <w:t xml:space="preserve">Projektablauf  ·  Von Pimcore 6 zu anyPIM  ·  Stand September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■"/>
      <w:lvlJc w:val="left"/>
      <w:pPr>
        <w:ind w:left="360" w:hanging="300"/>
      </w:pPr>
      <w:rPr>
        <w:color w:val="000E2F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81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80"/>
      <w:outlineLvl w:val="0"/>
    </w:pPr>
    <w:rPr>
      <w:rFonts w:ascii="Arial" w:cs="Arial" w:eastAsia="Arial" w:hAnsi="Arial"/>
      <w:color w:val="000E2F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B2D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Projektablauf: Von Pimcore 6 zu anyPIM</dc:title>
  <dc:creator>incoxx GmbH</dc:creator>
  <cp:lastModifiedBy>Un-named</cp:lastModifiedBy>
  <cp:revision>1</cp:revision>
  <dcterms:created xsi:type="dcterms:W3CDTF">2026-09-28T16:55:14.745Z</dcterms:created>
  <dcterms:modified xsi:type="dcterms:W3CDTF">2026-09-28T16:55:14.745Z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