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000E2F" w:color="auto" w:val="clear"/>
            <w:tcMar>
              <w:top w:type="dxa" w:w="260"/>
              <w:left w:type="dxa" w:w="280"/>
              <w:bottom w:type="dxa" w:w="260"/>
              <w:right w:type="dxa" w:w="2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anyPIM</w:t>
            </w: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  für Kohlhammer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C6E6E3" w:color="auto" w:val="clear"/>
            <w:tcMar>
              <w:top w:type="dxa" w:w="300"/>
              <w:left w:type="dxa" w:w="280"/>
              <w:bottom w:type="dxa" w:w="300"/>
              <w:right w:type="dxa" w:w="280"/>
            </w:tcMar>
            <w:vAlign w:val="top"/>
          </w:tcPr>
          <w:p>
            <w:pPr>
              <w:spacing w:after="0" w:before="500"/>
              <w:ind w:left="900"/>
            </w:pPr>
            <w:r>
              <w:rPr>
                <w:rFonts w:ascii="Arial" w:cs="Arial" w:eastAsia="Arial" w:hAnsi="Arial"/>
                <w:color w:val="2B3050"/>
                <w:sz w:val="64"/>
                <w:szCs w:val="64"/>
              </w:rPr>
              <w:t xml:space="preserve">Wissen braucht</w:t>
            </w:r>
          </w:p>
          <w:p>
            <w:pPr>
              <w:spacing w:after="500" w:before="0"/>
              <w:ind w:left="300"/>
            </w:pPr>
            <w:r>
              <w:rPr>
                <w:rFonts w:ascii="Arial" w:cs="Arial" w:eastAsia="Arial" w:hAnsi="Arial"/>
                <w:color w:val="2B3050"/>
                <w:sz w:val="150"/>
                <w:szCs w:val="150"/>
              </w:rPr>
              <w:t xml:space="preserve">Struktur.</w:t>
            </w:r>
          </w:p>
        </w:tc>
      </w:tr>
    </w:tbl>
    <w:p>
      <w:pPr>
        <w:spacing w:after="4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E2F"/>
          <w:sz w:val="44"/>
          <w:szCs w:val="44"/>
        </w:rPr>
        <w:t xml:space="preserve">Von Pimcore 6 zu anyPIM</w:t>
      </w:r>
    </w:p>
    <w:p>
      <w:pPr>
        <w:spacing w:after="360"/>
      </w:pPr>
      <w:r>
        <w:rPr>
          <w:rFonts w:ascii="Arial" w:cs="Arial" w:eastAsia="Arial" w:hAnsi="Arial"/>
          <w:color w:val="1B2D5C"/>
          <w:sz w:val="36"/>
          <w:szCs w:val="36"/>
        </w:rPr>
        <w:t xml:space="preserve">Der Projektablauf</w:t>
      </w:r>
    </w:p>
    <w:p>
      <w:pPr>
        <w:spacing w:after="600" w:line="320"/>
      </w:pPr>
      <w:r>
        <w:rPr>
          <w:rFonts w:ascii="Arial" w:cs="Arial" w:eastAsia="Arial" w:hAnsi="Arial"/>
          <w:color w:val="16181D"/>
          <w:sz w:val="24"/>
          <w:szCs w:val="24"/>
        </w:rPr>
        <w:t xml:space="preserve">Was passiert wann – und wer ist beteiligt. Geschrieben für Marketing, Vertrieb, Herstellung und IT.</w:t>
      </w:r>
    </w:p>
    <w:p>
      <w:pPr>
        <w:spacing w:after="120" w:line="29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W. Kohlhammer GmbH  ·  incoxx GmbH  ·  Stand: September 2026  ·  Entwurf zur Abstimmung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WORUM ES GEHT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Kohlhammer pflegt seine Titel- und Produktdaten seit vielen Jahren in einem zentralen System, heute Pimcore 6. Aus diesen Daten entstehen Vorschauen und Buchinfos, der Onlinekatalog, die Daten für Shop und Handel und vieles mehr.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Dieses Dokument beschreibt, wie der Umzug auf anyPIM abläuft: in welchen Schritten, mit welchem Beitrag der einzelnen Abteilungen und wie wir sicherstellen, dass im Tagesgeschäft nichts verloren geht. Es setzt kein technisches Vorwissen voraus; Fachbegriffe sind am Ende erklärt.</w:t>
      </w:r>
    </w:p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4F3F1" w:color="auto" w:val="clear"/>
            <w:tcMar>
              <w:top w:type="dxa" w:w="220"/>
              <w:left w:type="dxa" w:w="280"/>
              <w:bottom w:type="dxa" w:w="220"/>
              <w:right w:type="dxa" w:w="280"/>
            </w:tcMar>
            <w:vAlign w:val="top"/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000E2F"/>
                <w:sz w:val="24"/>
                <w:szCs w:val="24"/>
              </w:rPr>
              <w:t xml:space="preserve">Das Wichtigste in Kürze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Kein Sprung ins kalte Wasser. </w:t>
            </w:r>
            <w:r>
              <w:rPr>
                <w:rFonts w:ascii="Arial" w:cs="Arial" w:eastAsia="Arial" w:hAnsi="Arial"/>
              </w:rPr>
              <w:t xml:space="preserve">Das bisherige System läuft weiter, bis alle Bereiche umgestellt und abgenommen sind.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Wir starten klein. </w:t>
            </w:r>
            <w:r>
              <w:rPr>
                <w:rFonts w:ascii="Arial" w:cs="Arial" w:eastAsia="Arial" w:hAnsi="Arial"/>
              </w:rPr>
              <w:t xml:space="preserve">Ein Fachbereich – Vorschlag: Brandschutz – geht als Pilot voran.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Keine Neuerfassung. </w:t>
            </w:r>
            <w:r>
              <w:rPr>
                <w:rFonts w:ascii="Arial" w:cs="Arial" w:eastAsia="Arial" w:hAnsi="Arial"/>
              </w:rPr>
              <w:t xml:space="preserve">Die vorhandenen Daten werden übernommen, nicht abgetippt.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Keine Doppelpflege. </w:t>
            </w:r>
            <w:r>
              <w:rPr>
                <w:rFonts w:ascii="Arial" w:cs="Arial" w:eastAsia="Arial" w:hAnsi="Arial"/>
              </w:rPr>
              <w:t xml:space="preserve">Bis zur Umstellung wird wie gewohnt im bisherigen System gepflegt; anyPIM wird automatisch nachgezogen.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Jede Abteilung prüft selbst. </w:t>
            </w:r>
            <w:r>
              <w:rPr>
                <w:rFonts w:ascii="Arial" w:cs="Arial" w:eastAsia="Arial" w:hAnsi="Arial"/>
              </w:rPr>
              <w:t xml:space="preserve">Umgeschaltet wird erst, wenn Vorschau, Katalog und Shop-Daten stimmen.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Was fehlt, wird Standard. </w:t>
            </w:r>
            <w:r>
              <w:rPr>
                <w:rFonts w:ascii="Arial" w:cs="Arial" w:eastAsia="Arial" w:hAnsi="Arial"/>
              </w:rPr>
              <w:t xml:space="preserve">Funktionen, die Kohlhammer braucht und die es heute noch nicht gibt, bauen wir als feste Produktfunktion.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DER ABLAUF AUF EINEN BLICK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shd w:fill="000E2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1606"/>
            <w:shd w:fill="000E2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1606"/>
            <w:shd w:fill="000E2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1606"/>
            <w:shd w:fill="000E2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1606"/>
            <w:shd w:fill="000E2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1608"/>
            <w:shd w:fill="E2211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06</w:t>
            </w:r>
          </w:p>
        </w:tc>
      </w:tr>
      <w:tr>
        <w:tc>
          <w:tcPr>
            <w:tcW w:type="dxa" w:w="1606"/>
            <w:shd w:fill="EEF0F2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6181D"/>
                <w:sz w:val="18"/>
                <w:szCs w:val="18"/>
              </w:rPr>
              <w:t xml:space="preserve">Auftakt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ein halber Tag</w:t>
            </w:r>
          </w:p>
        </w:tc>
        <w:tc>
          <w:tcPr>
            <w:tcW w:type="dxa" w:w="1606"/>
            <w:shd w:fill="EEF0F2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6181D"/>
                <w:sz w:val="18"/>
                <w:szCs w:val="18"/>
              </w:rPr>
              <w:t xml:space="preserve">Bestands­aufnahme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ca. 2 Wochen</w:t>
            </w:r>
          </w:p>
        </w:tc>
        <w:tc>
          <w:tcPr>
            <w:tcW w:type="dxa" w:w="1606"/>
            <w:shd w:fill="EEF0F2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6181D"/>
                <w:sz w:val="18"/>
                <w:szCs w:val="18"/>
              </w:rPr>
              <w:t xml:space="preserve">Pilot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ca. 4 Wochen</w:t>
            </w:r>
          </w:p>
        </w:tc>
        <w:tc>
          <w:tcPr>
            <w:tcW w:type="dxa" w:w="1606"/>
            <w:shd w:fill="EEF0F2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6181D"/>
                <w:sz w:val="18"/>
                <w:szCs w:val="18"/>
              </w:rPr>
              <w:t xml:space="preserve">Projekt­funktionen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je nach Umfang</w:t>
            </w:r>
          </w:p>
        </w:tc>
        <w:tc>
          <w:tcPr>
            <w:tcW w:type="dxa" w:w="1606"/>
            <w:shd w:fill="EEF0F2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6181D"/>
                <w:sz w:val="18"/>
                <w:szCs w:val="18"/>
              </w:rPr>
              <w:t xml:space="preserve">Gesamt­übernahme, Parallel­betrieb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ca. 4–6 Wochen</w:t>
            </w:r>
          </w:p>
        </w:tc>
        <w:tc>
          <w:tcPr>
            <w:tcW w:type="dxa" w:w="1608"/>
            <w:shd w:fill="EEF0F2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16181D"/>
                <w:sz w:val="18"/>
                <w:szCs w:val="18"/>
              </w:rPr>
              <w:t xml:space="preserve">Umstellung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Stichtag, danach Ablösung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Die Zeitangaben sind Richtwerte. Sie werden in der Bestandsaufnahme verbindlich geplant. Die Phasen 3 und 4 laufen teilweise parallel.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DIE PHASEN IM DETAIL</w:t>
      </w:r>
    </w:p>
    <w:p>
      <w:pPr>
        <w:pStyle w:val="Heading2"/>
      </w:pPr>
      <w:r>
        <w:rPr>
          <w:rFonts w:ascii="Arial" w:cs="Arial" w:eastAsia="Arial" w:hAnsi="Arial"/>
        </w:rPr>
        <w:t xml:space="preserve">Phase 1 · Auftakt</w:t>
      </w:r>
    </w:p>
    <w:tbl>
      <w:tblPr>
        <w:tblW w:type="dxa" w:w="9638"/>
        <w:tblBorders>
          <w:top w:val="single" w:color="D6DDE3" w:sz="4"/>
          <w:left w:val="single" w:color="D6DDE3" w:sz="4"/>
          <w:bottom w:val="single" w:color="D6DDE3" w:sz="4"/>
          <w:right w:val="single" w:color="D6DDE3" w:sz="4"/>
          <w:insideH w:val="single" w:color="D6DDE3" w:sz="4"/>
          <w:insideV w:val="single" w:color="D6DDE3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Worum es geht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Alle Beteiligten kennen Ziel, Ablauf und Ansprechpartner.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Was passiert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Halbtägiger Workshop. Wir zeigen anyPIM an einem echten Kohlhammer-Titel und legen gemeinsam Pilotbereich, Termine und Zuständigkeiten fest.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Wer ist gefragt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Projektleitung sowie je ein bis zwei Personen aus Marketing, Vertrieb, Herstellung und IT.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Ergebnis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Das Projektteam steht, der Pilotbereich ist gewählt, die Termine der Bestandsaufnahme sind vereinbart.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Phase 2 · Bestandsaufnahme</w:t>
      </w:r>
    </w:p>
    <w:tbl>
      <w:tblPr>
        <w:tblW w:type="dxa" w:w="9638"/>
        <w:tblBorders>
          <w:top w:val="single" w:color="D6DDE3" w:sz="4"/>
          <w:left w:val="single" w:color="D6DDE3" w:sz="4"/>
          <w:bottom w:val="single" w:color="D6DDE3" w:sz="4"/>
          <w:right w:val="single" w:color="D6DDE3" w:sz="4"/>
          <w:insideH w:val="single" w:color="D6DDE3" w:sz="4"/>
          <w:insideV w:val="single" w:color="D6DDE3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Worum es geht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Wir verstehen genau, was heute im System steckt und was daraus entsteht.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Was passiert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Gespräche mit jeder Abteilung, jeweils etwa ein bis zwei Stunden. Wir gehen gemeinsam durch: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</w:rPr>
              <w:t xml:space="preserve">Datenfelder, Fachbereiche, Reihen und Ausgaben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</w:rPr>
              <w:t xml:space="preserve">alle Ausgaben der Daten: Vorschau, Vorschau RS, Buchinfo, Foreign Rights, Onlinekatalog, Thieme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</w:rPr>
              <w:t xml:space="preserve">Verbindungen zu Buchshop und Formularserver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</w:rPr>
              <w:t xml:space="preserve">Rollen und Berechtigungen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Wer ist gefragt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Die Key-User jeder Abteilung; die IT für Schnittstellen und Server.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Ergebnis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Eine bestätigte Funktionsliste, das Zielbild und ein verbindlicher Zeitplan. Offene Punkte wie Ärzteshop und die Cloud-Anwendung für Compu sind geklärt.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Phase 3 · Pilot</w:t>
      </w:r>
    </w:p>
    <w:tbl>
      <w:tblPr>
        <w:tblW w:type="dxa" w:w="9638"/>
        <w:tblBorders>
          <w:top w:val="single" w:color="D6DDE3" w:sz="4"/>
          <w:left w:val="single" w:color="D6DDE3" w:sz="4"/>
          <w:bottom w:val="single" w:color="D6DDE3" w:sz="4"/>
          <w:right w:val="single" w:color="D6DDE3" w:sz="4"/>
          <w:insideH w:val="single" w:color="D6DDE3" w:sz="4"/>
          <w:insideV w:val="single" w:color="D6DDE3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Worum es geht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Erste echte Erfahrung mit anyPIM – an einem überschaubaren Ausschnitt des Programms.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Was passiert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anyPIM wird eingerichtet, die Titel des Pilotbereichs werden aus dem bisherigen System übernommen. Die Key-User arbeiten mit echten Daten: suchen, prüfen, ändern – und melden zurück, was fehlt oder unklar ist.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Wer ist gefragt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Key-User: Stichproben prüfen und Rückmeldung geben. IT: Testumgebung und Zugänge bereitstellen.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Ergebnis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Die Pilotdaten sind vollständig und geprüft, die Rückmeldungen eingearbeitet.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Phase 4 · Projektfunktionen</w:t>
      </w:r>
    </w:p>
    <w:tbl>
      <w:tblPr>
        <w:tblW w:type="dxa" w:w="9638"/>
        <w:tblBorders>
          <w:top w:val="single" w:color="D6DDE3" w:sz="4"/>
          <w:left w:val="single" w:color="D6DDE3" w:sz="4"/>
          <w:bottom w:val="single" w:color="D6DDE3" w:sz="4"/>
          <w:right w:val="single" w:color="D6DDE3" w:sz="4"/>
          <w:insideH w:val="single" w:color="D6DDE3" w:sz="4"/>
          <w:insideV w:val="single" w:color="D6DDE3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Worum es geht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Was Kohlhammer braucht und heute noch nicht Standard ist, wird gebaut – als feste Funktion des Produkts, nicht als Sonderlösung.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Was passiert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Laut Funktionsliste gehören dazu zum Beispiel: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</w:rPr>
              <w:t xml:space="preserve">Exporte für die Vorschauen in InDesign mit EasyCatalog (Vorschau, Vorschau RS, Buchinfo, Foreign Rights)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</w:rPr>
              <w:t xml:space="preserve">Export für Thieme sowie XML-Metadaten bzw. ONIX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</w:rPr>
              <w:t xml:space="preserve">Übernahme von Metadaten aus dem 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Arial" w:cs="Arial" w:eastAsia="Arial" w:hAnsi="Arial"/>
              </w:rPr>
              <w:t xml:space="preserve">Uploads im Onlinekatalog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Jede Funktion wird mit echten Kohlhammer-Daten vorgeführt, bevor sie als fertig gilt.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Wer ist gefragt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Die Abteilung, die eine Funktion nutzt, nimmt sie ab. incoxx setzt um.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Ergebnis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Alle Funktionen der Liste sind verfügbar und abgenommen.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Phase 5 · Gesamtübernahme und Parallelbetrieb</w:t>
      </w:r>
    </w:p>
    <w:tbl>
      <w:tblPr>
        <w:tblW w:type="dxa" w:w="9638"/>
        <w:tblBorders>
          <w:top w:val="single" w:color="D6DDE3" w:sz="4"/>
          <w:left w:val="single" w:color="D6DDE3" w:sz="4"/>
          <w:bottom w:val="single" w:color="D6DDE3" w:sz="4"/>
          <w:right w:val="single" w:color="D6DDE3" w:sz="4"/>
          <w:insideH w:val="single" w:color="D6DDE3" w:sz="4"/>
          <w:insideV w:val="single" w:color="D6DDE3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Worum es geht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Das ganze Programm ist in anyPIM – und wir beweisen, dass die Ergebnisse stimmen.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Was passiert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Alle Titel, Zeitschriften, Formulare und Seminare werden übernommen. Beide Systeme laufen nebeneinander; gepflegt wird weiter im bisherigen System, anyPIM wird regelmäßig automatisch nachgezogen.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Die Ergebnisse werden nebeneinandergelegt: Stimmt die Vorschau? Sind die Shop-Daten gleich? Kommt beim Handel alles an?</w:t>
            </w:r>
          </w:p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Alle Anwenderinnen und Anwender werden geschult – etwa einen halben Tag je Rolle.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Wer ist gefragt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Alle Key-User für den Vergleich; danach alle Anwender für die Schulung.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Ergebnis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Schriftliche Abnahme durch jede Abteilung und ein festgelegter Stichtag für die Umstellung.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Phase 6 · Umstellung</w:t>
      </w:r>
    </w:p>
    <w:tbl>
      <w:tblPr>
        <w:tblW w:type="dxa" w:w="9638"/>
        <w:tblBorders>
          <w:top w:val="single" w:color="D6DDE3" w:sz="4"/>
          <w:left w:val="single" w:color="D6DDE3" w:sz="4"/>
          <w:bottom w:val="single" w:color="D6DDE3" w:sz="4"/>
          <w:right w:val="single" w:color="D6DDE3" w:sz="4"/>
          <w:insideH w:val="single" w:color="D6DDE3" w:sz="4"/>
          <w:insideV w:val="single" w:color="D6DDE3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Worum es geht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anyPIM wird das führende System.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Was passiert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Am Stichtag wird der letzte Datenstand übernommen. Shop, Handel, Onlinekatalog und Vorschau-Exporte werden auf anyPIM umgestellt. Das bisherige System bleibt noch eine Übergangszeit zum Nachschlagen erreichbar und wird dann abgeschaltet.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Wer ist gefragt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IT für die Umschaltung; Key-User für die Kontrolle in den ersten Tagen.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Ergebnis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anyPIM ist im Einsatz, die Betreuung durch incoxx läuft wie gewohnt weiter.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WAS BEDEUTET DAS FÜR IHRE ABTEILUNG?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Für jede Abteilung in vier Fragen: Worum geht es für Sie, was ist Ihr Beitrag im Projekt, was ändert sich im Alltag – und was bleibt gleich.</w:t>
      </w:r>
    </w:p>
    <w:p>
      <w:pPr>
        <w:pStyle w:val="Heading2"/>
      </w:pPr>
      <w:r>
        <w:rPr>
          <w:rFonts w:ascii="Arial" w:cs="Arial" w:eastAsia="Arial" w:hAnsi="Arial"/>
        </w:rPr>
        <w:t xml:space="preserve">Marketing</w:t>
      </w:r>
    </w:p>
    <w:tbl>
      <w:tblPr>
        <w:tblW w:type="dxa" w:w="9638"/>
        <w:tblBorders>
          <w:top w:val="single" w:color="D6DDE3" w:sz="4"/>
          <w:left w:val="single" w:color="D6DDE3" w:sz="4"/>
          <w:bottom w:val="single" w:color="D6DDE3" w:sz="4"/>
          <w:right w:val="single" w:color="D6DDE3" w:sz="4"/>
          <w:insideH w:val="single" w:color="D6DDE3" w:sz="4"/>
          <w:insideV w:val="single" w:color="D6DDE3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Worum es geht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Klappentexte, Beschreibungen, Cover, Flyer und Vorschauen – Ihre Inhalte stehen im Mittelpunkt.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Ihr Beitrag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Key-User benennen. In der Bestandsaufnahme zeigen, wie Vorschau und Flyer heute entstehen. Im Pilot Texte und Cover prüfen, im Parallelbetrieb die Vorschau-Ergebnisse abnehmen.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Im Alltag neu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Ein Werk wird mit allen Ausgaben (Print, PDF, ePub) an einer Stelle gepflegt. Ein Text, einmal geändert, gilt für alle Ausgaben.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Bleibt gleich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Die Vorschauen entstehen weiterhin in InDesign mit EasyCatalog. Ihre Layouts bleiben.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Vertrieb</w:t>
      </w:r>
    </w:p>
    <w:tbl>
      <w:tblPr>
        <w:tblW w:type="dxa" w:w="9638"/>
        <w:tblBorders>
          <w:top w:val="single" w:color="D6DDE3" w:sz="4"/>
          <w:left w:val="single" w:color="D6DDE3" w:sz="4"/>
          <w:bottom w:val="single" w:color="D6DDE3" w:sz="4"/>
          <w:right w:val="single" w:color="D6DDE3" w:sz="4"/>
          <w:insideH w:val="single" w:color="D6DDE3" w:sz="4"/>
          <w:insideV w:val="single" w:color="D6DDE3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Worum es geht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Die Daten für Onlinekatalog, Buchshop und Handel, Bestellblöcke, Titelübersichten und Foreign Rights.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Ihr Beitrag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Klären, welcher Abnehmer welche Daten wann bekommt. Im Parallelbetrieb prüfen, ob überall die gleichen Daten ankommen.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Im Alltag neu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Bestellblöcke und Titelübersichten entstehen direkt aus dem System. Partner können über befristete Links auf ausgewählte Titel zugreifen.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Bleibt gleich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Formate und Lieferwege für Ihre Abnehmer. Im Idealfall merken Handel und Partner von der Umstellung nichts.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Herstellung</w:t>
      </w:r>
    </w:p>
    <w:tbl>
      <w:tblPr>
        <w:tblW w:type="dxa" w:w="9638"/>
        <w:tblBorders>
          <w:top w:val="single" w:color="D6DDE3" w:sz="4"/>
          <w:left w:val="single" w:color="D6DDE3" w:sz="4"/>
          <w:bottom w:val="single" w:color="D6DDE3" w:sz="4"/>
          <w:right w:val="single" w:color="D6DDE3" w:sz="4"/>
          <w:insideH w:val="single" w:color="D6DDE3" w:sz="4"/>
          <w:insideV w:val="single" w:color="D6DDE3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Worum es geht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Die bibliografischen Angaben: ISBN je Ausgabe, Umfang, Format, Ausstattung, Erscheinungstermin und Cover-Dateien.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Ihr Beitrag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Felder und Pflichtangaben mit uns durchgehen, Regeln für die Textprüfungen festlegen, die Übernahme der Cover-Metadaten prüfen.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Im Alltag neu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Prüfregeln zeigen fehlende oder fehlerhafte Angaben direkt an. Erscheinungstermine lassen sich im System planen.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Bleibt gleich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Herstellung, Kalkulation und Honorare bleiben in den bisherigen Systemen.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IT</w:t>
      </w:r>
    </w:p>
    <w:tbl>
      <w:tblPr>
        <w:tblW w:type="dxa" w:w="9638"/>
        <w:tblBorders>
          <w:top w:val="single" w:color="D6DDE3" w:sz="4"/>
          <w:left w:val="single" w:color="D6DDE3" w:sz="4"/>
          <w:bottom w:val="single" w:color="D6DDE3" w:sz="4"/>
          <w:right w:val="single" w:color="D6DDE3" w:sz="4"/>
          <w:insideH w:val="single" w:color="D6DDE3" w:sz="4"/>
          <w:insideV w:val="single" w:color="D6DDE3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Worum es geht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Betrieb, Sicherheit und Schnittstellen.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Ihr Beitrag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Server bereitstellen (Linux), Anmeldung und Berechtigungen abstimmen – auf Wunsch per Single Sign-on –, die Verbindungen zu Buchshop und Formularserver begleiten, das Backup-Konzept festlegen.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Im Alltag neu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Ein Linux-Server mit Webserver, PHP, MySQL-Datenbank und Redis. Updates laufen per Skript mit Wartungsmodus. Betrieb und Updates kann incoxx auf Wunsch übernehmen.</w:t>
            </w:r>
          </w:p>
        </w:tc>
      </w:tr>
      <w:tr>
        <w:trPr>
          <w:cantSplit/>
        </w:trPr>
        <w:tc>
          <w:tcPr>
            <w:tcW w:type="dxa" w:w="2100"/>
            <w:shd w:fill="E4F3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E2F"/>
                <w:sz w:val="19"/>
                <w:szCs w:val="19"/>
              </w:rPr>
              <w:t xml:space="preserve">Bleibt gleich</w:t>
            </w:r>
          </w:p>
        </w:tc>
        <w:tc>
          <w:tcPr>
            <w:tcW w:type="dxa" w:w="7538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60" w:line="280"/>
            </w:pPr>
            <w:r>
              <w:rPr>
                <w:rFonts w:ascii="Arial" w:cs="Arial" w:eastAsia="Arial" w:hAnsi="Arial"/>
              </w:rPr>
              <w:t xml:space="preserve">Die Betreuung durch incoxx und die bekannten Ansprechpartner.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WIE WIR RISIKEN KLEIN HALTEN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Rückweg jederzeit möglich. </w:t>
      </w:r>
      <w:r>
        <w:rPr>
          <w:rFonts w:ascii="Arial" w:cs="Arial" w:eastAsia="Arial" w:hAnsi="Arial"/>
        </w:rPr>
        <w:t xml:space="preserve">Das bisherige System bleibt führend, bis alle Abteilungen abgenommen haben.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Pilot zuerst. </w:t>
      </w:r>
      <w:r>
        <w:rPr>
          <w:rFonts w:ascii="Arial" w:cs="Arial" w:eastAsia="Arial" w:hAnsi="Arial"/>
        </w:rPr>
        <w:t xml:space="preserve">Fehler zeigen sich an wenigen Titeln, nicht am ganzen Programm.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Automatischer Abgleich. </w:t>
      </w:r>
      <w:r>
        <w:rPr>
          <w:rFonts w:ascii="Arial" w:cs="Arial" w:eastAsia="Arial" w:hAnsi="Arial"/>
        </w:rPr>
        <w:t xml:space="preserve">Zählungen und Stichproben vergleichen alte und neue Daten bei jeder Übernahme.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Ergebnisse vergleichen statt vertrauen. </w:t>
      </w:r>
      <w:r>
        <w:rPr>
          <w:rFonts w:ascii="Arial" w:cs="Arial" w:eastAsia="Arial" w:hAnsi="Arial"/>
        </w:rPr>
        <w:t xml:space="preserve">Vorschau, Katalog und Shop-Daten werden nebeneinandergelegt.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Abnahme je Abteilung. </w:t>
      </w:r>
      <w:r>
        <w:rPr>
          <w:rFonts w:ascii="Arial" w:cs="Arial" w:eastAsia="Arial" w:hAnsi="Arial"/>
        </w:rPr>
        <w:t xml:space="preserve">Umgeschaltet wird erst, wenn alle zugestimmt haben.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Der richtige Zeitpunkt. </w:t>
      </w:r>
      <w:r>
        <w:rPr>
          <w:rFonts w:ascii="Arial" w:cs="Arial" w:eastAsia="Arial" w:hAnsi="Arial"/>
        </w:rPr>
        <w:t xml:space="preserve">Die Umstellung liegt außerhalb kritischer Phasen – zum Beispiel nicht während der Vorschau-Produktion oder kurz vor einer Buchmesse.</w:t>
      </w:r>
    </w:p>
    <w:p>
      <w:pPr>
        <w:pStyle w:val="Heading1"/>
      </w:pPr>
      <w:r>
        <w:rPr>
          <w:rFonts w:ascii="Arial" w:cs="Arial" w:eastAsia="Arial" w:hAnsi="Arial"/>
        </w:rPr>
        <w:t xml:space="preserve">ZUSAMMENARBEIT</w:t>
      </w:r>
    </w:p>
    <w:tbl>
      <w:tblPr>
        <w:tblW w:type="dxa" w:w="9638"/>
        <w:tblBorders>
          <w:top w:val="single" w:color="D6DDE3" w:sz="4"/>
          <w:left w:val="single" w:color="D6DDE3" w:sz="4"/>
          <w:bottom w:val="single" w:color="D6DDE3" w:sz="4"/>
          <w:right w:val="single" w:color="D6DDE3" w:sz="4"/>
          <w:insideH w:val="single" w:color="D6DDE3" w:sz="4"/>
          <w:insideV w:val="single" w:color="D6DDE3" w:sz="4"/>
        </w:tblBorders>
      </w:tblPr>
      <w:tblGrid>
        <w:gridCol w:w="2600"/>
        <w:gridCol w:w="2600"/>
        <w:gridCol w:w="4438"/>
      </w:tblGrid>
      <w:tr>
        <w:trPr>
          <w:tblHeader/>
        </w:trPr>
        <w:tc>
          <w:tcPr>
            <w:tcW w:type="dxa" w:w="2600"/>
            <w:shd w:fill="000E2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Rolle</w:t>
            </w:r>
          </w:p>
        </w:tc>
        <w:tc>
          <w:tcPr>
            <w:tcW w:type="dxa" w:w="2600"/>
            <w:shd w:fill="000E2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Wer</w:t>
            </w:r>
          </w:p>
        </w:tc>
        <w:tc>
          <w:tcPr>
            <w:tcW w:type="dxa" w:w="4438"/>
            <w:shd w:fill="000E2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Aufgabe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Projektleitung Kohlhammer</w:t>
            </w:r>
          </w:p>
        </w:tc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wird benannt</w:t>
            </w:r>
          </w:p>
        </w:tc>
        <w:tc>
          <w:tcPr>
            <w:tcW w:type="dxa" w:w="44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Hält die Fäden zusammen, priorisiert, bereitet Entscheidungen vor</w:t>
            </w:r>
          </w:p>
        </w:tc>
      </w:tr>
      <w:tr>
        <w:tc>
          <w:tcPr>
            <w:tcW w:type="dxa" w:w="26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Key-User</w:t>
            </w:r>
          </w:p>
        </w:tc>
        <w:tc>
          <w:tcPr>
            <w:tcW w:type="dxa" w:w="26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 Abteilung 1–2 Personen</w:t>
            </w:r>
          </w:p>
        </w:tc>
        <w:tc>
          <w:tcPr>
            <w:tcW w:type="dxa" w:w="4438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Fachwissen einbringen, prüfen, abnehmen, Kolleginnen und Kollegen mitnehmen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IT-Ansprechpartner</w:t>
            </w:r>
          </w:p>
        </w:tc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wird benannt</w:t>
            </w:r>
          </w:p>
        </w:tc>
        <w:tc>
          <w:tcPr>
            <w:tcW w:type="dxa" w:w="44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Server, Zugänge, Schnittstellen, Sicherheit</w:t>
            </w:r>
          </w:p>
        </w:tc>
      </w:tr>
      <w:tr>
        <w:tc>
          <w:tcPr>
            <w:tcW w:type="dxa" w:w="26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Projektleitung incoxx</w:t>
            </w:r>
          </w:p>
        </w:tc>
        <w:tc>
          <w:tcPr>
            <w:tcW w:type="dxa" w:w="26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feste Ansprechperson</w:t>
            </w:r>
          </w:p>
        </w:tc>
        <w:tc>
          <w:tcPr>
            <w:tcW w:type="dxa" w:w="4438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Planung, Abstimmung, Statusberichte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Umsetzung incoxx</w:t>
            </w:r>
          </w:p>
        </w:tc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Entwicklung und Datenübernahme</w:t>
            </w:r>
          </w:p>
        </w:tc>
        <w:tc>
          <w:tcPr>
            <w:tcW w:type="dxa" w:w="44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Einrichtung, Übernahme, Projektfunktionen, Schulung</w:t>
            </w:r>
          </w:p>
        </w:tc>
      </w:tr>
      <w:tr>
        <w:tc>
          <w:tcPr>
            <w:tcW w:type="dxa" w:w="26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Lenkungskreis</w:t>
            </w:r>
          </w:p>
        </w:tc>
        <w:tc>
          <w:tcPr>
            <w:tcW w:type="dxa" w:w="26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Geschäfts- bzw. Bereichsleitung</w:t>
            </w:r>
          </w:p>
        </w:tc>
        <w:tc>
          <w:tcPr>
            <w:tcW w:type="dxa" w:w="4438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Entscheidet an den Meilensteinen</w:t>
            </w:r>
          </w:p>
        </w:tc>
      </w:tr>
    </w:tbl>
    <w:p>
      <w:pPr>
        <w:spacing w:after="160"/>
      </w:pPr>
    </w:p>
    <w:p>
      <w:pPr>
        <w:spacing w:after="120" w:line="290"/>
      </w:pPr>
      <w:r>
        <w:rPr>
          <w:rFonts w:ascii="Arial" w:cs="Arial" w:eastAsia="Arial" w:hAnsi="Arial"/>
          <w:b/>
          <w:bCs/>
          <w:color w:val="000E2F"/>
          <w:sz w:val="22"/>
          <w:szCs w:val="22"/>
        </w:rPr>
        <w:t xml:space="preserve">Unser Rhythmus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Wöchentlicher Jour fixe, 30 Minuten: Stand, nächste Schritte, offene Fragen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Alle zwei Wochen eine Vorführung für die Key-User: Was ist neu, was ist fertig?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Lenkungskreis an jedem Meilenstein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Eine gemeinsame Aufgabenliste, für alle Beteiligten einsehbar</w:t>
      </w:r>
    </w:p>
    <w:p>
      <w:pPr>
        <w:pStyle w:val="Heading1"/>
      </w:pPr>
      <w:r>
        <w:rPr>
          <w:rFonts w:ascii="Arial" w:cs="Arial" w:eastAsia="Arial" w:hAnsi="Arial"/>
        </w:rPr>
        <w:t xml:space="preserve">MEILENSTEINE UND ENTSCHEIDUNGEN</w:t>
      </w:r>
    </w:p>
    <w:tbl>
      <w:tblPr>
        <w:tblW w:type="dxa" w:w="9638"/>
        <w:tblBorders>
          <w:top w:val="single" w:color="D6DDE3" w:sz="4"/>
          <w:left w:val="single" w:color="D6DDE3" w:sz="4"/>
          <w:bottom w:val="single" w:color="D6DDE3" w:sz="4"/>
          <w:right w:val="single" w:color="D6DDE3" w:sz="4"/>
          <w:insideH w:val="single" w:color="D6DDE3" w:sz="4"/>
          <w:insideV w:val="single" w:color="D6DDE3" w:sz="4"/>
        </w:tblBorders>
      </w:tblPr>
      <w:tblGrid>
        <w:gridCol w:w="2600"/>
        <w:gridCol w:w="3900"/>
        <w:gridCol w:w="3138"/>
      </w:tblGrid>
      <w:tr>
        <w:trPr>
          <w:tblHeader/>
        </w:trPr>
        <w:tc>
          <w:tcPr>
            <w:tcW w:type="dxa" w:w="2600"/>
            <w:shd w:fill="000E2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Meilenstein</w:t>
            </w:r>
          </w:p>
        </w:tc>
        <w:tc>
          <w:tcPr>
            <w:tcW w:type="dxa" w:w="3900"/>
            <w:shd w:fill="000E2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Woran man ihn erkennt</w:t>
            </w:r>
          </w:p>
        </w:tc>
        <w:tc>
          <w:tcPr>
            <w:tcW w:type="dxa" w:w="3138"/>
            <w:shd w:fill="000E2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Entscheidung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M1 · Projektstart</w:t>
            </w:r>
          </w:p>
        </w:tc>
        <w:tc>
          <w:tcPr>
            <w:tcW w:type="dxa" w:w="39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Auftakt erledigt, Team benannt</w:t>
            </w:r>
          </w:p>
        </w:tc>
        <w:tc>
          <w:tcPr>
            <w:tcW w:type="dxa" w:w="31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Pilotbereich festlegen</w:t>
            </w:r>
          </w:p>
        </w:tc>
      </w:tr>
      <w:tr>
        <w:tc>
          <w:tcPr>
            <w:tcW w:type="dxa" w:w="26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M2 · Zielbild</w:t>
            </w:r>
          </w:p>
        </w:tc>
        <w:tc>
          <w:tcPr>
            <w:tcW w:type="dxa" w:w="39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Bestandsaufnahme abgeschlossen</w:t>
            </w:r>
          </w:p>
        </w:tc>
        <w:tc>
          <w:tcPr>
            <w:tcW w:type="dxa" w:w="3138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Umfang und Zeitplan freigeben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M3 · Pilot</w:t>
            </w:r>
          </w:p>
        </w:tc>
        <w:tc>
          <w:tcPr>
            <w:tcW w:type="dxa" w:w="39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Pilotdaten geprüft</w:t>
            </w:r>
          </w:p>
        </w:tc>
        <w:tc>
          <w:tcPr>
            <w:tcW w:type="dxa" w:w="31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Gesamtübernahme freigeben</w:t>
            </w:r>
          </w:p>
        </w:tc>
      </w:tr>
      <w:tr>
        <w:tc>
          <w:tcPr>
            <w:tcW w:type="dxa" w:w="26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M4 · Projektfunktionen</w:t>
            </w:r>
          </w:p>
        </w:tc>
        <w:tc>
          <w:tcPr>
            <w:tcW w:type="dxa" w:w="39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Alle Funktionen der Liste abgenommen</w:t>
            </w:r>
          </w:p>
        </w:tc>
        <w:tc>
          <w:tcPr>
            <w:tcW w:type="dxa" w:w="3138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M5 · Parallelbetrieb</w:t>
            </w:r>
          </w:p>
        </w:tc>
        <w:tc>
          <w:tcPr>
            <w:tcW w:type="dxa" w:w="39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Ergebnisvergleich bestanden, Schulungen erfolgt</w:t>
            </w:r>
          </w:p>
        </w:tc>
        <w:tc>
          <w:tcPr>
            <w:tcW w:type="dxa" w:w="31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Stichtag freigeben</w:t>
            </w:r>
          </w:p>
        </w:tc>
      </w:tr>
      <w:tr>
        <w:tc>
          <w:tcPr>
            <w:tcW w:type="dxa" w:w="26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M6 · Umstellung</w:t>
            </w:r>
          </w:p>
        </w:tc>
        <w:tc>
          <w:tcPr>
            <w:tcW w:type="dxa" w:w="39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anyPIM ist führendes System</w:t>
            </w:r>
          </w:p>
        </w:tc>
        <w:tc>
          <w:tcPr>
            <w:tcW w:type="dxa" w:w="3138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Abschaltung des bisherigen Systems freigeben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WAS WIR VON KOHLHAMMER BRAUCHEN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Eine Projektleitung sowie Key-User aus Marketing, Vertrieb, Herstellung und IT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Lesezugriff auf das bisherige System und Beispiele aller heutigen Exporte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Beispiel-Dokumente der Vorschauen, Buchinfos und Flyer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Eine Server- bzw. Testumgebung nach Absprache mit der IT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Klärung der offenen Punkte: Ärzteshop und Cloud-Anwendung für Compu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Kritische Zeiträume im Verlagsjahr, in denen nicht umgestellt werden soll</w:t>
      </w:r>
    </w:p>
    <w:p>
      <w:pPr>
        <w:pStyle w:val="Heading1"/>
      </w:pPr>
      <w:r>
        <w:rPr>
          <w:rFonts w:ascii="Arial" w:cs="Arial" w:eastAsia="Arial" w:hAnsi="Arial"/>
        </w:rPr>
        <w:t xml:space="preserve">KLEINES GLOSSAR</w:t>
      </w:r>
    </w:p>
    <w:tbl>
      <w:tblPr>
        <w:tblW w:type="dxa" w:w="9638"/>
        <w:tblBorders>
          <w:top w:val="single" w:color="D6DDE3" w:sz="4"/>
          <w:left w:val="single" w:color="D6DDE3" w:sz="4"/>
          <w:bottom w:val="single" w:color="D6DDE3" w:sz="4"/>
          <w:right w:val="single" w:color="D6DDE3" w:sz="4"/>
          <w:insideH w:val="single" w:color="D6DDE3" w:sz="4"/>
          <w:insideV w:val="single" w:color="D6DDE3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000E2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Begriff</w:t>
            </w:r>
          </w:p>
        </w:tc>
        <w:tc>
          <w:tcPr>
            <w:tcW w:type="dxa" w:w="7038"/>
            <w:shd w:fill="000E2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Bedeutung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PIM</w:t>
            </w:r>
          </w:p>
        </w:tc>
        <w:tc>
          <w:tcPr>
            <w:tcW w:type="dxa" w:w="70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 Information Management – das zentrale System für alle Titel- und Produktdaten</w:t>
            </w:r>
          </w:p>
        </w:tc>
      </w:tr>
      <w:tr>
        <w:tc>
          <w:tcPr>
            <w:tcW w:type="dxa" w:w="26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Attribut</w:t>
            </w:r>
          </w:p>
        </w:tc>
        <w:tc>
          <w:tcPr>
            <w:tcW w:type="dxa" w:w="7038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Ein einzelnes Datenfeld, zum Beispiel ISBN, Seitenzahl oder Klappentext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Hierarchie</w:t>
            </w:r>
          </w:p>
        </w:tc>
        <w:tc>
          <w:tcPr>
            <w:tcW w:type="dxa" w:w="70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Eine Ordnung der Titel, zum Beispiel nach Fachbereichen oder Reihen</w:t>
            </w:r>
          </w:p>
        </w:tc>
      </w:tr>
      <w:tr>
        <w:tc>
          <w:tcPr>
            <w:tcW w:type="dxa" w:w="26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Werk und Ausgabe</w:t>
            </w:r>
          </w:p>
        </w:tc>
        <w:tc>
          <w:tcPr>
            <w:tcW w:type="dxa" w:w="7038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 Werk bündelt den gemeinsamen Inhalt; Print, PDF und ePub sind seine Ausgaben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Export</w:t>
            </w:r>
          </w:p>
        </w:tc>
        <w:tc>
          <w:tcPr>
            <w:tcW w:type="dxa" w:w="70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Daten in einem bestimmten Format ausgeben, etwa für EasyCatalog, den Shop oder den Handel</w:t>
            </w:r>
          </w:p>
        </w:tc>
      </w:tr>
      <w:tr>
        <w:tc>
          <w:tcPr>
            <w:tcW w:type="dxa" w:w="26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Schnittstelle</w:t>
            </w:r>
          </w:p>
        </w:tc>
        <w:tc>
          <w:tcPr>
            <w:tcW w:type="dxa" w:w="7038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Eine automatische Verbindung zu einem anderen System, zum Beispiel dem Buchshop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Key-User</w:t>
            </w:r>
          </w:p>
        </w:tc>
        <w:tc>
          <w:tcPr>
            <w:tcW w:type="dxa" w:w="70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Erfahrene Anwender einer Abteilung, die im Projekt mitarbeiten und ihr Team mitnehmen</w:t>
            </w:r>
          </w:p>
        </w:tc>
      </w:tr>
      <w:tr>
        <w:tc>
          <w:tcPr>
            <w:tcW w:type="dxa" w:w="26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Parallelbetrieb</w:t>
            </w:r>
          </w:p>
        </w:tc>
        <w:tc>
          <w:tcPr>
            <w:tcW w:type="dxa" w:w="7038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Beide Systeme laufen gleichzeitig, damit die Ergebnisse verglichen werden können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Stichtag</w:t>
            </w:r>
          </w:p>
        </w:tc>
        <w:tc>
          <w:tcPr>
            <w:tcW w:type="dxa" w:w="7038"/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Der Tag, an dem anyPIM zum führenden System wird</w:t>
            </w:r>
          </w:p>
        </w:tc>
      </w:tr>
      <w:tr>
        <w:tc>
          <w:tcPr>
            <w:tcW w:type="dxa" w:w="2600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Abnahme</w:t>
            </w:r>
          </w:p>
        </w:tc>
        <w:tc>
          <w:tcPr>
            <w:tcW w:type="dxa" w:w="7038"/>
            <w:shd w:fill="F7F9FA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Die Bestätigung einer Abteilung, dass ein Ergebnis so passt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C6E6E3" w:color="auto" w:val="clear"/>
            <w:tcMar>
              <w:top w:type="dxa" w:w="220"/>
              <w:left w:type="dxa" w:w="280"/>
              <w:bottom w:type="dxa" w:w="220"/>
              <w:right w:type="dxa" w:w="28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0E2F"/>
                <w:sz w:val="24"/>
                <w:szCs w:val="24"/>
              </w:rPr>
              <w:t xml:space="preserve">Nächster Schritt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Termin für den Auftakt-Workshop vereinbaren und die Ansprechpartner der Abteilungen benennen.</w:t>
            </w:r>
          </w:p>
        </w:tc>
      </w:tr>
    </w:tbl>
    <w:sectPr>
      <w:footerReference w:type="default" r:id="rId6"/>
      <w:footerReference w:type="firs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4B5563"/>
        <w:sz w:val="16"/>
        <w:szCs w:val="16"/>
      </w:rPr>
      <w:t xml:space="preserve">Projektablauf  ·  Von Pimcore 6 zu anyPIM  ·  Stand September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360" w:hanging="300"/>
      </w:pPr>
      <w:rPr>
        <w:color w:val="000E2F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81D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480"/>
      <w:outlineLvl w:val="0"/>
    </w:pPr>
    <w:rPr>
      <w:rFonts w:ascii="Arial" w:cs="Arial" w:eastAsia="Arial" w:hAnsi="Arial"/>
      <w:color w:val="000E2F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B2D5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Projektablauf: Von Pimcore 6 zu anyPIM</dc:title>
  <dc:creator>incoxx GmbH</dc:creator>
  <cp:lastModifiedBy>Un-named</cp:lastModifiedBy>
  <cp:revision>1</cp:revision>
  <dcterms:created xsi:type="dcterms:W3CDTF">2026-09-28T14:23:04.383Z</dcterms:created>
  <dcterms:modified xsi:type="dcterms:W3CDTF">2026-09-28T14:23:04.383Z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