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E3A4F" w:val="clear"/>
            <w:tcMar>
              <w:top w:type="dxa" w:w="300"/>
              <w:left w:type="dxa" w:w="320"/>
              <w:bottom w:type="dxa" w:w="300"/>
              <w:right w:type="dxa" w:w="32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A9D8F"/>
                <w:sz w:val="19"/>
                <w:szCs w:val="19"/>
              </w:rPr>
              <w:t xml:space="preserve">실습3 첨부 샘플문서 · TRN제약(가상) 오송공장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8"/>
                <w:szCs w:val="38"/>
              </w:rPr>
              <w:t xml:space="preserve">일탈·OOS 조사 계획 초안에 쓰는 첨부자료</w:t>
            </w:r>
          </w:p>
          <w:p>
            <w:pPr>
              <w:spacing w:after="130"/>
            </w:pPr>
            <w:r>
              <w:rPr>
                <w:rFonts w:ascii="Malgun Gothic" w:cs="Malgun Gothic" w:eastAsia="Malgun Gothic" w:hAnsi="Malgun Gothic"/>
                <w:color w:val="CFE4E9"/>
                <w:sz w:val="23"/>
                <w:szCs w:val="23"/>
              </w:rPr>
              <w:t xml:space="preserve">S3-1 일탈 최초보고서  ·  S3-2 시험기록 요약 — 함량(HPLC)  ·  S3-3 장비·자재·공정 기록 발췌  ·  S3-4 일탈·OOS 관리 SOP 발췌 (교육용)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FC4CE"/>
                <w:sz w:val="17"/>
                <w:szCs w:val="17"/>
              </w:rPr>
              <w:t xml:space="preserve">㈜아이앤씨피(I&amp;CP) 대표 김정민 / jmkim@incpcorp.com   ·   v3.0 · 2026.10.07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B3262E" w:sz="24"/>
          <w:bottom w:val="single" w:color="D4DFE1" w:sz="4"/>
          <w:right w:val="single" w:color="D4DFE1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9ECED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  <w:shd w:fill="B3262E" w:val="clear"/>
              </w:rPr>
              <w:t xml:space="preserve"> 읽기 전에 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이 문서 묶음의 회사·제품·성분·허가번호·인명은 모두 교육용으로 만든 가상자료입니다.</w:t>
            </w:r>
          </w:p>
          <w:p>
            <w:pPr>
              <w:spacing w:after="8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일부 자료는 실습 목적상 의도적으로 서로 다르거나 빠진 정보를 담고 있습니다. 외부 지식으로 빈칸을 채우지 마세요.</w:t>
            </w:r>
          </w:p>
          <w:p>
            <w:pPr>
              <w:spacing w:after="30" w:line="290"/>
            </w:pPr>
            <w:r>
              <w:rPr>
                <w:rFonts w:ascii="Malgun Gothic" w:cs="Malgun Gothic" w:eastAsia="Malgun Gothic" w:hAnsi="Malgun Gothic"/>
                <w:color w:val="1B2A33"/>
                <w:sz w:val="19"/>
                <w:szCs w:val="19"/>
              </w:rPr>
              <w:t xml:space="preserve">AI에 첨부할 때는 이 파일을 그대로 올리거나, 같은 내용의 '붙여넣기용 TXT'를 사용합니다.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[S3-1] 일탈 최초보고서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DEV-2026-031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접수 / 조사 전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QC 시험자 B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2026-09-16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96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제목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배치 TA26015 출하시험 함량 기준일탈(OOS)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제품 / 배치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TRN-A정 50mg / TA26015 (제조일 2026-09-08)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발생일시 (결과 확인)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2026-09-14 10:20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인지일시 (QC책임자 C에게 통보)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2026-09-14 11:05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보고일시 (QA 접수)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2026-09-16 09:30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내용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함량 시험 결과 93.1% (기준 95.0~105.0%). 같은 날 15:40 시료액 2를 재주입하여 98.9%를 얻음.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보고자 의견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“최초 결과는 시료 조제 오류로 보이며, 재주입 결과가 적합하므로 적합 처리가 가능하다고 판단함.”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즉시 조치</w:t>
            </w:r>
          </w:p>
        </w:tc>
        <w:tc>
          <w:tcPr>
            <w:tcW w:type="dxa" w:w="74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해당 배치 출하 보류 (2026-09-14)</w:t>
            </w:r>
          </w:p>
        </w:tc>
      </w:tr>
      <w:tr>
        <w:trPr>
          <w:cantSplit/>
          <w:tblHeader w:val="false"/>
        </w:trPr>
        <w:tc>
          <w:tcPr>
            <w:tcW w:type="dxa" w:w="214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보고자 제안 등급</w:t>
            </w:r>
          </w:p>
        </w:tc>
        <w:tc>
          <w:tcPr>
            <w:tcW w:type="dxa" w:w="74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경미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[S3-2] 시험기록 요약 — 함량(HPLC)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LAB-TRNA-0914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원자료 요약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QC팀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2026-09-14</w:t>
            </w:r>
          </w:p>
        </w:tc>
      </w:tr>
    </w:tbl>
    <w:p>
      <w:pPr>
        <w:spacing w:after="12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기준: 95.0~105.0%. 시스템 적합성(SST): 이론단수 6,850(기준 2,000 이상) 적합 / 표준액 반복주입 RSD 0.4%(n=5, 기준 2.0% 이하) 적합 / 테일링 계수 1.1(기준 2.0 이하) 적합.</w:t>
      </w: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232"/>
        <w:gridCol w:w="1420"/>
        <w:gridCol w:w="1217"/>
        <w:gridCol w:w="1116"/>
        <w:gridCol w:w="3653"/>
      </w:tblGrid>
      <w:tr>
        <w:trPr>
          <w:cantSplit/>
          <w:tblHeader/>
        </w:trPr>
        <w:tc>
          <w:tcPr>
            <w:tcW w:type="dxa" w:w="2232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4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조제 시각</w:t>
            </w:r>
          </w:p>
        </w:tc>
        <w:tc>
          <w:tcPr>
            <w:tcW w:type="dxa" w:w="1217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주입 시각</w:t>
            </w:r>
          </w:p>
        </w:tc>
        <w:tc>
          <w:tcPr>
            <w:tcW w:type="dxa" w:w="1116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3653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 메모</w:t>
            </w:r>
          </w:p>
        </w:tc>
      </w:tr>
      <w:tr>
        <w:trPr>
          <w:cantSplit/>
          <w:tblHeader w:val="false"/>
        </w:trPr>
        <w:tc>
          <w:tcPr>
            <w:tcW w:type="dxa" w:w="223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시료액 1</w:t>
            </w:r>
          </w:p>
        </w:tc>
        <w:tc>
          <w:tcPr>
            <w:tcW w:type="dxa" w:w="142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08:40</w:t>
            </w:r>
          </w:p>
        </w:tc>
        <w:tc>
          <w:tcPr>
            <w:tcW w:type="dxa" w:w="121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10:02</w:t>
            </w:r>
          </w:p>
        </w:tc>
        <w:tc>
          <w:tcPr>
            <w:tcW w:type="dxa" w:w="111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93.0%</w:t>
            </w:r>
          </w:p>
        </w:tc>
        <w:tc>
          <w:tcPr>
            <w:tcW w:type="dxa" w:w="36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2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시료액 2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08:55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10:12</w:t>
            </w:r>
          </w:p>
        </w:tc>
        <w:tc>
          <w:tcPr>
            <w:tcW w:type="dxa" w:w="1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93.2%</w:t>
            </w:r>
          </w:p>
        </w:tc>
        <w:tc>
          <w:tcPr>
            <w:tcW w:type="dxa" w:w="36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“여과 중 필터 막힘으로 필터 1회 교체” (시험자 메모)</w:t>
            </w:r>
          </w:p>
        </w:tc>
      </w:tr>
      <w:tr>
        <w:trPr>
          <w:cantSplit/>
          <w:tblHeader w:val="false"/>
        </w:trPr>
        <w:tc>
          <w:tcPr>
            <w:tcW w:type="dxa" w:w="223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최초 결과 (평균)</w:t>
            </w:r>
          </w:p>
        </w:tc>
        <w:tc>
          <w:tcPr>
            <w:tcW w:type="dxa" w:w="1420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-</w:t>
            </w:r>
          </w:p>
        </w:tc>
        <w:tc>
          <w:tcPr>
            <w:tcW w:type="dxa" w:w="121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-</w:t>
            </w:r>
          </w:p>
        </w:tc>
        <w:tc>
          <w:tcPr>
            <w:tcW w:type="dxa" w:w="111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93.1%</w:t>
            </w:r>
          </w:p>
        </w:tc>
        <w:tc>
          <w:tcPr>
            <w:tcW w:type="dxa" w:w="36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23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시료액 2 재주입</w:t>
            </w:r>
          </w:p>
        </w:tc>
        <w:tc>
          <w:tcPr>
            <w:tcW w:type="dxa" w:w="1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동일 시료액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15:40</w:t>
            </w:r>
          </w:p>
        </w:tc>
        <w:tc>
          <w:tcPr>
            <w:tcW w:type="dxa" w:w="111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98.9%</w:t>
            </w:r>
          </w:p>
        </w:tc>
        <w:tc>
          <w:tcPr>
            <w:tcW w:type="dxa" w:w="36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QC책임자 승인 기록 없음. 재주입 전 SST·표준액 주입 기록 없음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[S3-3] 장비·자재·공정 기록 발췌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QC-REC-0914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기록 발췌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QC팀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2026-09-15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7177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기록 내용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HPLC-03</w:t>
            </w:r>
          </w:p>
        </w:tc>
        <w:tc>
          <w:tcPr>
            <w:tcW w:type="dxa" w:w="717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적격성평가(교정) 유효기한 2026-12-31 — 유효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컬럼 C18-017</w:t>
            </w:r>
          </w:p>
        </w:tc>
        <w:tc>
          <w:tcPr>
            <w:tcW w:type="dxa" w:w="71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누적 주입 1,180회. 컬럼 관리 SOP 교체 기준: 1,000회 또는 SST 부적합 시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저울 BAL-02</w:t>
            </w:r>
          </w:p>
        </w:tc>
        <w:tc>
          <w:tcPr>
            <w:tcW w:type="dxa" w:w="717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2026-09-14 일일점검 적합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표준품 RS-TRX-07</w:t>
            </w:r>
          </w:p>
        </w:tc>
        <w:tc>
          <w:tcPr>
            <w:tcW w:type="dxa" w:w="71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사용기한 2026-10-31, 보관 조건 적합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시료 여과 필터</w:t>
            </w:r>
          </w:p>
        </w:tc>
        <w:tc>
          <w:tcPr>
            <w:tcW w:type="dxa" w:w="717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0.45 μm PVDF, 로트 F2608 — 같은 로트로 수행한 다른 시험 2건은 특이사항 없음</w:t>
            </w:r>
          </w:p>
        </w:tc>
      </w:tr>
      <w:tr>
        <w:trPr>
          <w:cantSplit/>
          <w:tblHeader w:val="false"/>
        </w:trPr>
        <w:tc>
          <w:tcPr>
            <w:tcW w:type="dxa" w:w="24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공정 중 시험 (2026-09-09)</w:t>
            </w:r>
          </w:p>
        </w:tc>
        <w:tc>
          <w:tcPr>
            <w:tcW w:type="dxa" w:w="71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8"/>
                <w:szCs w:val="18"/>
              </w:rPr>
              <w:t xml:space="preserve">타정 함량균일성(n=10) 평균 99.8%, 적합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638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1735"/>
        <w:gridCol w:w="3084"/>
        <w:gridCol w:w="1735"/>
        <w:gridCol w:w="3084"/>
      </w:tblGrid>
      <w:tr>
        <w:tc>
          <w:tcPr>
            <w:tcW w:type="dxa" w:w="9638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[S3-4] 일탈·OOS 관리 SOP 발췌 (교육용)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QA-SOP-008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v7 / 유효</w:t>
            </w:r>
          </w:p>
        </w:tc>
      </w:tr>
      <w:tr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QA팀</w:t>
            </w:r>
          </w:p>
        </w:tc>
        <w:tc>
          <w:tcPr>
            <w:tcW w:type="dxa" w:w="1735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3084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2026-02-01</w:t>
            </w:r>
          </w:p>
        </w:tc>
      </w:tr>
    </w:tbl>
    <w:p>
      <w:pPr>
        <w:spacing w:after="120"/>
      </w:pP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4.1 보고: 일탈을 인지한 후 24시간 이내에 QA에 보고한다.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4.2 등급: 출하시험 기준일탈(OOS)과 제품 품질에 영향을 줄 가능성이 있는 일탈은 ‘중대’, 그 외는 ‘경미’. 등급은 QA가 확정한다.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4.3 조사 기한: 인지일로부터 중대 30일, 경미 15일(달력일) 이내 조사를 완료한다. 연장 시 사유와 QA 승인을 기록한다.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4.4 OOS 1단계(실험실) 조사: 시험자와 QC책임자가 원자료·계산·시료 조제·기기·표준품·SST를 확인한다. 명백한 실험실 오류가 문서로 확인된 경우에만 결과를 무효화할 수 있다.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4.5 재시험·재주입은 QC책임자가 승인한 사전 계획에 따라서만 수행하며, 계획 없이 얻은 결과는 판정에 사용하지 않는다.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4.6 최초 OOS 결과를 다른 결과와 평균하여 적합 판정을 내리지 않는다.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4.7 근본원인 확인 후 CAPA를 수립하고, 유효성 평가 기준을 함께 정한다.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8"/>
          <w:szCs w:val="18"/>
        </w:rPr>
        <w:t xml:space="preserve">※ 교육용 가상 SOP. 구성은 FDA OOS 가이던스(2022.5), 21 CFR 211.192, EU GMP Chapter 1 #1.4(xiv)를 참고했다.</w:t>
      </w:r>
    </w:p>
    <w:sectPr>
      <w:headerReference w:type="default" r:id="rId7"/>
      <w:footerReference w:type="default" r:id="rId8"/>
      <w:pgSz w:w="11906" w:h="16838" w:orient="portrait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9638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9638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실습3 첨부자료 (교육용 가상)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실습3_첨부자료_일탈OOS_S3-1~S3-4</dc:title>
  <dc:creator>㈜아이앤씨피(I&amp;CP) 김정민</dc:creator>
  <cp:lastModifiedBy>Un-named</cp:lastModifiedBy>
  <cp:revision>1</cp:revision>
  <dcterms:created xsi:type="dcterms:W3CDTF">2026-10-07T07:09:43.398Z</dcterms:created>
  <dcterms:modified xsi:type="dcterms:W3CDTF">2026-10-07T07:09:43.398Z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