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6B7C85" w:sz="6"/>
          <w:left w:val="single" w:color="6B7C85" w:sz="6"/>
          <w:bottom w:val="single" w:color="6B7C85" w:sz="6"/>
          <w:right w:val="single" w:color="6B7C85" w:sz="6"/>
          <w:insideH w:val="single" w:color="6B7C85" w:sz="6"/>
          <w:insideV w:val="single" w:color="6B7C85" w:sz="6"/>
        </w:tblBorders>
      </w:tblPr>
      <w:tblGrid>
        <w:gridCol w:w="1735"/>
        <w:gridCol w:w="3084"/>
        <w:gridCol w:w="1735"/>
        <w:gridCol w:w="3084"/>
      </w:tblGrid>
      <w:tr>
        <w:tc>
          <w:tcPr>
            <w:tcW w:type="dxa" w:w="9638"/>
            <w:gridSpan w:val="4"/>
            <w:shd w:fill="3747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CFD8DC"/>
                <w:sz w:val="17"/>
                <w:szCs w:val="17"/>
              </w:rPr>
              <w:t xml:space="preserve">TRN제약(가상) 오송공장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    사용자 요구사항 규격서 (URS)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URS-DEVLOG-001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개정/상태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v1.0 / 교육용 승인본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작성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QA·QC 공동 (가상)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일자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2026-10-07</w:t>
            </w:r>
          </w:p>
        </w:tc>
      </w:tr>
    </w:tbl>
    <w:p>
      <w:pPr>
        <w:spacing w:after="140"/>
      </w:pPr>
    </w:p>
    <w:p>
      <w:pPr>
        <w:spacing w:after="110" w:before="0" w:line="276"/>
      </w:pPr>
      <w:r>
        <w:rPr>
          <w:rFonts w:ascii="Malgun Gothic" w:cs="Malgun Gothic" w:eastAsia="Malgun Gothic" w:hAnsi="Malgun Gothic"/>
          <w:b/>
          <w:bCs/>
          <w:color w:val="0E3A4F"/>
          <w:sz w:val="26"/>
          <w:szCs w:val="26"/>
        </w:rPr>
        <w:t xml:space="preserve">교육용 일탈 접수·기한관리 대장 (DEV-LOG) 사용자 요구사항 규격서</w:t>
      </w:r>
    </w:p>
    <w:tbl>
      <w:tblPr>
        <w:tblW w:type="dxa" w:w="9638"/>
        <w:tblBorders>
          <w:top w:val="single" w:color="D4DFE1" w:sz="4"/>
          <w:left w:val="single" w:color="B3262E" w:sz="24"/>
          <w:bottom w:val="single" w:color="D4DFE1" w:sz="4"/>
          <w:right w:val="single" w:color="D4DFE1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F9ECED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  <w:shd w:fill="B3262E" w:val="clear"/>
              </w:rPr>
              <w:t xml:space="preserve"> 교육용 </w:t>
            </w:r>
          </w:p>
          <w:p>
            <w:pPr>
              <w:spacing w:after="3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교육용 예제입니다. 실제 GMP 업무에 이 도구나 이 규격서를 사용하지 않습니다. 회사·인명·문서번호는 가상입니다.</w:t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1. 목적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일탈 최초 접수 정보를 입력할 때 필수항목·일시 형식·시간 순서를 점검하고, SOP(QA-SOP-008, 실습3 S3-4)에 정한 보고 기한(인지 후 24시간)과 조사 완료 기한(중대 30일·경미 15일)을 자동 계산하며, 등록 기록의 수정 이력을 남겨 접수 단계의 누락과 계산 실수를 줄인다.</w:t>
      </w:r>
    </w:p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2. 범위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범위 내: 일탈 최초 접수 정보의 입력 점검, 보고·조사 기한 계산, 대장 표시, 등록 기록의 수정과 수정 이력.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범위 외: 일탈 등급의 판정, 근본원인 판단, 승인·전자서명, 사용자 인증, 데이터의 영구 저장·백업은 범위에서 제외한다(교육용 단순화 — 6.7 제약사항 참조).</w:t>
      </w:r>
    </w:p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3. 시스템 분류와 개발 방식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GAMP 5 소프트웨어 카테고리 5 (자체 개발, AI 코딩 도구로 작성한 결정론적 코드 — 실행 중 AI를 호출하지 않음)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AI 코딩 도구(ChatGPT·Codex·Claude·Gemini 등)는 개발 도구이며 공급자가 아니다. 생성된 코드의 요구사항 충족은 이 규격서에 연결된 시험으로 확인한다.</w:t>
      </w:r>
    </w:p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4. 관련 문서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문서</w:t>
            </w:r>
          </w:p>
        </w:tc>
        <w:tc>
          <w:tcPr>
            <w:tcW w:type="dxa" w:w="481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관계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QA-SOP-008 일탈·OOS 관리 SOP (실습3 S3-4)</w:t>
            </w:r>
          </w:p>
        </w:tc>
        <w:tc>
          <w:tcPr>
            <w:tcW w:type="dxa" w:w="48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보고 기한(4.1)·등급(4.2)·조사 기한(4.3)의 출처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TPR-DEVLOG-001 위험평가·시험계획 및 기록서</w:t>
            </w:r>
          </w:p>
        </w:tc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본 규격서의 시험·추적 문서</w:t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5. 요구사항 작성 규칙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한 문장에 요구 하나, “~해야 한다”로 끝나는 시험 가능한 문장. 모호어(적절히·신속히·안전하게)를 쓰지 않는다.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모든 요구에 고유 ID를 붙이고 시험과 연결한다. 해당 없는 카테고리는 N/A와 그 근거를 적는다.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우선순위 M = 필수(Must). 카테고리 구성은 ISPE GAMP 5 2nd Ed. Appendix D1을 따른다.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55636B"/>
          <w:sz w:val="16"/>
          <w:szCs w:val="16"/>
        </w:rPr>
        <w:t xml:space="preserve">출처: 작성 규칙과 8개 카테고리 구성은 ㈜갬프연구소 「CSV 실습과정 교안 2」(한국제약바이오협회, 2026.8)를 참고해 재구성</w:t>
      </w:r>
    </w:p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6. 요구사항</w:t>
      </w:r>
    </w:p>
    <w:p>
      <w:pPr>
        <w:keepNext/>
        <w:spacing w:after="70" w:before="160"/>
      </w:pPr>
      <w:r>
        <w:rPr>
          <w:rFonts w:ascii="Malgun Gothic" w:cs="Malgun Gothic" w:eastAsia="Malgun Gothic" w:hAnsi="Malgun Gothic"/>
          <w:b/>
          <w:bCs/>
          <w:color w:val="0E3A4F"/>
          <w:sz w:val="21"/>
          <w:szCs w:val="21"/>
        </w:rPr>
        <w:t xml:space="preserve">6.1 기능 요구사항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1071"/>
        <w:gridCol w:w="7788"/>
        <w:gridCol w:w="779"/>
      </w:tblGrid>
      <w:tr>
        <w:trPr>
          <w:cantSplit/>
          <w:tblHeader/>
        </w:trPr>
        <w:tc>
          <w:tcPr>
            <w:tcW w:type="dxa" w:w="107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788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77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FR-01</w:t>
            </w:r>
          </w:p>
        </w:tc>
        <w:tc>
          <w:tcPr>
            <w:tcW w:type="dxa" w:w="778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시스템은 일탈번호, 제목, 제품명, 배치번호, 발생일시, 인지일시, 보고일시, 등급(중대/경미 중 선택), 보고자, 내용의 10개 항목을 입력받아야 한다.</w:t>
            </w:r>
          </w:p>
        </w:tc>
        <w:tc>
          <w:tcPr>
            <w:tcW w:type="dxa" w:w="77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FR-02</w:t>
            </w:r>
          </w:p>
        </w:tc>
        <w:tc>
          <w:tcPr>
            <w:tcW w:type="dxa" w:w="778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시스템은 10개 항목의 앞뒤 공백을 제거한 뒤 빈 값이면 등록을 차단하고 “[항목명]: 누락”을 표시해야 한다.</w:t>
            </w:r>
          </w:p>
        </w:tc>
        <w:tc>
          <w:tcPr>
            <w:tcW w:type="dxa" w:w="77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FR-03</w:t>
            </w:r>
          </w:p>
        </w:tc>
        <w:tc>
          <w:tcPr>
            <w:tcW w:type="dxa" w:w="778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시스템은 일탈번호가 DEV-YYYY-NNN(숫자 4자리-숫자 3자리) 형식이 아니면 등록을 차단하고 “일탈번호: 형식 오류 (DEV-YYYY-NNN)”를 표시해야 한다.</w:t>
            </w:r>
          </w:p>
        </w:tc>
        <w:tc>
          <w:tcPr>
            <w:tcW w:type="dxa" w:w="77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FR-04</w:t>
            </w:r>
          </w:p>
        </w:tc>
        <w:tc>
          <w:tcPr>
            <w:tcW w:type="dxa" w:w="778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시스템은 발생·인지·보고일시가 YYYY-MM-DD HH:MM 형식이 아니면 “[항목명]: 형식 오류 (YYYY-MM-DD HH:MM)”를, 실제 존재하지 않는 날짜·시각(예: 2026-02-29, 24:30)이면 “[항목명]: 존재하지 않는 날짜·시각”을 표시하고 등록을 차단해야 한다.</w:t>
            </w:r>
          </w:p>
        </w:tc>
        <w:tc>
          <w:tcPr>
            <w:tcW w:type="dxa" w:w="77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FR-05</w:t>
            </w:r>
          </w:p>
        </w:tc>
        <w:tc>
          <w:tcPr>
            <w:tcW w:type="dxa" w:w="778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시스템은 발생일시 ≤ 인지일시 ≤ 보고일시가 아니면 등록을 차단하고 “시간 순서 오류: 발생일시 ≤ 인지일시 ≤ 보고일시”를 표시해야 한다.</w:t>
            </w:r>
          </w:p>
        </w:tc>
        <w:tc>
          <w:tcPr>
            <w:tcW w:type="dxa" w:w="77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FR-06</w:t>
            </w:r>
          </w:p>
        </w:tc>
        <w:tc>
          <w:tcPr>
            <w:tcW w:type="dxa" w:w="778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시스템은 보고 기한을 ‘인지일시 + 24시간’으로 계산하여, 보고일시가 기한과 같거나 이전이면 “준수”, 기한을 넘으면 “지연 (초과 HH:MM)”을 표시해야 한다. 지연은 등록을 차단하지 않는다.</w:t>
            </w:r>
          </w:p>
        </w:tc>
        <w:tc>
          <w:tcPr>
            <w:tcW w:type="dxa" w:w="77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FR-07</w:t>
            </w:r>
          </w:p>
        </w:tc>
        <w:tc>
          <w:tcPr>
            <w:tcW w:type="dxa" w:w="778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시스템은 조사 완료 기한을 인지일(날짜) 기준 달력일로 중대 +30일, 경미 +15일 계산하여 YYYY-MM-DD로 표시해야 한다.</w:t>
            </w:r>
          </w:p>
        </w:tc>
        <w:tc>
          <w:tcPr>
            <w:tcW w:type="dxa" w:w="77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FR-08</w:t>
            </w:r>
          </w:p>
        </w:tc>
        <w:tc>
          <w:tcPr>
            <w:tcW w:type="dxa" w:w="778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시스템은 FR-02~FR-05 및 FR-10의 오류가 하나라도 있으면 등록을 차단하고 발견된 오류를 모두 목록으로 표시해야 한다. 오류가 없으면 대장에 추가해야 한다.</w:t>
            </w:r>
          </w:p>
        </w:tc>
        <w:tc>
          <w:tcPr>
            <w:tcW w:type="dxa" w:w="77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FR-09</w:t>
            </w:r>
          </w:p>
        </w:tc>
        <w:tc>
          <w:tcPr>
            <w:tcW w:type="dxa" w:w="778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시스템은 등록된 기록을 대장 표(일탈번호, 제목, 제품/배치, 등급, 인지일시, 보고 기한, 조사 완료 기한)로 표시해야 한다.</w:t>
            </w:r>
          </w:p>
        </w:tc>
        <w:tc>
          <w:tcPr>
            <w:tcW w:type="dxa" w:w="77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FR-10</w:t>
            </w:r>
          </w:p>
        </w:tc>
        <w:tc>
          <w:tcPr>
            <w:tcW w:type="dxa" w:w="778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시스템은 이미 등록된 일탈번호와 같은 번호의 등록을 차단하고 “일탈번호: 중복 (이미 등록됨)”을 표시해야 한다.</w:t>
            </w:r>
          </w:p>
        </w:tc>
        <w:tc>
          <w:tcPr>
            <w:tcW w:type="dxa" w:w="77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FR-11</w:t>
            </w:r>
          </w:p>
        </w:tc>
        <w:tc>
          <w:tcPr>
            <w:tcW w:type="dxa" w:w="778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시스템은 등록된 기록의 제목·제품명·배치번호·등급·보고자·내용을 수정할 수 있어야 하며, 수정 사유의 앞뒤 공백을 제거한 값이 비어 있으면 수정을 차단하고 “수정 사유: 누락”을 표시해야 한다. (일탈번호와 일시 항목은 수정 대상에서 제외)</w:t>
            </w:r>
          </w:p>
        </w:tc>
        <w:tc>
          <w:tcPr>
            <w:tcW w:type="dxa" w:w="77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FR-12</w:t>
            </w:r>
          </w:p>
        </w:tc>
        <w:tc>
          <w:tcPr>
            <w:tcW w:type="dxa" w:w="778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시스템은 수정이 저장될 때마다 기록 시각(시스템 시계, YYYY-MM-DD HH:MM:SS), 일탈번호, 항목명, 변경 전 값, 변경 후 값, 수정 사유를 수정 이력 표에 자동으로 추가해야 한다. 등급이 수정되면 조사 완료 기한을 다시 계산해야 한다.</w:t>
            </w:r>
          </w:p>
        </w:tc>
        <w:tc>
          <w:tcPr>
            <w:tcW w:type="dxa" w:w="77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FR-13</w:t>
            </w:r>
          </w:p>
        </w:tc>
        <w:tc>
          <w:tcPr>
            <w:tcW w:type="dxa" w:w="778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시스템은 등록 기록과 수정 이력을 삭제하거나 편집하는 기능을 제공하지 않아야 한다.</w:t>
            </w:r>
          </w:p>
        </w:tc>
        <w:tc>
          <w:tcPr>
            <w:tcW w:type="dxa" w:w="77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M</w:t>
            </w:r>
          </w:p>
        </w:tc>
      </w:tr>
    </w:tbl>
    <w:p>
      <w:pPr>
        <w:keepNext/>
        <w:spacing w:after="70" w:before="160"/>
      </w:pPr>
      <w:r>
        <w:rPr>
          <w:rFonts w:ascii="Malgun Gothic" w:cs="Malgun Gothic" w:eastAsia="Malgun Gothic" w:hAnsi="Malgun Gothic"/>
          <w:b/>
          <w:bCs/>
          <w:color w:val="0E3A4F"/>
          <w:sz w:val="21"/>
          <w:szCs w:val="21"/>
        </w:rPr>
        <w:t xml:space="preserve">6.2 데이터 요구사항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1071"/>
        <w:gridCol w:w="7788"/>
        <w:gridCol w:w="779"/>
      </w:tblGrid>
      <w:tr>
        <w:trPr>
          <w:cantSplit/>
          <w:tblHeader/>
        </w:trPr>
        <w:tc>
          <w:tcPr>
            <w:tcW w:type="dxa" w:w="107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788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77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DR-01</w:t>
            </w:r>
          </w:p>
        </w:tc>
        <w:tc>
          <w:tcPr>
            <w:tcW w:type="dxa" w:w="778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시스템은 사용자 입력을 화면에 텍스트로만 표시해야 하며, HTML로 해석하거나 스크립트로 실행해서는 안 된다.</w:t>
            </w:r>
          </w:p>
        </w:tc>
        <w:tc>
          <w:tcPr>
            <w:tcW w:type="dxa" w:w="77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DR-02</w:t>
            </w:r>
          </w:p>
        </w:tc>
        <w:tc>
          <w:tcPr>
            <w:tcW w:type="dxa" w:w="778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수정 이력의 기록 시각은 시스템이 자동으로 부여해야 하며, 사용자가 입력하거나 변경할 수 없어야 한다.</w:t>
            </w:r>
          </w:p>
        </w:tc>
        <w:tc>
          <w:tcPr>
            <w:tcW w:type="dxa" w:w="77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DR-03</w:t>
            </w:r>
          </w:p>
        </w:tc>
        <w:tc>
          <w:tcPr>
            <w:tcW w:type="dxa" w:w="778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시스템은 데이터가 저장되지 않으며 새로고침하면 사라진다는 안내를 화면에 표시해야 한다.</w:t>
            </w:r>
          </w:p>
        </w:tc>
        <w:tc>
          <w:tcPr>
            <w:tcW w:type="dxa" w:w="77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M</w:t>
            </w:r>
          </w:p>
        </w:tc>
      </w:tr>
    </w:tbl>
    <w:p>
      <w:pPr>
        <w:keepNext/>
        <w:spacing w:after="70" w:before="160"/>
      </w:pPr>
      <w:r>
        <w:rPr>
          <w:rFonts w:ascii="Malgun Gothic" w:cs="Malgun Gothic" w:eastAsia="Malgun Gothic" w:hAnsi="Malgun Gothic"/>
          <w:b/>
          <w:bCs/>
          <w:color w:val="0E3A4F"/>
          <w:sz w:val="21"/>
          <w:szCs w:val="21"/>
        </w:rPr>
        <w:t xml:space="preserve">6.3 기술 요구사항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1071"/>
        <w:gridCol w:w="7788"/>
        <w:gridCol w:w="779"/>
      </w:tblGrid>
      <w:tr>
        <w:trPr>
          <w:cantSplit/>
          <w:tblHeader/>
        </w:trPr>
        <w:tc>
          <w:tcPr>
            <w:tcW w:type="dxa" w:w="107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788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77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TR-01</w:t>
            </w:r>
          </w:p>
        </w:tc>
        <w:tc>
          <w:tcPr>
            <w:tcW w:type="dxa" w:w="778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시스템은 단일 HTML 파일로 구성되어야 하며, 외부 라이브러리·CDN·네트워크 요청·localStorage·쿠키를 사용해서는 안 된다.</w:t>
            </w:r>
          </w:p>
        </w:tc>
        <w:tc>
          <w:tcPr>
            <w:tcW w:type="dxa" w:w="77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TR-02</w:t>
            </w:r>
          </w:p>
        </w:tc>
        <w:tc>
          <w:tcPr>
            <w:tcW w:type="dxa" w:w="778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시스템은 Chrome 또는 Edge 최신판에서 동작해야 한다.</w:t>
            </w:r>
          </w:p>
        </w:tc>
        <w:tc>
          <w:tcPr>
            <w:tcW w:type="dxa" w:w="77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M</w:t>
            </w:r>
          </w:p>
        </w:tc>
      </w:tr>
    </w:tbl>
    <w:p>
      <w:pPr>
        <w:keepNext/>
        <w:spacing w:after="70" w:before="160"/>
      </w:pPr>
      <w:r>
        <w:rPr>
          <w:rFonts w:ascii="Malgun Gothic" w:cs="Malgun Gothic" w:eastAsia="Malgun Gothic" w:hAnsi="Malgun Gothic"/>
          <w:b/>
          <w:bCs/>
          <w:color w:val="0E3A4F"/>
          <w:sz w:val="21"/>
          <w:szCs w:val="21"/>
        </w:rPr>
        <w:t xml:space="preserve">6.4 인터페이스 요구사항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1071"/>
        <w:gridCol w:w="7788"/>
        <w:gridCol w:w="779"/>
      </w:tblGrid>
      <w:tr>
        <w:trPr>
          <w:cantSplit/>
          <w:tblHeader/>
        </w:trPr>
        <w:tc>
          <w:tcPr>
            <w:tcW w:type="dxa" w:w="107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788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77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IR-00</w:t>
            </w:r>
          </w:p>
        </w:tc>
        <w:tc>
          <w:tcPr>
            <w:tcW w:type="dxa" w:w="778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해당 없음(N/A) — 외부 시스템·장비와 연계하지 않는다. 근거: 교육용 단독 화면.</w:t>
            </w:r>
          </w:p>
        </w:tc>
        <w:tc>
          <w:tcPr>
            <w:tcW w:type="dxa" w:w="77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N/A</w:t>
            </w:r>
          </w:p>
        </w:tc>
      </w:tr>
    </w:tbl>
    <w:p>
      <w:pPr>
        <w:keepNext/>
        <w:spacing w:after="70" w:before="160"/>
      </w:pPr>
      <w:r>
        <w:rPr>
          <w:rFonts w:ascii="Malgun Gothic" w:cs="Malgun Gothic" w:eastAsia="Malgun Gothic" w:hAnsi="Malgun Gothic"/>
          <w:b/>
          <w:bCs/>
          <w:color w:val="0E3A4F"/>
          <w:sz w:val="21"/>
          <w:szCs w:val="21"/>
        </w:rPr>
        <w:t xml:space="preserve">6.5 비기능 속성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1071"/>
        <w:gridCol w:w="7788"/>
        <w:gridCol w:w="779"/>
      </w:tblGrid>
      <w:tr>
        <w:trPr>
          <w:cantSplit/>
          <w:tblHeader/>
        </w:trPr>
        <w:tc>
          <w:tcPr>
            <w:tcW w:type="dxa" w:w="107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788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77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NF-01</w:t>
            </w:r>
          </w:p>
        </w:tc>
        <w:tc>
          <w:tcPr>
            <w:tcW w:type="dxa" w:w="778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오류 메시지는 한국어로 항목명과 이유를 포함해야 한다(FR-02~FR-05, FR-10, FR-11의 문구).</w:t>
            </w:r>
          </w:p>
        </w:tc>
        <w:tc>
          <w:tcPr>
            <w:tcW w:type="dxa" w:w="77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NF-02</w:t>
            </w:r>
          </w:p>
        </w:tc>
        <w:tc>
          <w:tcPr>
            <w:tcW w:type="dxa" w:w="778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화면 상단에 “교육용 — 실제 GMP 업무 사용 금지”와 도구 버전을 표시해야 한다.</w:t>
            </w:r>
          </w:p>
        </w:tc>
        <w:tc>
          <w:tcPr>
            <w:tcW w:type="dxa" w:w="77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M</w:t>
            </w:r>
          </w:p>
        </w:tc>
      </w:tr>
    </w:tbl>
    <w:p>
      <w:pPr>
        <w:keepNext/>
        <w:spacing w:after="70" w:before="160"/>
      </w:pPr>
      <w:r>
        <w:rPr>
          <w:rFonts w:ascii="Malgun Gothic" w:cs="Malgun Gothic" w:eastAsia="Malgun Gothic" w:hAnsi="Malgun Gothic"/>
          <w:b/>
          <w:bCs/>
          <w:color w:val="0E3A4F"/>
          <w:sz w:val="21"/>
          <w:szCs w:val="21"/>
        </w:rPr>
        <w:t xml:space="preserve">6.6 환경 요구사항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1071"/>
        <w:gridCol w:w="7788"/>
        <w:gridCol w:w="779"/>
      </w:tblGrid>
      <w:tr>
        <w:trPr>
          <w:cantSplit/>
          <w:tblHeader/>
        </w:trPr>
        <w:tc>
          <w:tcPr>
            <w:tcW w:type="dxa" w:w="107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788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77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EN-00</w:t>
            </w:r>
          </w:p>
        </w:tc>
        <w:tc>
          <w:tcPr>
            <w:tcW w:type="dxa" w:w="778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해당 없음(N/A) — 교육장 개인 노트북의 브라우저에서 사용하며, 동작 환경은 TR-02로 갈음한다.</w:t>
            </w:r>
          </w:p>
        </w:tc>
        <w:tc>
          <w:tcPr>
            <w:tcW w:type="dxa" w:w="77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N/A</w:t>
            </w:r>
          </w:p>
        </w:tc>
      </w:tr>
    </w:tbl>
    <w:p>
      <w:pPr>
        <w:keepNext/>
        <w:spacing w:after="70" w:before="160"/>
      </w:pPr>
      <w:r>
        <w:rPr>
          <w:rFonts w:ascii="Malgun Gothic" w:cs="Malgun Gothic" w:eastAsia="Malgun Gothic" w:hAnsi="Malgun Gothic"/>
          <w:b/>
          <w:bCs/>
          <w:color w:val="0E3A4F"/>
          <w:sz w:val="21"/>
          <w:szCs w:val="21"/>
        </w:rPr>
        <w:t xml:space="preserve">6.7 제약사항 (교육용 단순화)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1071"/>
        <w:gridCol w:w="7788"/>
        <w:gridCol w:w="779"/>
      </w:tblGrid>
      <w:tr>
        <w:trPr>
          <w:cantSplit/>
          <w:tblHeader/>
        </w:trPr>
        <w:tc>
          <w:tcPr>
            <w:tcW w:type="dxa" w:w="107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788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77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CN-01</w:t>
            </w:r>
          </w:p>
        </w:tc>
        <w:tc>
          <w:tcPr>
            <w:tcW w:type="dxa" w:w="778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사용자 인증, 전자서명, 영구 저장, 백업·복구, 접근권한 통제는 구현하지 않는다. 운영 시스템이라면 필수인 이 항목들은 밸리데이션 결론의 ‘사용 제한사항’으로 기재한다.</w:t>
            </w:r>
          </w:p>
        </w:tc>
        <w:tc>
          <w:tcPr>
            <w:tcW w:type="dxa" w:w="77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정보</w:t>
            </w:r>
          </w:p>
        </w:tc>
      </w:tr>
    </w:tbl>
    <w:p>
      <w:pPr>
        <w:keepNext/>
        <w:spacing w:after="70" w:before="160"/>
      </w:pPr>
      <w:r>
        <w:rPr>
          <w:rFonts w:ascii="Malgun Gothic" w:cs="Malgun Gothic" w:eastAsia="Malgun Gothic" w:hAnsi="Malgun Gothic"/>
          <w:b/>
          <w:bCs/>
          <w:color w:val="0E3A4F"/>
          <w:sz w:val="21"/>
          <w:szCs w:val="21"/>
        </w:rPr>
        <w:t xml:space="preserve">6.8 라이프사이클 요구사항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1071"/>
        <w:gridCol w:w="7788"/>
        <w:gridCol w:w="779"/>
      </w:tblGrid>
      <w:tr>
        <w:trPr>
          <w:cantSplit/>
          <w:tblHeader/>
        </w:trPr>
        <w:tc>
          <w:tcPr>
            <w:tcW w:type="dxa" w:w="107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788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77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</w:tr>
      <w:tr>
        <w:trPr>
          <w:cantSplit/>
          <w:tblHeader w:val="false"/>
        </w:trPr>
        <w:tc>
          <w:tcPr>
            <w:tcW w:type="dxa" w:w="10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LR-01</w:t>
            </w:r>
          </w:p>
        </w:tc>
        <w:tc>
          <w:tcPr>
            <w:tcW w:type="dxa" w:w="778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코드가 바뀌면 버전을 올리고, 변경 기록과 함께 영향받는 시험과 회귀 시험을 다시 수행해야 한다.</w:t>
            </w:r>
          </w:p>
        </w:tc>
        <w:tc>
          <w:tcPr>
            <w:tcW w:type="dxa" w:w="77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M</w:t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7. 승인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1928"/>
        <w:gridCol w:w="2891"/>
        <w:gridCol w:w="2891"/>
        <w:gridCol w:w="1928"/>
      </w:tblGrid>
      <w:tr>
        <w:trPr>
          <w:cantSplit/>
          <w:tblHeader/>
        </w:trPr>
        <w:tc>
          <w:tcPr>
            <w:tcW w:type="dxa" w:w="1928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89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성명</w:t>
            </w:r>
          </w:p>
        </w:tc>
        <w:tc>
          <w:tcPr>
            <w:tcW w:type="dxa" w:w="289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서명</w:t>
            </w:r>
          </w:p>
        </w:tc>
        <w:tc>
          <w:tcPr>
            <w:tcW w:type="dxa" w:w="1928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</w:tr>
      <w:tr>
        <w:trPr>
          <w:cantSplit/>
          <w:tblHeader w:val="false"/>
        </w:trPr>
        <w:tc>
          <w:tcPr>
            <w:tcW w:type="dxa" w:w="192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작성</w:t>
            </w:r>
          </w:p>
        </w:tc>
        <w:tc>
          <w:tcPr>
            <w:tcW w:type="dxa" w:w="289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작성자 A (가상)</w:t>
            </w:r>
          </w:p>
        </w:tc>
        <w:tc>
          <w:tcPr>
            <w:tcW w:type="dxa" w:w="289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검토</w:t>
            </w:r>
          </w:p>
        </w:tc>
        <w:tc>
          <w:tcPr>
            <w:tcW w:type="dxa" w:w="28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검토자 B (가상)</w:t>
            </w:r>
          </w:p>
        </w:tc>
        <w:tc>
          <w:tcPr>
            <w:tcW w:type="dxa" w:w="28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92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승인 (QA)</w:t>
            </w:r>
          </w:p>
        </w:tc>
        <w:tc>
          <w:tcPr>
            <w:tcW w:type="dxa" w:w="289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승인자 C (가상)</w:t>
            </w:r>
          </w:p>
        </w:tc>
        <w:tc>
          <w:tcPr>
            <w:tcW w:type="dxa" w:w="289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50" w:right="1134" w:bottom="9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FE1" w:sz="4"/>
      </w:pBdr>
      <w:tabs>
        <w:tab w:val="right" w:pos="9638"/>
      </w:tabs>
    </w:pP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ⓒ 2026 아이앤씨피(I&amp;CP) · 교육 용도 외 사용·무단 전재·복제 금지</w:t>
    </w:r>
    <w:r>
      <w:rPr>
        <w:rFonts w:ascii="Malgun Gothic" w:cs="Malgun Gothic" w:eastAsia="Malgun Gothic" w:hAnsi="Malgun Gothic"/>
        <w:color w:val="1B2A33"/>
        <w:sz w:val="20"/>
        <w:szCs w:val="20"/>
      </w:rPr>
      <w:t xml:space="preserve">	</w:t>
    </w: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v3.0 · 2026.10.07 · </w:t>
    </w:r>
    <w:r>
      <w:rPr>
        <w:rFonts w:ascii="Malgun Gothic" w:cs="Malgun Gothic" w:eastAsia="Malgun Gothic" w:hAnsi="Malgun Gothic"/>
        <w:b/>
        <w:bCs/>
        <w:color w:val="0E3A4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 / </w:t>
    </w:r>
    <w:r>
      <w:rPr>
        <w:rFonts w:ascii="Malgun Gothic" w:cs="Malgun Gothic" w:eastAsia="Malgun Gothic" w:hAnsi="Malgun Gothic"/>
        <w:color w:val="8A99A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FE1" w:sz="4"/>
      </w:pBdr>
      <w:tabs>
        <w:tab w:val="right" w:pos="9638"/>
      </w:tabs>
      <w:spacing w:after="60"/>
    </w:pP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실습4 · URS-DEVLOG-001 (교육용)</w:t>
    </w:r>
    <w:r>
      <w:rPr>
        <w:rFonts w:ascii="Malgun Gothic" w:cs="Malgun Gothic" w:eastAsia="Malgun Gothic" w:hAnsi="Malgun Gothic"/>
        <w:color w:val="1B2A33"/>
        <w:sz w:val="20"/>
        <w:szCs w:val="20"/>
      </w:rPr>
      <w:t xml:space="preserve">	</w:t>
    </w:r>
    <w:r>
      <w:drawing>
        <wp:inline distT="0" distB="0" distL="0" distR="0">
          <wp:extent cx="102870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1B2A33"/>
        <w:sz w:val="20"/>
        <w:szCs w:val="20"/>
      </w:rPr>
      <w:t xml:space="preserve">   </w:t>
    </w:r>
    <w:r>
      <w:drawing>
        <wp:inline distT="0" distB="0" distL="0" distR="0">
          <wp:extent cx="34290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340" w:hanging="200"/>
      </w:pPr>
      <w:rPr>
        <w:b/>
        <w:bCs/>
        <w:color w:val="1C828C"/>
      </w:rPr>
    </w:lvl>
    <w:lvl w:ilvl="1" w15:tentative="1">
      <w:start w:val="1"/>
      <w:numFmt w:val="bullet"/>
      <w:lvlText w:val="–"/>
      <w:lvlJc w:val="left"/>
      <w:pPr>
        <w:ind w:left="680" w:hanging="200"/>
      </w:pPr>
      <w:rPr>
        <w:color w:val="5563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E3A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B2A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3a49002762135d67f391cbf919397da59d8fea6.png"/><Relationship Id="rId1" Type="http://schemas.openxmlformats.org/officeDocument/2006/relationships/image" Target="media/7437353acfbe6a58f5b3e63d3e51247012b9d12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실습4 · URS-DEVLOG-001 (교육용)</dc:title>
  <dc:creator>㈜아이앤씨피(I&amp;CP) 김정민</dc:creator>
  <cp:lastModifiedBy>Un-named</cp:lastModifiedBy>
  <cp:revision>1</cp:revision>
  <dcterms:created xsi:type="dcterms:W3CDTF">2026-10-07T07:11:18.665Z</dcterms:created>
  <dcterms:modified xsi:type="dcterms:W3CDTF">2026-10-07T07:11:18.665Z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