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0" w:line="288"/>
        <w:jc w:val="left"/>
      </w:pPr>
      <w:r>
        <w:rPr>
          <w:rFonts w:ascii="Arial" w:cs="Arial" w:eastAsia="Arial" w:hAnsi="Arial"/>
          <w:sz w:val="22"/>
          <w:szCs w:val="22"/>
        </w:rPr>
        <w:t xml:space="preserve"/>
      </w:r>
    </w:p>
    <w:p>
      <w:pPr>
        <w:spacing w:after="120" w:before="0" w:line="288"/>
        <w:jc w:val="center"/>
      </w:pPr>
      <w:r>
        <w:rPr>
          <w:rFonts w:ascii="Arial" w:cs="Arial" w:eastAsia="Arial" w:hAnsi="Arial"/>
          <w:b/>
          <w:bCs/>
          <w:color w:val="1B4F72"/>
          <w:sz w:val="44"/>
          <w:szCs w:val="44"/>
        </w:rPr>
        <w:t xml:space="preserve">PhD Research Portfolio Review</w:t>
      </w:r>
    </w:p>
    <w:p>
      <w:pPr>
        <w:spacing w:after="500" w:before="0" w:line="288"/>
        <w:jc w:val="center"/>
      </w:pPr>
      <w:r>
        <w:rPr>
          <w:rFonts w:ascii="Arial" w:cs="Arial" w:eastAsia="Arial" w:hAnsi="Arial"/>
          <w:b/>
          <w:bCs/>
          <w:color w:val="1B4F72"/>
          <w:sz w:val="44"/>
          <w:szCs w:val="44"/>
        </w:rPr>
        <w:t xml:space="preserve">and Proposed Capstone Paper</w:t>
      </w:r>
    </w:p>
    <w:p>
      <w:pPr>
        <w:pBdr>
          <w:bottom w:val="single" w:color="1B4F72" w:sz="8" w:space="1"/>
        </w:pBdr>
        <w:spacing w:after="500"/>
      </w:pPr>
    </w:p>
    <w:p>
      <w:pPr>
        <w:spacing w:after="120" w:before="0" w:line="288"/>
        <w:jc w:val="center"/>
      </w:pPr>
      <w:r>
        <w:rPr>
          <w:rFonts w:ascii="Arial" w:cs="Arial" w:eastAsia="Arial" w:hAnsi="Arial"/>
          <w:b/>
          <w:bCs/>
          <w:sz w:val="24"/>
          <w:szCs w:val="24"/>
        </w:rPr>
        <w:t xml:space="preserve">Presented to:  </w:t>
      </w:r>
      <w:r>
        <w:rPr>
          <w:rFonts w:ascii="Arial" w:cs="Arial" w:eastAsia="Arial" w:hAnsi="Arial"/>
          <w:sz w:val="24"/>
          <w:szCs w:val="24"/>
        </w:rPr>
        <w:t xml:space="preserve">Dr. Eadha Neelima (Supervisor)</w:t>
      </w:r>
    </w:p>
    <w:p>
      <w:pPr>
        <w:spacing w:after="120" w:before="0" w:line="288"/>
        <w:jc w:val="center"/>
      </w:pPr>
      <w:r>
        <w:rPr>
          <w:rFonts w:ascii="Arial" w:cs="Arial" w:eastAsia="Arial" w:hAnsi="Arial"/>
          <w:b/>
          <w:bCs/>
          <w:sz w:val="24"/>
          <w:szCs w:val="24"/>
        </w:rPr>
        <w:t xml:space="preserve">Presented by:  </w:t>
      </w:r>
      <w:r>
        <w:rPr>
          <w:rFonts w:ascii="Arial" w:cs="Arial" w:eastAsia="Arial" w:hAnsi="Arial"/>
          <w:sz w:val="24"/>
          <w:szCs w:val="24"/>
        </w:rPr>
        <w:t xml:space="preserve">Radarapu Bharathi (Ph.D. Scholar)</w:t>
      </w:r>
    </w:p>
    <w:p>
      <w:pPr>
        <w:spacing w:after="60" w:before="0" w:line="288"/>
        <w:jc w:val="center"/>
      </w:pPr>
      <w:r>
        <w:rPr>
          <w:rFonts w:ascii="Arial" w:cs="Arial" w:eastAsia="Arial" w:hAnsi="Arial"/>
          <w:sz w:val="22"/>
          <w:szCs w:val="22"/>
        </w:rPr>
        <w:t xml:space="preserve">Department of CSE, GITAM Institute of Technology</w:t>
      </w:r>
    </w:p>
    <w:p>
      <w:pPr>
        <w:spacing w:after="500" w:before="0" w:line="288"/>
        <w:jc w:val="center"/>
      </w:pPr>
      <w:r>
        <w:rPr>
          <w:rFonts w:ascii="Arial" w:cs="Arial" w:eastAsia="Arial" w:hAnsi="Arial"/>
          <w:sz w:val="22"/>
          <w:szCs w:val="22"/>
        </w:rPr>
        <w:t xml:space="preserve">GITAM Deemed to be University, Visakhapatnam</w:t>
      </w:r>
    </w:p>
    <w:p>
      <w:pPr>
        <w:spacing w:after="120" w:before="0" w:line="288"/>
        <w:jc w:val="center"/>
      </w:pPr>
      <w:r>
        <w:rPr>
          <w:rFonts w:ascii="Arial" w:cs="Arial" w:eastAsia="Arial" w:hAnsi="Arial"/>
          <w:b/>
          <w:bCs/>
          <w:sz w:val="22"/>
          <w:szCs w:val="22"/>
        </w:rPr>
        <w:t xml:space="preserve">Thesis theme: </w:t>
      </w:r>
      <w:r>
        <w:rPr>
          <w:rFonts w:ascii="Arial" w:cs="Arial" w:eastAsia="Arial" w:hAnsi="Arial"/>
          <w:i/>
          <w:iCs/>
          <w:sz w:val="22"/>
          <w:szCs w:val="22"/>
        </w:rPr>
        <w:t xml:space="preserve">Multimodal, Causally-Aware Deep Learning for Cardiac Monitoring</w:t>
      </w:r>
    </w:p>
    <w:p>
      <w:pPr>
        <w:spacing w:after="140" w:before="0" w:line="288"/>
        <w:jc w:val="center"/>
      </w:pPr>
      <w:r>
        <w:rPr>
          <w:rFonts w:ascii="Arial" w:cs="Arial" w:eastAsia="Arial" w:hAnsi="Arial"/>
          <w:sz w:val="22"/>
          <w:szCs w:val="22"/>
        </w:rPr>
        <w:t xml:space="preserve">April 2026</w:t>
      </w:r>
    </w:p>
    <w:p>
      <w:r>
        <w:br w:type="page"/>
      </w:r>
    </w:p>
    <w:p>
      <w:pPr>
        <w:pStyle w:val="Heading1"/>
        <w:spacing w:after="180" w:before="340"/>
      </w:pPr>
      <w:r>
        <w:rPr>
          <w:rFonts w:ascii="Arial" w:cs="Arial" w:eastAsia="Arial" w:hAnsi="Arial"/>
          <w:b/>
          <w:bCs/>
          <w:color w:val="1B4F72"/>
          <w:sz w:val="28"/>
          <w:szCs w:val="28"/>
        </w:rPr>
        <w:t xml:space="preserve">1. Purpose of This Document</w:t>
      </w:r>
    </w:p>
    <w:p>
      <w:pPr>
        <w:spacing w:after="140" w:before="0" w:line="288"/>
        <w:jc w:val="left"/>
      </w:pPr>
      <w:r>
        <w:rPr>
          <w:rFonts w:ascii="Arial" w:cs="Arial" w:eastAsia="Arial" w:hAnsi="Arial"/>
          <w:sz w:val="22"/>
          <w:szCs w:val="22"/>
        </w:rPr>
        <w:t xml:space="preserve">This document presents the current state of the doctoral research program, summarizes the contributions and objective coverage of the completed and in-progress papers, and proposes the third and final capstone publication that completes the thesis arc. The intent is to obtain supervisory feedback and approval before commencing work on the capstone paper.</w:t>
      </w:r>
    </w:p>
    <w:p>
      <w:pPr>
        <w:pStyle w:val="Heading1"/>
        <w:spacing w:after="180" w:before="340"/>
      </w:pPr>
      <w:r>
        <w:rPr>
          <w:rFonts w:ascii="Arial" w:cs="Arial" w:eastAsia="Arial" w:hAnsi="Arial"/>
          <w:b/>
          <w:bCs/>
          <w:color w:val="1B4F72"/>
          <w:sz w:val="28"/>
          <w:szCs w:val="28"/>
        </w:rPr>
        <w:t xml:space="preserve">2. Research Program Overview</w:t>
      </w:r>
    </w:p>
    <w:p>
      <w:pPr>
        <w:spacing w:after="140" w:before="0" w:line="288"/>
        <w:jc w:val="left"/>
      </w:pPr>
      <w:r>
        <w:rPr>
          <w:rFonts w:ascii="Arial" w:cs="Arial" w:eastAsia="Arial" w:hAnsi="Arial"/>
          <w:sz w:val="22"/>
          <w:szCs w:val="22"/>
        </w:rPr>
        <w:t xml:space="preserve">The thesis investigates multimodal, causally-aware deep learning for cardiac monitoring, progressing from perception, to explanation, to decision support. The program is structured around two formal PhD objectives:</w:t>
      </w:r>
    </w:p>
    <w:p>
      <w:pPr>
        <w:spacing w:after="140" w:before="0" w:line="288"/>
      </w:pPr>
      <w:r>
        <w:rPr>
          <w:rFonts w:ascii="Arial" w:cs="Arial" w:eastAsia="Arial" w:hAnsi="Arial"/>
          <w:b/>
          <w:bCs/>
          <w:sz w:val="22"/>
          <w:szCs w:val="22"/>
        </w:rPr>
        <w:t xml:space="preserve">Objective 1 — Causal Multimodal Counterfactual Reasoning for Early Intervention: </w:t>
      </w:r>
      <w:r>
        <w:rPr>
          <w:rFonts w:ascii="Arial" w:cs="Arial" w:eastAsia="Arial" w:hAnsi="Arial"/>
          <w:sz w:val="22"/>
          <w:szCs w:val="22"/>
        </w:rPr>
        <w:t xml:space="preserve">Develop methods that combine structural causal models with deep representations of cardiac data to estimate risk and answer clinically relevant counterfactual questions (how risk changes under specific treatments or behaviour modifications), producing human-readable, pathway-level explanations.</w:t>
      </w:r>
    </w:p>
    <w:p>
      <w:pPr>
        <w:spacing w:after="140" w:before="0" w:line="288"/>
      </w:pPr>
      <w:r>
        <w:rPr>
          <w:rFonts w:ascii="Arial" w:cs="Arial" w:eastAsia="Arial" w:hAnsi="Arial"/>
          <w:b/>
          <w:bCs/>
          <w:sz w:val="22"/>
          <w:szCs w:val="22"/>
        </w:rPr>
        <w:t xml:space="preserve">Objective 2 — Multimodal Cardiovascular Early-Warning Modeling: </w:t>
      </w:r>
      <w:r>
        <w:rPr>
          <w:rFonts w:ascii="Arial" w:cs="Arial" w:eastAsia="Arial" w:hAnsi="Arial"/>
          <w:sz w:val="22"/>
          <w:szCs w:val="22"/>
        </w:rPr>
        <w:t xml:space="preserve">Develop personalised models that assimilate multimodal cardiac data to characterise each patient’s evolving cardiac state and provide short-horizon risk indicators suitable for early warning, using data-driven components with online state estimation under noisy conditions.</w:t>
      </w:r>
    </w:p>
    <w:p>
      <w:pPr>
        <w:spacing w:after="140" w:before="0" w:line="288"/>
      </w:pPr>
      <w:r>
        <w:rPr>
          <w:rFonts w:ascii="Arial" w:cs="Arial" w:eastAsia="Arial" w:hAnsi="Arial"/>
          <w:b w:val="false"/>
          <w:bCs w:val="false"/>
          <w:sz w:val="22"/>
          <w:szCs w:val="22"/>
        </w:rPr>
        <w:t xml:space="preserve">The three papers form a deliberate, cumulative arc: </w:t>
      </w:r>
      <w:r>
        <w:rPr>
          <w:rFonts w:ascii="Arial" w:cs="Arial" w:eastAsia="Arial" w:hAnsi="Arial"/>
          <w:b/>
          <w:bCs/>
          <w:sz w:val="22"/>
          <w:szCs w:val="22"/>
        </w:rPr>
        <w:t xml:space="preserve">Paper 1 builds the perception layer, Paper 2 builds the explanation layer, and Paper 3 builds the decision layer.</w:t>
      </w:r>
      <w:r>
        <w:rPr>
          <w:rFonts w:ascii="Arial" w:cs="Arial" w:eastAsia="Arial" w:hAnsi="Arial"/>
          <w:sz w:val="22"/>
          <w:szCs w:val="22"/>
        </w:rPr>
        <w:t xml:space="preserve"> Each paper reuses the validated components of the previous one.</w:t>
      </w:r>
    </w:p>
    <w:p>
      <w:pPr>
        <w:pStyle w:val="Heading1"/>
        <w:spacing w:after="180" w:before="340"/>
      </w:pPr>
      <w:r>
        <w:rPr>
          <w:rFonts w:ascii="Arial" w:cs="Arial" w:eastAsia="Arial" w:hAnsi="Arial"/>
          <w:b/>
          <w:bCs/>
          <w:color w:val="1B4F72"/>
          <w:sz w:val="28"/>
          <w:szCs w:val="28"/>
        </w:rPr>
        <w:t xml:space="preserve">3. Paper 1 — EchoFuseNet (Perception Layer)</w:t>
      </w:r>
    </w:p>
    <w:p>
      <w:pPr>
        <w:spacing w:after="140" w:before="0" w:line="288"/>
      </w:pPr>
      <w:r>
        <w:rPr>
          <w:rFonts w:ascii="Arial" w:cs="Arial" w:eastAsia="Arial" w:hAnsi="Arial"/>
          <w:b/>
          <w:bCs/>
          <w:sz w:val="22"/>
          <w:szCs w:val="22"/>
        </w:rPr>
        <w:t xml:space="preserve">Full title: </w:t>
      </w:r>
      <w:r>
        <w:rPr>
          <w:rFonts w:ascii="Arial" w:cs="Arial" w:eastAsia="Arial" w:hAnsi="Arial"/>
          <w:i/>
          <w:iCs/>
          <w:sz w:val="22"/>
          <w:szCs w:val="22"/>
        </w:rPr>
        <w:t xml:space="preserve">EchoFuseNet: A Lightweight Multimodal CNN Fusing Recurrence Plots, Gramian Angular Fields, and Markov Transition Fields for Real-Time ECG Arrhythmia Classification Under Inter-Patient Evaluation</w:t>
      </w:r>
    </w:p>
    <w:p>
      <w:pPr>
        <w:spacing w:after="140" w:before="0" w:line="288"/>
      </w:pPr>
      <w:r>
        <w:rPr>
          <w:rFonts w:ascii="Arial" w:cs="Arial" w:eastAsia="Arial" w:hAnsi="Arial"/>
          <w:b/>
          <w:bCs/>
          <w:sz w:val="22"/>
          <w:szCs w:val="22"/>
        </w:rPr>
        <w:t xml:space="preserve">Status: </w:t>
      </w:r>
      <w:r>
        <w:rPr>
          <w:rFonts w:ascii="Arial" w:cs="Arial" w:eastAsia="Arial" w:hAnsi="Arial"/>
          <w:sz w:val="22"/>
          <w:szCs w:val="22"/>
        </w:rPr>
        <w:t xml:space="preserve">Manuscript and code being finalised after a full methodological correction pass. Target journal: </w:t>
      </w:r>
      <w:r>
        <w:rPr>
          <w:rFonts w:ascii="Arial" w:cs="Arial" w:eastAsia="Arial" w:hAnsi="Arial"/>
          <w:i/>
          <w:iCs/>
          <w:sz w:val="22"/>
          <w:szCs w:val="22"/>
        </w:rPr>
        <w:t xml:space="preserve">Biomedical Signal Processing and Control</w:t>
      </w:r>
      <w:r>
        <w:rPr>
          <w:rFonts w:ascii="Arial" w:cs="Arial" w:eastAsia="Arial" w:hAnsi="Arial"/>
          <w:sz w:val="22"/>
          <w:szCs w:val="22"/>
        </w:rPr>
        <w:t xml:space="preserve">.</w:t>
      </w:r>
    </w:p>
    <w:p>
      <w:pPr>
        <w:spacing w:after="140" w:before="0" w:line="288"/>
      </w:pPr>
      <w:r>
        <w:rPr>
          <w:rFonts w:ascii="Arial" w:cs="Arial" w:eastAsia="Arial" w:hAnsi="Arial"/>
          <w:b/>
          <w:bCs/>
          <w:sz w:val="22"/>
          <w:szCs w:val="22"/>
        </w:rPr>
        <w:t xml:space="preserve">What this paper does: </w:t>
      </w:r>
      <w:r>
        <w:rPr>
          <w:rFonts w:ascii="Arial" w:cs="Arial" w:eastAsia="Arial" w:hAnsi="Arial"/>
          <w:sz w:val="22"/>
          <w:szCs w:val="22"/>
        </w:rPr>
        <w:t xml:space="preserve">It transforms single-lead ECG beats into three complementary image representations — Recurrence Plots (RP), Gramian Angular Fields (GAF), and Markov Transition Fields (MTF) — and processes each through a dedicated lightweight CNN branch using depthwise separable convolutions, fusing the branches via late fusion to classify five AAMI arrhythmia classes (N, S, V, F, Q).</w:t>
      </w:r>
    </w:p>
    <w:p>
      <w:pPr>
        <w:spacing w:after="80" w:before="0" w:line="288"/>
        <w:jc w:val="left"/>
      </w:pPr>
      <w:r>
        <w:rPr>
          <w:rFonts w:ascii="Arial" w:cs="Arial" w:eastAsia="Arial" w:hAnsi="Arial"/>
          <w:b/>
          <w:bCs/>
          <w:sz w:val="22"/>
          <w:szCs w:val="22"/>
        </w:rPr>
        <w:t xml:space="preserve">Key contributions:</w:t>
      </w:r>
    </w:p>
    <w:p>
      <w:pPr>
        <w:pStyle w:val="ListParagraph"/>
        <w:numPr>
          <w:ilvl w:val="0"/>
          <w:numId w:val="2"/>
        </w:numPr>
        <w:spacing w:after="60" w:before="0" w:line="288"/>
      </w:pPr>
      <w:r>
        <w:rPr>
          <w:rFonts w:ascii="Arial" w:cs="Arial" w:eastAsia="Arial" w:hAnsi="Arial"/>
          <w:sz w:val="22"/>
          <w:szCs w:val="22"/>
        </w:rPr>
        <w:t xml:space="preserve">A genuine three-branch multimodal architecture (~0.7M parameters) where each branch receives a physically distinct representation.</w:t>
      </w:r>
    </w:p>
    <w:p>
      <w:pPr>
        <w:pStyle w:val="ListParagraph"/>
        <w:numPr>
          <w:ilvl w:val="0"/>
          <w:numId w:val="2"/>
        </w:numPr>
        <w:spacing w:after="60" w:before="0" w:line="288"/>
      </w:pPr>
      <w:r>
        <w:rPr>
          <w:rFonts w:ascii="Arial" w:cs="Arial" w:eastAsia="Arial" w:hAnsi="Arial"/>
          <w:sz w:val="22"/>
          <w:szCs w:val="22"/>
        </w:rPr>
        <w:t xml:space="preserve">Rigorous inter-patient evaluation under the AAMI-compliant de Chazal DS1/DS2 protocol, with oversampling applied only to the training fold.</w:t>
      </w:r>
    </w:p>
    <w:p>
      <w:pPr>
        <w:pStyle w:val="ListParagraph"/>
        <w:numPr>
          <w:ilvl w:val="0"/>
          <w:numId w:val="2"/>
        </w:numPr>
        <w:spacing w:after="60" w:before="0" w:line="288"/>
      </w:pPr>
      <w:r>
        <w:rPr>
          <w:rFonts w:ascii="Arial" w:cs="Arial" w:eastAsia="Arial" w:hAnsi="Arial"/>
          <w:sz w:val="22"/>
          <w:szCs w:val="22"/>
        </w:rPr>
        <w:t xml:space="preserve">A complete ablation study quantifying each modality’s contribution, with statistical significance testing.</w:t>
      </w:r>
    </w:p>
    <w:p>
      <w:pPr>
        <w:pStyle w:val="ListParagraph"/>
        <w:numPr>
          <w:ilvl w:val="0"/>
          <w:numId w:val="2"/>
        </w:numPr>
        <w:spacing w:after="60" w:before="0" w:line="288"/>
      </w:pPr>
      <w:r>
        <w:rPr>
          <w:rFonts w:ascii="Arial" w:cs="Arial" w:eastAsia="Arial" w:hAnsi="Arial"/>
          <w:sz w:val="22"/>
          <w:szCs w:val="22"/>
        </w:rPr>
        <w:t xml:space="preserve">Edge-deployable efficiency (&lt;15ms CPU latency, &lt;3MB model size).</w:t>
      </w:r>
    </w:p>
    <w:p>
      <w:pPr>
        <w:pStyle w:val="ListParagraph"/>
        <w:numPr>
          <w:ilvl w:val="0"/>
          <w:numId w:val="2"/>
        </w:numPr>
        <w:spacing w:after="120" w:before="0" w:line="288"/>
      </w:pPr>
      <w:r>
        <w:rPr>
          <w:rFonts w:ascii="Arial" w:cs="Arial" w:eastAsia="Arial" w:hAnsi="Arial"/>
          <w:sz w:val="22"/>
          <w:szCs w:val="22"/>
        </w:rPr>
        <w:t xml:space="preserve">External validation on INCART and a domain-transfer experiment on PTB-XL.</w:t>
      </w:r>
    </w:p>
    <w:p>
      <w:pPr>
        <w:spacing w:after="140" w:before="0" w:line="288"/>
      </w:pPr>
      <w:r>
        <w:rPr>
          <w:rFonts w:ascii="Arial" w:cs="Arial" w:eastAsia="Arial" w:hAnsi="Arial"/>
          <w:b/>
          <w:bCs/>
          <w:sz w:val="22"/>
          <w:szCs w:val="22"/>
        </w:rPr>
        <w:t xml:space="preserve">Methodological corrections applied (relative to the original draft): </w:t>
      </w:r>
      <w:r>
        <w:rPr>
          <w:rFonts w:ascii="Arial" w:cs="Arial" w:eastAsia="Arial" w:hAnsi="Arial"/>
          <w:sz w:val="22"/>
          <w:szCs w:val="22"/>
        </w:rPr>
        <w:t xml:space="preserve">eliminated the channel-duplication defect that made the model effectively single-modality; corrected data leakage by enforcing patient-level splitting before oversampling; aligned the reported architecture and hyperparameters with the actual code; added k-fold cross-validation and statistical testing; and reported honest inter-patient accuracy (expected 87–94%) rather than inflated figures.</w:t>
      </w:r>
    </w:p>
    <w:p>
      <w:pPr>
        <w:spacing w:after="140" w:before="0" w:line="288"/>
      </w:pPr>
      <w:r>
        <w:rPr>
          <w:rFonts w:ascii="Arial" w:cs="Arial" w:eastAsia="Arial" w:hAnsi="Arial"/>
          <w:b/>
          <w:bCs/>
          <w:sz w:val="22"/>
          <w:szCs w:val="22"/>
        </w:rPr>
        <w:t xml:space="preserve">Objective coverage: </w:t>
      </w:r>
      <w:r>
        <w:rPr>
          <w:rFonts w:ascii="Arial" w:cs="Arial" w:eastAsia="Arial" w:hAnsi="Arial"/>
          <w:sz w:val="22"/>
          <w:szCs w:val="22"/>
        </w:rPr>
        <w:t xml:space="preserve">Establishes the multimodal perception backbone required by both objectives. Provides the frozen encoder reused in Papers 2 and 3.</w:t>
      </w:r>
    </w:p>
    <w:p>
      <w:pPr>
        <w:pStyle w:val="Heading1"/>
        <w:spacing w:after="180" w:before="340"/>
      </w:pPr>
      <w:r>
        <w:rPr>
          <w:rFonts w:ascii="Arial" w:cs="Arial" w:eastAsia="Arial" w:hAnsi="Arial"/>
          <w:b/>
          <w:bCs/>
          <w:color w:val="1B4F72"/>
          <w:sz w:val="28"/>
          <w:szCs w:val="28"/>
        </w:rPr>
        <w:t xml:space="preserve">4. Paper 2 — CausalEchoNet (Explanation Layer)</w:t>
      </w:r>
    </w:p>
    <w:p>
      <w:pPr>
        <w:spacing w:after="140" w:before="0" w:line="288"/>
      </w:pPr>
      <w:r>
        <w:rPr>
          <w:rFonts w:ascii="Arial" w:cs="Arial" w:eastAsia="Arial" w:hAnsi="Arial"/>
          <w:b/>
          <w:bCs/>
          <w:sz w:val="22"/>
          <w:szCs w:val="22"/>
        </w:rPr>
        <w:t xml:space="preserve">Full title: </w:t>
      </w:r>
      <w:r>
        <w:rPr>
          <w:rFonts w:ascii="Arial" w:cs="Arial" w:eastAsia="Arial" w:hAnsi="Arial"/>
          <w:i/>
          <w:iCs/>
          <w:sz w:val="22"/>
          <w:szCs w:val="22"/>
        </w:rPr>
        <w:t xml:space="preserve">CausalEchoNet: Modality-Specific Counterfactual Explanations for Multimodal ECG Arrhythmia Classification via Conditional VAE and Causal Attribution</w:t>
      </w:r>
    </w:p>
    <w:p>
      <w:pPr>
        <w:spacing w:after="140" w:before="0" w:line="288"/>
      </w:pPr>
      <w:r>
        <w:rPr>
          <w:rFonts w:ascii="Arial" w:cs="Arial" w:eastAsia="Arial" w:hAnsi="Arial"/>
          <w:b/>
          <w:bCs/>
          <w:sz w:val="22"/>
          <w:szCs w:val="22"/>
        </w:rPr>
        <w:t xml:space="preserve">Status: </w:t>
      </w:r>
      <w:r>
        <w:rPr>
          <w:rFonts w:ascii="Arial" w:cs="Arial" w:eastAsia="Arial" w:hAnsi="Arial"/>
          <w:sz w:val="22"/>
          <w:szCs w:val="22"/>
        </w:rPr>
        <w:t xml:space="preserve">Designed and planned in full; coding to begin after Paper 1 submission. Target journal: </w:t>
      </w:r>
      <w:r>
        <w:rPr>
          <w:rFonts w:ascii="Arial" w:cs="Arial" w:eastAsia="Arial" w:hAnsi="Arial"/>
          <w:i/>
          <w:iCs/>
          <w:sz w:val="22"/>
          <w:szCs w:val="22"/>
        </w:rPr>
        <w:t xml:space="preserve">IEEE Journal of Biomedical and Health Informatics</w:t>
      </w:r>
      <w:r>
        <w:rPr>
          <w:rFonts w:ascii="Arial" w:cs="Arial" w:eastAsia="Arial" w:hAnsi="Arial"/>
          <w:sz w:val="22"/>
          <w:szCs w:val="22"/>
        </w:rPr>
        <w:t xml:space="preserve">.</w:t>
      </w:r>
    </w:p>
    <w:p>
      <w:pPr>
        <w:spacing w:after="140" w:before="0" w:line="288"/>
      </w:pPr>
      <w:r>
        <w:rPr>
          <w:rFonts w:ascii="Arial" w:cs="Arial" w:eastAsia="Arial" w:hAnsi="Arial"/>
          <w:b/>
          <w:bCs/>
          <w:sz w:val="22"/>
          <w:szCs w:val="22"/>
        </w:rPr>
        <w:t xml:space="preserve">What this paper does: </w:t>
      </w:r>
      <w:r>
        <w:rPr>
          <w:rFonts w:ascii="Arial" w:cs="Arial" w:eastAsia="Arial" w:hAnsi="Arial"/>
          <w:sz w:val="22"/>
          <w:szCs w:val="22"/>
        </w:rPr>
        <w:t xml:space="preserve">It builds directly on the frozen EchoFuseNet encoder. A lightweight feature-space Conditional Variational Autoencoder (~0.2M parameters) generates counterfactual explanations that answer the clinical question: “What minimal change to this ECG beat’s representation would shift the classification from class A to class B?” The framework also performs modality-level causal attribution by intervening on the RP, GAF, and MTF branches independently to identify which representation causally drives each decision.</w:t>
      </w:r>
    </w:p>
    <w:p>
      <w:pPr>
        <w:spacing w:after="80" w:before="0" w:line="288"/>
        <w:jc w:val="left"/>
      </w:pPr>
      <w:r>
        <w:rPr>
          <w:rFonts w:ascii="Arial" w:cs="Arial" w:eastAsia="Arial" w:hAnsi="Arial"/>
          <w:b/>
          <w:bCs/>
          <w:sz w:val="22"/>
          <w:szCs w:val="22"/>
        </w:rPr>
        <w:t xml:space="preserve">Key contributions:</w:t>
      </w:r>
    </w:p>
    <w:p>
      <w:pPr>
        <w:pStyle w:val="ListParagraph"/>
        <w:numPr>
          <w:ilvl w:val="0"/>
          <w:numId w:val="3"/>
        </w:numPr>
        <w:spacing w:after="60" w:before="0" w:line="288"/>
      </w:pPr>
      <w:r>
        <w:rPr>
          <w:rFonts w:ascii="Arial" w:cs="Arial" w:eastAsia="Arial" w:hAnsi="Arial"/>
          <w:sz w:val="22"/>
          <w:szCs w:val="22"/>
        </w:rPr>
        <w:t xml:space="preserve">The first counterfactual explanation framework operating in the multimodal ECG representation space (RP/GAF/MTF), producing modality-specific counterfactuals.</w:t>
      </w:r>
    </w:p>
    <w:p>
      <w:pPr>
        <w:pStyle w:val="ListParagraph"/>
        <w:numPr>
          <w:ilvl w:val="0"/>
          <w:numId w:val="3"/>
        </w:numPr>
        <w:spacing w:after="60" w:before="0" w:line="288"/>
      </w:pPr>
      <w:r>
        <w:rPr>
          <w:rFonts w:ascii="Arial" w:cs="Arial" w:eastAsia="Arial" w:hAnsi="Arial"/>
          <w:sz w:val="22"/>
          <w:szCs w:val="22"/>
        </w:rPr>
        <w:t xml:space="preserve">Modality-level causal attribution via Individual Treatment Effects, moving beyond associational methods such as Grad-CAM and SHAP.</w:t>
      </w:r>
    </w:p>
    <w:p>
      <w:pPr>
        <w:pStyle w:val="ListParagraph"/>
        <w:numPr>
          <w:ilvl w:val="0"/>
          <w:numId w:val="3"/>
        </w:numPr>
        <w:spacing w:after="60" w:before="0" w:line="288"/>
      </w:pPr>
      <w:r>
        <w:rPr>
          <w:rFonts w:ascii="Arial" w:cs="Arial" w:eastAsia="Arial" w:hAnsi="Arial"/>
          <w:sz w:val="22"/>
          <w:szCs w:val="22"/>
        </w:rPr>
        <w:t xml:space="preserve">A lightweight, edge-feasible explanation pipeline (total system under 1M parameters, sub-50ms CPU).</w:t>
      </w:r>
    </w:p>
    <w:p>
      <w:pPr>
        <w:pStyle w:val="ListParagraph"/>
        <w:numPr>
          <w:ilvl w:val="0"/>
          <w:numId w:val="3"/>
        </w:numPr>
        <w:spacing w:after="120" w:before="0" w:line="288"/>
      </w:pPr>
      <w:r>
        <w:rPr>
          <w:rFonts w:ascii="Arial" w:cs="Arial" w:eastAsia="Arial" w:hAnsi="Arial"/>
          <w:sz w:val="22"/>
          <w:szCs w:val="22"/>
        </w:rPr>
        <w:t xml:space="preserve">A systematic comparison demonstrating where causal explanations diverge from associational attributions.</w:t>
      </w:r>
    </w:p>
    <w:p>
      <w:pPr>
        <w:spacing w:after="140" w:before="0" w:line="288"/>
      </w:pPr>
      <w:r>
        <w:rPr>
          <w:rFonts w:ascii="Arial" w:cs="Arial" w:eastAsia="Arial" w:hAnsi="Arial"/>
          <w:b/>
          <w:bCs/>
          <w:sz w:val="22"/>
          <w:szCs w:val="22"/>
        </w:rPr>
        <w:t xml:space="preserve">Objective coverage: </w:t>
      </w:r>
      <w:r>
        <w:rPr>
          <w:rFonts w:ascii="Arial" w:cs="Arial" w:eastAsia="Arial" w:hAnsi="Arial"/>
          <w:sz w:val="22"/>
          <w:szCs w:val="22"/>
        </w:rPr>
        <w:t xml:space="preserve">Directly delivers the counterfactual reasoning and pathway-level explanation requirements of Objective 1, at the single-beat level.</w:t>
      </w:r>
    </w:p>
    <w:p>
      <w:r>
        <w:br w:type="page"/>
      </w:r>
    </w:p>
    <w:p>
      <w:pPr>
        <w:pStyle w:val="Heading1"/>
        <w:spacing w:after="180" w:before="340"/>
      </w:pPr>
      <w:r>
        <w:rPr>
          <w:rFonts w:ascii="Arial" w:cs="Arial" w:eastAsia="Arial" w:hAnsi="Arial"/>
          <w:b/>
          <w:bCs/>
          <w:color w:val="1B4F72"/>
          <w:sz w:val="28"/>
          <w:szCs w:val="28"/>
        </w:rPr>
        <w:t xml:space="preserve">5. Paper 3 — CardioCausal (Decision Layer) — NEW PROPOSED CAPSTONE</w:t>
      </w:r>
    </w:p>
    <w:p>
      <w:pPr>
        <w:spacing w:after="140" w:before="0" w:line="288"/>
      </w:pPr>
      <w:r>
        <w:rPr>
          <w:rFonts w:ascii="Arial" w:cs="Arial" w:eastAsia="Arial" w:hAnsi="Arial"/>
          <w:b/>
          <w:bCs/>
          <w:sz w:val="22"/>
          <w:szCs w:val="22"/>
        </w:rPr>
        <w:t xml:space="preserve">Full title (proposed): </w:t>
      </w:r>
      <w:r>
        <w:rPr>
          <w:rFonts w:ascii="Arial" w:cs="Arial" w:eastAsia="Arial" w:hAnsi="Arial"/>
          <w:i/>
          <w:iCs/>
          <w:sz w:val="22"/>
          <w:szCs w:val="22"/>
        </w:rPr>
        <w:t xml:space="preserve">CardioCausal: A Structural-Causal Multimodal Engine for Personalized Cardiac Risk, Counterfactual Intervention Recommendation, and Pathway-Level Explanation</w:t>
      </w:r>
    </w:p>
    <w:p>
      <w:pPr>
        <w:spacing w:after="140" w:before="0" w:line="288"/>
      </w:pPr>
      <w:r>
        <w:rPr>
          <w:rFonts w:ascii="Arial" w:cs="Arial" w:eastAsia="Arial" w:hAnsi="Arial"/>
          <w:b/>
          <w:bCs/>
          <w:sz w:val="22"/>
          <w:szCs w:val="22"/>
        </w:rPr>
        <w:t xml:space="preserve">Target journal (proposed): </w:t>
      </w:r>
      <w:r>
        <w:rPr>
          <w:rFonts w:ascii="Arial" w:cs="Arial" w:eastAsia="Arial" w:hAnsi="Arial"/>
          <w:i/>
          <w:iCs/>
          <w:sz w:val="22"/>
          <w:szCs w:val="22"/>
        </w:rPr>
        <w:t xml:space="preserve">Artificial Intelligence in Medicine</w:t>
      </w:r>
      <w:r>
        <w:rPr>
          <w:rFonts w:ascii="Arial" w:cs="Arial" w:eastAsia="Arial" w:hAnsi="Arial"/>
          <w:sz w:val="22"/>
          <w:szCs w:val="22"/>
        </w:rPr>
        <w:t xml:space="preserve"> (primary), with </w:t>
      </w:r>
      <w:r>
        <w:rPr>
          <w:rFonts w:ascii="Arial" w:cs="Arial" w:eastAsia="Arial" w:hAnsi="Arial"/>
          <w:i/>
          <w:iCs/>
          <w:sz w:val="22"/>
          <w:szCs w:val="22"/>
        </w:rPr>
        <w:t xml:space="preserve">IEEE JBHI</w:t>
      </w:r>
      <w:r>
        <w:rPr>
          <w:rFonts w:ascii="Arial" w:cs="Arial" w:eastAsia="Arial" w:hAnsi="Arial"/>
          <w:sz w:val="22"/>
          <w:szCs w:val="22"/>
        </w:rPr>
        <w:t xml:space="preserve"> as a continuity fallback and </w:t>
      </w:r>
      <w:r>
        <w:rPr>
          <w:rFonts w:ascii="Arial" w:cs="Arial" w:eastAsia="Arial" w:hAnsi="Arial"/>
          <w:i/>
          <w:iCs/>
          <w:sz w:val="22"/>
          <w:szCs w:val="22"/>
        </w:rPr>
        <w:t xml:space="preserve">npj Digital Medicine</w:t>
      </w:r>
      <w:r>
        <w:rPr>
          <w:rFonts w:ascii="Arial" w:cs="Arial" w:eastAsia="Arial" w:hAnsi="Arial"/>
          <w:sz w:val="22"/>
          <w:szCs w:val="22"/>
        </w:rPr>
        <w:t xml:space="preserve"> as a stretch target.</w:t>
      </w:r>
    </w:p>
    <w:p>
      <w:pPr>
        <w:spacing w:after="140" w:before="0" w:line="288"/>
      </w:pPr>
      <w:r>
        <w:rPr>
          <w:rFonts w:ascii="Arial" w:cs="Arial" w:eastAsia="Arial" w:hAnsi="Arial"/>
          <w:b/>
          <w:bCs/>
          <w:sz w:val="22"/>
          <w:szCs w:val="22"/>
        </w:rPr>
        <w:t xml:space="preserve">Motivation: </w:t>
      </w:r>
      <w:r>
        <w:rPr>
          <w:rFonts w:ascii="Arial" w:cs="Arial" w:eastAsia="Arial" w:hAnsi="Arial"/>
          <w:sz w:val="22"/>
          <w:szCs w:val="22"/>
        </w:rPr>
        <w:t xml:space="preserve">Papers 1 and 2 operate at the level of individual ECG beats — perceiving and explaining arrhythmia classifications. The capstone elevates this to personalised cardiac risk and actionable decision support, fusing the ECG-derived representation with tabular clinical context (demographics, labs, comorbidities, medications) and embedding it within a structural causal model. This completes the thesis arc from perception, to explanation, to decision.</w:t>
      </w:r>
    </w:p>
    <w:p>
      <w:pPr>
        <w:spacing w:after="140" w:before="0" w:line="288"/>
      </w:pPr>
      <w:r>
        <w:rPr>
          <w:rFonts w:ascii="Arial" w:cs="Arial" w:eastAsia="Arial" w:hAnsi="Arial"/>
          <w:b/>
          <w:bCs/>
          <w:sz w:val="22"/>
          <w:szCs w:val="22"/>
        </w:rPr>
        <w:t xml:space="preserve">Why this direction was chosen over a full “digital twin”: </w:t>
      </w:r>
      <w:r>
        <w:rPr>
          <w:rFonts w:ascii="Arial" w:cs="Arial" w:eastAsia="Arial" w:hAnsi="Arial"/>
          <w:sz w:val="22"/>
          <w:szCs w:val="22"/>
        </w:rPr>
        <w:t xml:space="preserve">Under a public, retrospective, secondary-data-only constraint, a credible cardiovascular digital twin would require prospective or closed-loop clinical validation that is not achievable. By contrast, causal counterfactual work is purpose-built for retrospective data and can be validated to the field’s gold standard using target trial emulation, propensity weighting, E-values, and negative controls. The causal decision engine is therefore both more defensible and more publishable. A bounded, clearly-scoped in-silico longitudinal layer is included as a secondary contribution to honestly address Objective 2 without overclaiming.</w:t>
      </w:r>
    </w:p>
    <w:p>
      <w:pPr>
        <w:spacing w:after="80" w:before="0" w:line="288"/>
        <w:jc w:val="left"/>
      </w:pPr>
      <w:r>
        <w:rPr>
          <w:rFonts w:ascii="Arial" w:cs="Arial" w:eastAsia="Arial" w:hAnsi="Arial"/>
          <w:b/>
          <w:bCs/>
          <w:sz w:val="22"/>
          <w:szCs w:val="22"/>
        </w:rPr>
        <w:t xml:space="preserve">Key contributions:</w:t>
      </w:r>
    </w:p>
    <w:p>
      <w:pPr>
        <w:pStyle w:val="ListParagraph"/>
        <w:numPr>
          <w:ilvl w:val="0"/>
          <w:numId w:val="4"/>
        </w:numPr>
        <w:spacing w:after="60" w:before="0" w:line="288"/>
      </w:pPr>
      <w:r>
        <w:rPr>
          <w:rFonts w:ascii="Arial" w:cs="Arial" w:eastAsia="Arial" w:hAnsi="Arial"/>
          <w:sz w:val="22"/>
          <w:szCs w:val="22"/>
        </w:rPr>
        <w:t xml:space="preserve">The first framework to embed a structural causal model over a fused ECG-representation plus tabular-EHR latent space that simultaneously (a) produces calibrated personalised cardiac risk, (b) generates actionable, causally-consistent counterfactual intervention recommendations over modifiable clinical and behavioural variables, and (c) emits human-readable pathway-level explanations.</w:t>
      </w:r>
    </w:p>
    <w:p>
      <w:pPr>
        <w:pStyle w:val="ListParagraph"/>
        <w:numPr>
          <w:ilvl w:val="0"/>
          <w:numId w:val="4"/>
        </w:numPr>
        <w:spacing w:after="60" w:before="0" w:line="288"/>
      </w:pPr>
      <w:r>
        <w:rPr>
          <w:rFonts w:ascii="Arial" w:cs="Arial" w:eastAsia="Arial" w:hAnsi="Arial"/>
          <w:sz w:val="22"/>
          <w:szCs w:val="22"/>
        </w:rPr>
        <w:t xml:space="preserve">Formal observational-causal validation (target trial emulation, inverse-probability weighting, E-values, negative-control outcomes) on public retrospective data — distinguishing this from “causal-flavoured” deep learning.</w:t>
      </w:r>
    </w:p>
    <w:p>
      <w:pPr>
        <w:pStyle w:val="ListParagraph"/>
        <w:numPr>
          <w:ilvl w:val="0"/>
          <w:numId w:val="4"/>
        </w:numPr>
        <w:spacing w:after="120" w:before="0" w:line="288"/>
      </w:pPr>
      <w:r>
        <w:rPr>
          <w:rFonts w:ascii="Arial" w:cs="Arial" w:eastAsia="Arial" w:hAnsi="Arial"/>
          <w:sz w:val="22"/>
          <w:szCs w:val="22"/>
        </w:rPr>
        <w:t xml:space="preserve">A bounded in-silico latent-state-propagation layer over serial ECG records, providing short-horizon retrospective risk trajectories that address Objective 2.</w:t>
      </w:r>
    </w:p>
    <w:p>
      <w:pPr>
        <w:spacing w:after="80" w:before="0" w:line="288"/>
        <w:jc w:val="left"/>
      </w:pPr>
      <w:r>
        <w:rPr>
          <w:rFonts w:ascii="Arial" w:cs="Arial" w:eastAsia="Arial" w:hAnsi="Arial"/>
          <w:b/>
          <w:bCs/>
          <w:sz w:val="22"/>
          <w:szCs w:val="22"/>
        </w:rPr>
        <w:t xml:space="preserve">Proposed datasets:</w:t>
      </w:r>
    </w:p>
    <w:p>
      <w:pPr>
        <w:pStyle w:val="ListParagraph"/>
        <w:numPr>
          <w:ilvl w:val="0"/>
          <w:numId w:val="5"/>
        </w:numPr>
        <w:spacing w:after="60" w:before="0" w:line="288"/>
      </w:pPr>
      <w:r>
        <w:rPr>
          <w:rFonts w:ascii="Arial" w:cs="Arial" w:eastAsia="Arial" w:hAnsi="Arial"/>
          <w:b/>
          <w:bCs/>
          <w:sz w:val="22"/>
          <w:szCs w:val="22"/>
        </w:rPr>
        <w:t xml:space="preserve">PTB-XL </w:t>
      </w:r>
      <w:r>
        <w:rPr>
          <w:rFonts w:ascii="Arial" w:cs="Arial" w:eastAsia="Arial" w:hAnsi="Arial"/>
          <w:sz w:val="22"/>
          <w:szCs w:val="22"/>
        </w:rPr>
        <w:t xml:space="preserve">(21,799 clinical 12-lead ECGs, rich metadata) — representation development and benchmarking.</w:t>
      </w:r>
    </w:p>
    <w:p>
      <w:pPr>
        <w:pStyle w:val="ListParagraph"/>
        <w:numPr>
          <w:ilvl w:val="0"/>
          <w:numId w:val="5"/>
        </w:numPr>
        <w:spacing w:after="60" w:before="0" w:line="288"/>
      </w:pPr>
      <w:r>
        <w:rPr>
          <w:rFonts w:ascii="Arial" w:cs="Arial" w:eastAsia="Arial" w:hAnsi="Arial"/>
          <w:b/>
          <w:bCs/>
          <w:sz w:val="22"/>
          <w:szCs w:val="22"/>
        </w:rPr>
        <w:t xml:space="preserve">MIMIC-IV-ECG linked to MIMIC-IV EHR </w:t>
      </w:r>
      <w:r>
        <w:rPr>
          <w:rFonts w:ascii="Arial" w:cs="Arial" w:eastAsia="Arial" w:hAnsi="Arial"/>
          <w:sz w:val="22"/>
          <w:szCs w:val="22"/>
        </w:rPr>
        <w:t xml:space="preserve">(~800,000 ECGs, ~160,000 patients, linkable to labs/diagnoses/medications) — the backbone for causal estimation.</w:t>
      </w:r>
    </w:p>
    <w:p>
      <w:pPr>
        <w:pStyle w:val="ListParagraph"/>
        <w:numPr>
          <w:ilvl w:val="0"/>
          <w:numId w:val="5"/>
        </w:numPr>
        <w:spacing w:after="120" w:before="0" w:line="288"/>
      </w:pPr>
      <w:r>
        <w:rPr>
          <w:rFonts w:ascii="Arial" w:cs="Arial" w:eastAsia="Arial" w:hAnsi="Arial"/>
          <w:b/>
          <w:bCs/>
          <w:sz w:val="22"/>
          <w:szCs w:val="22"/>
        </w:rPr>
        <w:t xml:space="preserve">Chapman-Shaoxing and CODE-15% </w:t>
      </w:r>
      <w:r>
        <w:rPr>
          <w:rFonts w:ascii="Arial" w:cs="Arial" w:eastAsia="Arial" w:hAnsi="Arial"/>
          <w:sz w:val="22"/>
          <w:szCs w:val="22"/>
        </w:rPr>
        <w:t xml:space="preserve">(345,779 exams with mortality follow-up) — external validation.</w:t>
      </w:r>
    </w:p>
    <w:p>
      <w:pPr>
        <w:spacing w:after="140" w:before="0" w:line="288"/>
      </w:pPr>
      <w:r>
        <w:rPr>
          <w:rFonts w:ascii="Arial" w:cs="Arial" w:eastAsia="Arial" w:hAnsi="Arial"/>
          <w:b/>
          <w:bCs/>
          <w:sz w:val="22"/>
          <w:szCs w:val="22"/>
        </w:rPr>
        <w:t xml:space="preserve">Proposed evaluation: </w:t>
      </w:r>
      <w:r>
        <w:rPr>
          <w:rFonts w:ascii="Arial" w:cs="Arial" w:eastAsia="Arial" w:hAnsi="Arial"/>
          <w:sz w:val="22"/>
          <w:szCs w:val="22"/>
        </w:rPr>
        <w:t xml:space="preserve">Risk discrimination (AUROC, AUPRC with bootstrap CIs) and calibration (calibration slope/intercept, Brier score, decision-curve analysis); causal-effect estimation via target trial emulation with balance diagnostics and sensitivity analysis (E-values, negative controls, positivity checks); counterfactual quality (validity, proximity, sparsity, plausibility, actionability) benchmarked against DiCE, Wachter et al., and GCX; and clinical-alignment review of generated counterfactuals.</w:t>
      </w:r>
    </w:p>
    <w:p>
      <w:pPr>
        <w:spacing w:after="140" w:before="0" w:line="288"/>
      </w:pPr>
      <w:r>
        <w:rPr>
          <w:rFonts w:ascii="Arial" w:cs="Arial" w:eastAsia="Arial" w:hAnsi="Arial"/>
          <w:b/>
          <w:bCs/>
          <w:sz w:val="22"/>
          <w:szCs w:val="22"/>
        </w:rPr>
        <w:t xml:space="preserve">Objective coverage: </w:t>
      </w:r>
      <w:r>
        <w:rPr>
          <w:rFonts w:ascii="Arial" w:cs="Arial" w:eastAsia="Arial" w:hAnsi="Arial"/>
          <w:sz w:val="22"/>
          <w:szCs w:val="22"/>
        </w:rPr>
        <w:t xml:space="preserve">Fulfils Objective 1 in full (causal multimodal counterfactual reasoning, actionable recourse, pathway-level explanation) and Objective 2 in bounded, honest form (retrospective in-silico cardiac-state trajectories and short-horizon risk indicators).</w:t>
      </w:r>
    </w:p>
    <w:p>
      <w:pPr>
        <w:pStyle w:val="Heading1"/>
        <w:spacing w:after="180" w:before="340"/>
      </w:pPr>
      <w:r>
        <w:rPr>
          <w:rFonts w:ascii="Arial" w:cs="Arial" w:eastAsia="Arial" w:hAnsi="Arial"/>
          <w:b/>
          <w:bCs/>
          <w:color w:val="1B4F72"/>
          <w:sz w:val="28"/>
          <w:szCs w:val="28"/>
        </w:rPr>
        <w:t xml:space="preserve">6. Objective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BBBBBB" w:sz="1"/>
              <w:left w:val="single" w:color="BBBBBB" w:sz="1"/>
              <w:bottom w:val="single" w:color="BBBBBB" w:sz="1"/>
              <w:right w:val="single" w:color="BBBBBB" w:sz="1"/>
            </w:tcBorders>
            <w:shd w:fill="1B4F72"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PhD Objective</w:t>
            </w:r>
          </w:p>
        </w:tc>
        <w:tc>
          <w:tcPr>
            <w:tcW w:type="dxa" w:w="2240"/>
            <w:tcBorders>
              <w:top w:val="single" w:color="BBBBBB" w:sz="1"/>
              <w:left w:val="single" w:color="BBBBBB" w:sz="1"/>
              <w:bottom w:val="single" w:color="BBBBBB" w:sz="1"/>
              <w:right w:val="single" w:color="BBBBBB" w:sz="1"/>
            </w:tcBorders>
            <w:shd w:fill="1B4F72"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Paper 1 (EchoFuseNet)</w:t>
            </w:r>
          </w:p>
        </w:tc>
        <w:tc>
          <w:tcPr>
            <w:tcW w:type="dxa" w:w="2240"/>
            <w:tcBorders>
              <w:top w:val="single" w:color="BBBBBB" w:sz="1"/>
              <w:left w:val="single" w:color="BBBBBB" w:sz="1"/>
              <w:bottom w:val="single" w:color="BBBBBB" w:sz="1"/>
              <w:right w:val="single" w:color="BBBBBB" w:sz="1"/>
            </w:tcBorders>
            <w:shd w:fill="1B4F72"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Paper 2 (CausalEchoNet)</w:t>
            </w:r>
          </w:p>
        </w:tc>
        <w:tc>
          <w:tcPr>
            <w:tcW w:type="dxa" w:w="2240"/>
            <w:tcBorders>
              <w:top w:val="single" w:color="BBBBBB" w:sz="1"/>
              <w:left w:val="single" w:color="BBBBBB" w:sz="1"/>
              <w:bottom w:val="single" w:color="BBBBBB" w:sz="1"/>
              <w:right w:val="single" w:color="BBBBBB" w:sz="1"/>
            </w:tcBorders>
            <w:shd w:fill="1B4F72"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Paper 3 (CardioCausal)</w:t>
            </w:r>
          </w:p>
        </w:tc>
      </w:tr>
      <w:tr>
        <w:tc>
          <w:tcPr>
            <w:tcW w:type="dxa" w:w="2640"/>
            <w:tcBorders>
              <w:top w:val="single" w:color="BBBBBB" w:sz="1"/>
              <w:left w:val="single" w:color="BBBBBB" w:sz="1"/>
              <w:bottom w:val="single" w:color="BBBBBB" w:sz="1"/>
              <w:right w:val="single" w:color="BBBBBB" w:sz="1"/>
            </w:tcBorders>
            <w:shd w:fill="F4F6F7" w:val="clear"/>
            <w:tcMar>
              <w:top w:type="dxa" w:w="70"/>
              <w:left w:type="dxa" w:w="110"/>
              <w:bottom w:type="dxa" w:w="70"/>
              <w:right w:type="dxa" w:w="110"/>
            </w:tcMar>
          </w:tcPr>
          <w:p>
            <w:pPr>
              <w:spacing w:after="0"/>
            </w:pPr>
            <w:r>
              <w:rPr>
                <w:rFonts w:ascii="Arial" w:cs="Arial" w:eastAsia="Arial" w:hAnsi="Arial"/>
                <w:sz w:val="19"/>
                <w:szCs w:val="19"/>
              </w:rPr>
              <w:t xml:space="preserve">Obj 1 — Causal counterfactual reasoning &amp; pathway explanations</w:t>
            </w:r>
          </w:p>
        </w:tc>
        <w:tc>
          <w:tcPr>
            <w:tcW w:type="dxa" w:w="2240"/>
            <w:tcBorders>
              <w:top w:val="single" w:color="BBBBBB" w:sz="1"/>
              <w:left w:val="single" w:color="BBBBBB" w:sz="1"/>
              <w:bottom w:val="single" w:color="BBBBBB" w:sz="1"/>
              <w:right w:val="single" w:color="BBBBBB" w:sz="1"/>
            </w:tcBorders>
            <w:shd w:fill="F4F6F7" w:val="clear"/>
            <w:tcMar>
              <w:top w:type="dxa" w:w="70"/>
              <w:left w:type="dxa" w:w="110"/>
              <w:bottom w:type="dxa" w:w="70"/>
              <w:right w:type="dxa" w:w="110"/>
            </w:tcMar>
          </w:tcPr>
          <w:p>
            <w:pPr>
              <w:spacing w:after="0"/>
            </w:pPr>
            <w:r>
              <w:rPr>
                <w:rFonts w:ascii="Arial" w:cs="Arial" w:eastAsia="Arial" w:hAnsi="Arial"/>
                <w:sz w:val="19"/>
                <w:szCs w:val="19"/>
              </w:rPr>
              <w:t xml:space="preserve">Provides multimodal encoder backbone</w:t>
            </w:r>
          </w:p>
        </w:tc>
        <w:tc>
          <w:tcPr>
            <w:tcW w:type="dxa" w:w="2240"/>
            <w:tcBorders>
              <w:top w:val="single" w:color="BBBBBB" w:sz="1"/>
              <w:left w:val="single" w:color="BBBBBB" w:sz="1"/>
              <w:bottom w:val="single" w:color="BBBBBB" w:sz="1"/>
              <w:right w:val="single" w:color="BBBBBB" w:sz="1"/>
            </w:tcBorders>
            <w:shd w:fill="F4F6F7" w:val="clear"/>
            <w:tcMar>
              <w:top w:type="dxa" w:w="70"/>
              <w:left w:type="dxa" w:w="110"/>
              <w:bottom w:type="dxa" w:w="70"/>
              <w:right w:type="dxa" w:w="110"/>
            </w:tcMar>
          </w:tcPr>
          <w:p>
            <w:pPr>
              <w:spacing w:after="0"/>
            </w:pPr>
            <w:r>
              <w:rPr>
                <w:rFonts w:ascii="Arial" w:cs="Arial" w:eastAsia="Arial" w:hAnsi="Arial"/>
                <w:sz w:val="19"/>
                <w:szCs w:val="19"/>
              </w:rPr>
              <w:t xml:space="preserve">Delivers beat-level counterfactuals &amp; causal attribution</w:t>
            </w:r>
          </w:p>
        </w:tc>
        <w:tc>
          <w:tcPr>
            <w:tcW w:type="dxa" w:w="2240"/>
            <w:tcBorders>
              <w:top w:val="single" w:color="BBBBBB" w:sz="1"/>
              <w:left w:val="single" w:color="BBBBBB" w:sz="1"/>
              <w:bottom w:val="single" w:color="BBBBBB" w:sz="1"/>
              <w:right w:val="single" w:color="BBBBBB" w:sz="1"/>
            </w:tcBorders>
            <w:shd w:fill="F4F6F7" w:val="clear"/>
            <w:tcMar>
              <w:top w:type="dxa" w:w="70"/>
              <w:left w:type="dxa" w:w="110"/>
              <w:bottom w:type="dxa" w:w="70"/>
              <w:right w:type="dxa" w:w="110"/>
            </w:tcMar>
          </w:tcPr>
          <w:p>
            <w:pPr>
              <w:spacing w:after="0"/>
            </w:pPr>
            <w:r>
              <w:rPr>
                <w:rFonts w:ascii="Arial" w:cs="Arial" w:eastAsia="Arial" w:hAnsi="Arial"/>
                <w:sz w:val="19"/>
                <w:szCs w:val="19"/>
              </w:rPr>
              <w:t xml:space="preserve">Delivers patient-level causal risk, intervention recourse, pathway explanations</w:t>
            </w:r>
          </w:p>
        </w:tc>
      </w:tr>
      <w:tr>
        <w:tc>
          <w:tcPr>
            <w:tcW w:type="dxa" w:w="2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Arial" w:cs="Arial" w:eastAsia="Arial" w:hAnsi="Arial"/>
                <w:sz w:val="19"/>
                <w:szCs w:val="19"/>
              </w:rPr>
              <w:t xml:space="preserve">Obj 2 — Multimodal early-warning modeling</w:t>
            </w:r>
          </w:p>
        </w:tc>
        <w:tc>
          <w:tcPr>
            <w:tcW w:type="dxa" w:w="2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Arial" w:cs="Arial" w:eastAsia="Arial" w:hAnsi="Arial"/>
                <w:sz w:val="19"/>
                <w:szCs w:val="19"/>
              </w:rPr>
              <w:t xml:space="preserve">Validates edge-deployable real-time inference</w:t>
            </w:r>
          </w:p>
        </w:tc>
        <w:tc>
          <w:tcPr>
            <w:tcW w:type="dxa" w:w="2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Arial" w:cs="Arial" w:eastAsia="Arial" w:hAnsi="Arial"/>
                <w:sz w:val="19"/>
                <w:szCs w:val="19"/>
              </w:rPr>
              <w:t xml:space="preserve">Confirms lightweight explanation pipeline</w:t>
            </w:r>
          </w:p>
        </w:tc>
        <w:tc>
          <w:tcPr>
            <w:tcW w:type="dxa" w:w="2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Arial" w:cs="Arial" w:eastAsia="Arial" w:hAnsi="Arial"/>
                <w:sz w:val="19"/>
                <w:szCs w:val="19"/>
              </w:rPr>
              <w:t xml:space="preserve">Delivers in-silico longitudinal state trajectories &amp; short-horizon risk</w:t>
            </w:r>
          </w:p>
        </w:tc>
      </w:tr>
    </w:tbl>
    <w:p>
      <w:pPr>
        <w:spacing w:after="140" w:before="100" w:line="288"/>
        <w:jc w:val="left"/>
      </w:pPr>
      <w:r>
        <w:rPr>
          <w:rFonts w:ascii="Arial" w:cs="Arial" w:eastAsia="Arial" w:hAnsi="Arial"/>
          <w:sz w:val="22"/>
          <w:szCs w:val="22"/>
        </w:rPr>
        <w:t xml:space="preserve"/>
      </w:r>
    </w:p>
    <w:p>
      <w:pPr>
        <w:spacing w:after="140" w:before="0" w:line="288"/>
        <w:jc w:val="left"/>
      </w:pPr>
      <w:r>
        <w:rPr>
          <w:rFonts w:ascii="Arial" w:cs="Arial" w:eastAsia="Arial" w:hAnsi="Arial"/>
          <w:i/>
          <w:iCs/>
          <w:sz w:val="22"/>
          <w:szCs w:val="22"/>
        </w:rPr>
        <w:t xml:space="preserve">The three papers map cleanly and cumulatively onto both objectives, with no gaps and no overclaiming.</w:t>
      </w:r>
    </w:p>
    <w:p>
      <w:pPr>
        <w:pStyle w:val="Heading1"/>
        <w:spacing w:after="180" w:before="340"/>
      </w:pPr>
      <w:r>
        <w:rPr>
          <w:rFonts w:ascii="Arial" w:cs="Arial" w:eastAsia="Arial" w:hAnsi="Arial"/>
          <w:b/>
          <w:bCs/>
          <w:color w:val="1B4F72"/>
          <w:sz w:val="28"/>
          <w:szCs w:val="28"/>
        </w:rPr>
        <w:t xml:space="preserve">7. Proposed Plan of Action</w:t>
      </w:r>
    </w:p>
    <w:p>
      <w:pPr>
        <w:spacing w:after="140" w:before="0" w:line="288"/>
      </w:pPr>
      <w:r>
        <w:rPr>
          <w:rFonts w:ascii="Arial" w:cs="Arial" w:eastAsia="Arial" w:hAnsi="Arial"/>
          <w:b/>
          <w:bCs/>
          <w:sz w:val="22"/>
          <w:szCs w:val="22"/>
        </w:rPr>
        <w:t xml:space="preserve">Phase 1 (Weeks 1–8): </w:t>
      </w:r>
      <w:r>
        <w:rPr>
          <w:rFonts w:ascii="Arial" w:cs="Arial" w:eastAsia="Arial" w:hAnsi="Arial"/>
          <w:sz w:val="22"/>
          <w:szCs w:val="22"/>
        </w:rPr>
        <w:t xml:space="preserve">Finalise and submit Paper 1 (EchoFuseNet) to </w:t>
      </w:r>
      <w:r>
        <w:rPr>
          <w:rFonts w:ascii="Arial" w:cs="Arial" w:eastAsia="Arial" w:hAnsi="Arial"/>
          <w:i/>
          <w:iCs/>
          <w:sz w:val="22"/>
          <w:szCs w:val="22"/>
        </w:rPr>
        <w:t xml:space="preserve">Biomedical Signal Processing and Control</w:t>
      </w:r>
      <w:r>
        <w:rPr>
          <w:rFonts w:ascii="Arial" w:cs="Arial" w:eastAsia="Arial" w:hAnsi="Arial"/>
          <w:sz w:val="22"/>
          <w:szCs w:val="22"/>
        </w:rPr>
        <w:t xml:space="preserve">, with all methodological corrections verified.</w:t>
      </w:r>
    </w:p>
    <w:p>
      <w:pPr>
        <w:spacing w:after="140" w:before="0" w:line="288"/>
      </w:pPr>
      <w:r>
        <w:rPr>
          <w:rFonts w:ascii="Arial" w:cs="Arial" w:eastAsia="Arial" w:hAnsi="Arial"/>
          <w:b/>
          <w:bCs/>
          <w:sz w:val="22"/>
          <w:szCs w:val="22"/>
        </w:rPr>
        <w:t xml:space="preserve">Phase 2 (Weeks 9–20): </w:t>
      </w:r>
      <w:r>
        <w:rPr>
          <w:rFonts w:ascii="Arial" w:cs="Arial" w:eastAsia="Arial" w:hAnsi="Arial"/>
          <w:sz w:val="22"/>
          <w:szCs w:val="22"/>
        </w:rPr>
        <w:t xml:space="preserve">Implement and submit Paper 2 (CausalEchoNet) to </w:t>
      </w:r>
      <w:r>
        <w:rPr>
          <w:rFonts w:ascii="Arial" w:cs="Arial" w:eastAsia="Arial" w:hAnsi="Arial"/>
          <w:i/>
          <w:iCs/>
          <w:sz w:val="22"/>
          <w:szCs w:val="22"/>
        </w:rPr>
        <w:t xml:space="preserve">IEEE JBHI</w:t>
      </w:r>
      <w:r>
        <w:rPr>
          <w:rFonts w:ascii="Arial" w:cs="Arial" w:eastAsia="Arial" w:hAnsi="Arial"/>
          <w:sz w:val="22"/>
          <w:szCs w:val="22"/>
        </w:rPr>
        <w:t xml:space="preserve">, reusing the frozen Paper 1 encoder.</w:t>
      </w:r>
    </w:p>
    <w:p>
      <w:pPr>
        <w:spacing w:after="140" w:before="0" w:line="288"/>
      </w:pPr>
      <w:r>
        <w:rPr>
          <w:rFonts w:ascii="Arial" w:cs="Arial" w:eastAsia="Arial" w:hAnsi="Arial"/>
          <w:b/>
          <w:bCs/>
          <w:sz w:val="22"/>
          <w:szCs w:val="22"/>
        </w:rPr>
        <w:t xml:space="preserve">Phase 3 (Weeks 21–40, capstone):</w:t>
      </w:r>
    </w:p>
    <w:p>
      <w:pPr>
        <w:pStyle w:val="ListParagraph"/>
        <w:numPr>
          <w:ilvl w:val="0"/>
          <w:numId w:val="2"/>
        </w:numPr>
        <w:spacing w:after="60" w:before="0" w:line="288"/>
      </w:pPr>
      <w:r>
        <w:rPr>
          <w:rFonts w:ascii="Arial" w:cs="Arial" w:eastAsia="Arial" w:hAnsi="Arial"/>
          <w:b/>
          <w:bCs/>
          <w:sz w:val="22"/>
          <w:szCs w:val="22"/>
        </w:rPr>
        <w:t xml:space="preserve">Weeks 21–24: </w:t>
      </w:r>
      <w:r>
        <w:rPr>
          <w:rFonts w:ascii="Arial" w:cs="Arial" w:eastAsia="Arial" w:hAnsi="Arial"/>
          <w:sz w:val="22"/>
          <w:szCs w:val="22"/>
        </w:rPr>
        <w:t xml:space="preserve">Secure PhysioNet credentialing for MIMIC-IV; construct the ECG↔EHR linked cohort; pre-register the target-trial-emulation protocol (PICOT, DAG, confounder set, time-zero rule).</w:t>
      </w:r>
    </w:p>
    <w:p>
      <w:pPr>
        <w:pStyle w:val="ListParagraph"/>
        <w:numPr>
          <w:ilvl w:val="0"/>
          <w:numId w:val="2"/>
        </w:numPr>
        <w:spacing w:after="60" w:before="0" w:line="288"/>
      </w:pPr>
      <w:r>
        <w:rPr>
          <w:rFonts w:ascii="Arial" w:cs="Arial" w:eastAsia="Arial" w:hAnsi="Arial"/>
          <w:b/>
          <w:bCs/>
          <w:sz w:val="22"/>
          <w:szCs w:val="22"/>
        </w:rPr>
        <w:t xml:space="preserve">Weeks 25–32: </w:t>
      </w:r>
      <w:r>
        <w:rPr>
          <w:rFonts w:ascii="Arial" w:cs="Arial" w:eastAsia="Arial" w:hAnsi="Arial"/>
          <w:sz w:val="22"/>
          <w:szCs w:val="22"/>
        </w:rPr>
        <w:t xml:space="preserve">Build the multimodal fusion + SCM architecture; extend the Paper 2 CVAE for causally-consistent counterfactual recourse; develop the in-silico longitudinal layer.</w:t>
      </w:r>
    </w:p>
    <w:p>
      <w:pPr>
        <w:pStyle w:val="ListParagraph"/>
        <w:numPr>
          <w:ilvl w:val="0"/>
          <w:numId w:val="2"/>
        </w:numPr>
        <w:spacing w:after="60" w:before="0" w:line="288"/>
      </w:pPr>
      <w:r>
        <w:rPr>
          <w:rFonts w:ascii="Arial" w:cs="Arial" w:eastAsia="Arial" w:hAnsi="Arial"/>
          <w:b/>
          <w:bCs/>
          <w:sz w:val="22"/>
          <w:szCs w:val="22"/>
        </w:rPr>
        <w:t xml:space="preserve">Weeks 33–37: </w:t>
      </w:r>
      <w:r>
        <w:rPr>
          <w:rFonts w:ascii="Arial" w:cs="Arial" w:eastAsia="Arial" w:hAnsi="Arial"/>
          <w:sz w:val="22"/>
          <w:szCs w:val="22"/>
        </w:rPr>
        <w:t xml:space="preserve">Run risk, calibration, causal-effect, and counterfactual-quality evaluations; external validation on Chapman-Shaoxing and CODE-15.</w:t>
      </w:r>
    </w:p>
    <w:p>
      <w:pPr>
        <w:pStyle w:val="ListParagraph"/>
        <w:numPr>
          <w:ilvl w:val="0"/>
          <w:numId w:val="2"/>
        </w:numPr>
        <w:spacing w:after="120" w:before="0" w:line="288"/>
      </w:pPr>
      <w:r>
        <w:rPr>
          <w:rFonts w:ascii="Arial" w:cs="Arial" w:eastAsia="Arial" w:hAnsi="Arial"/>
          <w:b/>
          <w:bCs/>
          <w:sz w:val="22"/>
          <w:szCs w:val="22"/>
        </w:rPr>
        <w:t xml:space="preserve">Weeks 38–40: </w:t>
      </w:r>
      <w:r>
        <w:rPr>
          <w:rFonts w:ascii="Arial" w:cs="Arial" w:eastAsia="Arial" w:hAnsi="Arial"/>
          <w:sz w:val="22"/>
          <w:szCs w:val="22"/>
        </w:rPr>
        <w:t xml:space="preserve">Write and submit Paper 3 (CardioCausal) to </w:t>
      </w:r>
      <w:r>
        <w:rPr>
          <w:rFonts w:ascii="Arial" w:cs="Arial" w:eastAsia="Arial" w:hAnsi="Arial"/>
          <w:i/>
          <w:iCs/>
          <w:sz w:val="22"/>
          <w:szCs w:val="22"/>
        </w:rPr>
        <w:t xml:space="preserve">Artificial Intelligence in Medicine</w:t>
      </w:r>
      <w:r>
        <w:rPr>
          <w:rFonts w:ascii="Arial" w:cs="Arial" w:eastAsia="Arial" w:hAnsi="Arial"/>
          <w:sz w:val="22"/>
          <w:szCs w:val="22"/>
        </w:rPr>
        <w:t xml:space="preserve">.</w:t>
      </w:r>
    </w:p>
    <w:p>
      <w:pPr>
        <w:pStyle w:val="Heading1"/>
        <w:spacing w:after="180" w:before="340"/>
      </w:pPr>
      <w:r>
        <w:rPr>
          <w:rFonts w:ascii="Arial" w:cs="Arial" w:eastAsia="Arial" w:hAnsi="Arial"/>
          <w:b/>
          <w:bCs/>
          <w:color w:val="1B4F72"/>
          <w:sz w:val="28"/>
          <w:szCs w:val="28"/>
        </w:rPr>
        <w:t xml:space="preserve">8. Requests to the Supervisor</w:t>
      </w:r>
    </w:p>
    <w:p>
      <w:pPr>
        <w:pStyle w:val="ListParagraph"/>
        <w:numPr>
          <w:ilvl w:val="0"/>
          <w:numId w:val="6"/>
        </w:numPr>
        <w:spacing w:after="60" w:before="0" w:line="288"/>
      </w:pPr>
      <w:r>
        <w:rPr>
          <w:rFonts w:ascii="Arial" w:cs="Arial" w:eastAsia="Arial" w:hAnsi="Arial"/>
          <w:sz w:val="22"/>
          <w:szCs w:val="22"/>
        </w:rPr>
        <w:t xml:space="preserve">Approval of the proposed capstone direction (CardioCausal) as Paper 3.</w:t>
      </w:r>
    </w:p>
    <w:p>
      <w:pPr>
        <w:pStyle w:val="ListParagraph"/>
        <w:numPr>
          <w:ilvl w:val="0"/>
          <w:numId w:val="6"/>
        </w:numPr>
        <w:spacing w:after="60" w:before="0" w:line="288"/>
      </w:pPr>
      <w:r>
        <w:rPr>
          <w:rFonts w:ascii="Arial" w:cs="Arial" w:eastAsia="Arial" w:hAnsi="Arial"/>
          <w:sz w:val="22"/>
          <w:szCs w:val="22"/>
        </w:rPr>
        <w:t xml:space="preserve">Guidance on securing any required clinical or causal-inference input for the target-trial-emulation design.</w:t>
      </w:r>
    </w:p>
    <w:p>
      <w:pPr>
        <w:pStyle w:val="ListParagraph"/>
        <w:numPr>
          <w:ilvl w:val="0"/>
          <w:numId w:val="6"/>
        </w:numPr>
        <w:spacing w:after="60" w:before="0" w:line="288"/>
      </w:pPr>
      <w:r>
        <w:rPr>
          <w:rFonts w:ascii="Arial" w:cs="Arial" w:eastAsia="Arial" w:hAnsi="Arial"/>
          <w:sz w:val="22"/>
          <w:szCs w:val="22"/>
        </w:rPr>
        <w:t xml:space="preserve">Confirmation of the target-journal strategy for all three papers.</w:t>
      </w:r>
    </w:p>
    <w:p>
      <w:pPr>
        <w:pStyle w:val="ListParagraph"/>
        <w:numPr>
          <w:ilvl w:val="0"/>
          <w:numId w:val="6"/>
        </w:numPr>
        <w:spacing w:after="120" w:before="0" w:line="288"/>
      </w:pPr>
      <w:r>
        <w:rPr>
          <w:rFonts w:ascii="Arial" w:cs="Arial" w:eastAsia="Arial" w:hAnsi="Arial"/>
          <w:sz w:val="22"/>
          <w:szCs w:val="22"/>
        </w:rPr>
        <w:t xml:space="preserve">Agreement on a review cadence for monitoring progress through the three phases.</w:t>
      </w:r>
    </w:p>
    <w:p>
      <w:pPr>
        <w:pStyle w:val="Heading1"/>
        <w:spacing w:after="180" w:before="340"/>
      </w:pPr>
      <w:r>
        <w:rPr>
          <w:rFonts w:ascii="Arial" w:cs="Arial" w:eastAsia="Arial" w:hAnsi="Arial"/>
          <w:b/>
          <w:bCs/>
          <w:color w:val="1B4F72"/>
          <w:sz w:val="28"/>
          <w:szCs w:val="28"/>
        </w:rPr>
        <w:t xml:space="preserve">9. Closing Note</w:t>
      </w:r>
    </w:p>
    <w:p>
      <w:pPr>
        <w:spacing w:after="140" w:before="0" w:line="288"/>
        <w:jc w:val="left"/>
      </w:pPr>
      <w:r>
        <w:rPr>
          <w:rFonts w:ascii="Arial" w:cs="Arial" w:eastAsia="Arial" w:hAnsi="Arial"/>
          <w:sz w:val="22"/>
          <w:szCs w:val="22"/>
        </w:rPr>
        <w:t xml:space="preserve">The portfolio is internally coherent and cumulative: each paper reuses validated components from the previous one, and together they deliver both PhD objectives. The capstone has been deliberately scoped to be rigorous and publishable under the secondary-data constraint, prioritising defensible causal validation over an unverifiable digital-twin claim. With supervisory approval, work on the capstone can proceed immediately following the Paper 1 and Paper 2 milestones.</w:t>
      </w:r>
    </w:p>
    <w:p>
      <w:pPr>
        <w:spacing w:after="140" w:before="300" w:line="288"/>
        <w:jc w:val="left"/>
      </w:pPr>
      <w:r>
        <w:rPr>
          <w:rFonts w:ascii="Arial" w:cs="Arial" w:eastAsia="Arial" w:hAnsi="Arial"/>
          <w:sz w:val="22"/>
          <w:szCs w:val="22"/>
        </w:rPr>
        <w:t xml:space="preserve"/>
      </w:r>
    </w:p>
    <w:p>
      <w:pPr>
        <w:spacing w:after="200" w:before="0" w:line="288"/>
      </w:pPr>
      <w:r>
        <w:rPr>
          <w:rFonts w:ascii="Arial" w:cs="Arial" w:eastAsia="Arial" w:hAnsi="Arial"/>
          <w:b/>
          <w:bCs/>
          <w:sz w:val="22"/>
          <w:szCs w:val="22"/>
        </w:rPr>
        <w:t xml:space="preserve">Supervisor approval: </w:t>
      </w:r>
      <w:r>
        <w:rPr>
          <w:rFonts w:ascii="Arial" w:cs="Arial" w:eastAsia="Arial" w:hAnsi="Arial"/>
          <w:sz w:val="22"/>
          <w:szCs w:val="22"/>
        </w:rPr>
        <w:t xml:space="preserve">______________________________     </w:t>
      </w:r>
      <w:r>
        <w:rPr>
          <w:rFonts w:ascii="Arial" w:cs="Arial" w:eastAsia="Arial" w:hAnsi="Arial"/>
          <w:b/>
          <w:bCs/>
          <w:sz w:val="22"/>
          <w:szCs w:val="22"/>
        </w:rPr>
        <w:t xml:space="preserve">Date: </w:t>
      </w:r>
      <w:r>
        <w:rPr>
          <w:rFonts w:ascii="Arial" w:cs="Arial" w:eastAsia="Arial" w:hAnsi="Arial"/>
          <w:sz w:val="22"/>
          <w:szCs w:val="22"/>
        </w:rPr>
        <w:t xml:space="preserve">____________________</w:t>
      </w:r>
    </w:p>
    <w:p>
      <w:pPr>
        <w:spacing w:after="140" w:before="0" w:line="288"/>
      </w:pPr>
      <w:r>
        <w:rPr>
          <w:rFonts w:ascii="Arial" w:cs="Arial" w:eastAsia="Arial" w:hAnsi="Arial"/>
          <w:b/>
          <w:bCs/>
          <w:sz w:val="22"/>
          <w:szCs w:val="22"/>
        </w:rPr>
        <w:t xml:space="preserve">Scholar signature: </w:t>
      </w:r>
      <w:r>
        <w:rPr>
          <w:rFonts w:ascii="Arial" w:cs="Arial" w:eastAsia="Arial" w:hAnsi="Arial"/>
          <w:sz w:val="22"/>
          <w:szCs w:val="22"/>
        </w:rPr>
        <w:t xml:space="preserve">______________________________     </w:t>
      </w:r>
      <w:r>
        <w:rPr>
          <w:rFonts w:ascii="Arial" w:cs="Arial" w:eastAsia="Arial" w:hAnsi="Arial"/>
          <w:b/>
          <w:bCs/>
          <w:sz w:val="22"/>
          <w:szCs w:val="22"/>
        </w:rPr>
        <w:t xml:space="preserve">Date: </w:t>
      </w:r>
      <w:r>
        <w:rPr>
          <w:rFonts w:ascii="Arial" w:cs="Arial" w:eastAsia="Arial" w:hAnsi="Arial"/>
          <w:sz w:val="22"/>
          <w:szCs w:val="22"/>
        </w:rPr>
        <w:t xml:space="preserve">____________________</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888888"/>
        <w:sz w:val="16"/>
        <w:szCs w:val="16"/>
      </w:rPr>
      <w:t xml:space="preserve">R. Bharathi — GITAM University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i/>
        <w:iCs/>
        <w:color w:val="888888"/>
        <w:sz w:val="16"/>
        <w:szCs w:val="16"/>
      </w:rPr>
      <w:t xml:space="preserve">PhD Research Portfolio Review &amp; Proposed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2026-06-15T06:20:37.469Z</dcterms:created>
  <dcterms:modified xsi:type="dcterms:W3CDTF">2026-06-15T06:20:37.482Z</dcterms:modified>
</cp:coreProperties>
</file>

<file path=docProps/custom.xml><?xml version="1.0" encoding="utf-8"?>
<Properties xmlns="http://schemas.openxmlformats.org/officeDocument/2006/custom-properties" xmlns:vt="http://schemas.openxmlformats.org/officeDocument/2006/docPropsVTypes"/>
</file>