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【标题】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XX是开启XX的金钥匙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【开头】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新的时代孕育新的机遇，新的机遇开启新的起点......因而我们要把握XX的脉搏，制定XX的良方，祛除XX的症结，以深入的思考来推进XX工作的有序发展。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【过渡段】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......因此我们要以XXX、XXX和XXX，架构有利于XX工作发展的新航道，铺设有利于XX工作落实的新路子。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【对策段1】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XXX，把握XX的“脉搏”。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【对策段2】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XXX，制定XX的“良方”。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【对策段3】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XXX，祛除XX的“症结”。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【结尾】</w:t>
      </w:r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因势而谋，才能谋定后动；顺势而为，才能有效作为。XX不是一蹴而就的，让我们把好“问题脉”、挂好“专家号”、开好“诊断书”，以脚踏实地的决心推进XX工作的落实。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F0DB5"/>
    <w:rsid w:val="07C72D6F"/>
    <w:rsid w:val="2AEF0DB5"/>
    <w:rsid w:val="7B1A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2021-07-27T01:07:00Z</dcterms:created>
  <dc:creator>ai蜯蜯Θ糖％</dc:creator>
  <cp:lastModifiedBy>ai蜯蜯Θ糖％</cp:lastModifiedBy>
  <dcterms:modified xsi:type="dcterms:W3CDTF">2021-07-27T01:54:34Z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2C16769805CA445EAB963EFE31E04F0F</vt:lpwstr>
  </property>
</Properties>
</file>