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Client Project Statement</w:t>
      </w:r>
    </w:p>
    <w:p>
      <w:pPr>
        <w:pStyle w:val="Heading1"/>
      </w:pPr>
      <w:r>
        <w:t>Executive Summary</w:t>
      </w:r>
    </w:p>
    <w:p>
      <w:r>
        <w:t>This statement of work is prepared for Acme International Studios on October 7, 2026.</w:t>
      </w:r>
    </w:p>
    <w:sectPr w:rsidR="00FC693F" w:rsidRPr="0006063C" w:rsidSect="00034616">
      <w:headerReference w:type="default" r:id="rId9"/>
      <w:headerReference w:type="first" r:id="rId10"/>
      <w:headerReference w:type="even" r:id="rId11"/>
      <w:footerReference w:type="default" r:id="rId12"/>
      <w:footerReference w:type="first" r:id="rId13"/>
      <w:footerReference w:type="even" r:id="rId14"/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header" Target="header3.xml"/><Relationship Id="rId12" Type="http://schemas.openxmlformats.org/officeDocument/2006/relationships/footer" Target="footer1.xml"/><Relationship Id="rId13" Type="http://schemas.openxmlformats.org/officeDocument/2006/relationships/footer" Target="footer2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Client Project Statement</dc:title>
  <dc:subject/>
  <dc:creator>Antigravity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