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44E7" w:rsidRDefault="00424483">
      <w:pPr>
        <w:spacing w:after="120"/>
        <w:jc w:val="center"/>
      </w:pPr>
      <w:r>
        <w:rPr>
          <w:rFonts w:ascii="Times New Roman" w:eastAsia="Times New Roman" w:hAnsi="Times New Roman" w:cs="Times New Roman"/>
          <w:b/>
          <w:bCs/>
          <w:sz w:val="32"/>
          <w:szCs w:val="32"/>
        </w:rPr>
        <w:t>Design and Implementation of an Adaptive Execution Unit (AEU): A Low-Power Modular Architecture with Complete RTL-to-GDSII Implementation</w:t>
      </w:r>
    </w:p>
    <w:p w:rsidR="003B5229" w:rsidRDefault="00424483" w:rsidP="003B5229">
      <w:pPr>
        <w:jc w:val="center"/>
        <w:rPr>
          <w:rFonts w:ascii="Times New Roman" w:eastAsia="Times New Roman" w:hAnsi="Times New Roman" w:cs="Times New Roman"/>
          <w:sz w:val="20"/>
          <w:szCs w:val="20"/>
        </w:rPr>
      </w:pPr>
      <w:r>
        <w:rPr>
          <w:rFonts w:ascii="Times New Roman" w:eastAsia="Times New Roman" w:hAnsi="Times New Roman" w:cs="Times New Roman"/>
          <w:sz w:val="18"/>
          <w:szCs w:val="18"/>
          <w:vertAlign w:val="superscript"/>
        </w:rPr>
        <w:t>1</w:t>
      </w:r>
      <w:r w:rsidR="000A5693">
        <w:rPr>
          <w:rFonts w:ascii="Times New Roman" w:eastAsia="Times New Roman" w:hAnsi="Times New Roman" w:cs="Times New Roman"/>
          <w:sz w:val="20"/>
          <w:szCs w:val="20"/>
        </w:rPr>
        <w:t xml:space="preserve">Mr. </w:t>
      </w:r>
      <w:r w:rsidR="003B5229">
        <w:rPr>
          <w:rFonts w:ascii="Times New Roman" w:eastAsia="Times New Roman" w:hAnsi="Times New Roman" w:cs="Times New Roman"/>
          <w:sz w:val="20"/>
          <w:szCs w:val="20"/>
        </w:rPr>
        <w:t>UTIKUPPALA RAJASEKHAR</w:t>
      </w:r>
      <w:r>
        <w:rPr>
          <w:rFonts w:ascii="Times New Roman" w:eastAsia="Times New Roman" w:hAnsi="Times New Roman" w:cs="Times New Roman"/>
          <w:sz w:val="20"/>
          <w:szCs w:val="20"/>
        </w:rPr>
        <w:t xml:space="preserve">, </w:t>
      </w:r>
      <w:r>
        <w:rPr>
          <w:rFonts w:ascii="Times New Roman" w:eastAsia="Times New Roman" w:hAnsi="Times New Roman" w:cs="Times New Roman"/>
          <w:sz w:val="18"/>
          <w:szCs w:val="18"/>
          <w:vertAlign w:val="superscript"/>
        </w:rPr>
        <w:t>2</w:t>
      </w:r>
      <w:r w:rsidR="003B5229">
        <w:rPr>
          <w:rFonts w:ascii="Times New Roman" w:eastAsia="Times New Roman" w:hAnsi="Times New Roman" w:cs="Times New Roman"/>
          <w:sz w:val="20"/>
          <w:szCs w:val="20"/>
        </w:rPr>
        <w:t>Dr. T RAVI BABU</w:t>
      </w:r>
      <w:r>
        <w:rPr>
          <w:rFonts w:ascii="Times New Roman" w:eastAsia="Times New Roman" w:hAnsi="Times New Roman" w:cs="Times New Roman"/>
          <w:sz w:val="20"/>
          <w:szCs w:val="20"/>
        </w:rPr>
        <w:t xml:space="preserve">, </w:t>
      </w:r>
      <w:r>
        <w:rPr>
          <w:rFonts w:ascii="Times New Roman" w:eastAsia="Times New Roman" w:hAnsi="Times New Roman" w:cs="Times New Roman"/>
          <w:sz w:val="18"/>
          <w:szCs w:val="18"/>
          <w:vertAlign w:val="superscript"/>
        </w:rPr>
        <w:t>3</w:t>
      </w:r>
      <w:r w:rsidR="003B5229">
        <w:rPr>
          <w:rFonts w:ascii="Times New Roman" w:eastAsia="Times New Roman" w:hAnsi="Times New Roman" w:cs="Times New Roman"/>
          <w:sz w:val="20"/>
          <w:szCs w:val="20"/>
        </w:rPr>
        <w:t>Mr. T CHANDRA GUPTHA</w:t>
      </w:r>
    </w:p>
    <w:p w:rsidR="00F10496" w:rsidRPr="008A546B" w:rsidRDefault="00F10496" w:rsidP="003B5229">
      <w:pPr>
        <w:jc w:val="center"/>
        <w:rPr>
          <w:rFonts w:eastAsia="Times New Roman"/>
        </w:rPr>
      </w:pPr>
      <w:r w:rsidRPr="008A546B">
        <w:rPr>
          <w:rFonts w:eastAsia="Times New Roman"/>
          <w:vertAlign w:val="superscript"/>
        </w:rPr>
        <w:t>1</w:t>
      </w:r>
      <w:r w:rsidR="003B5229">
        <w:rPr>
          <w:rFonts w:eastAsia="Times New Roman"/>
          <w:i/>
          <w:iCs/>
        </w:rPr>
        <w:t>PG</w:t>
      </w:r>
      <w:r w:rsidRPr="004F6A09">
        <w:rPr>
          <w:rFonts w:eastAsia="Times New Roman"/>
          <w:i/>
          <w:iCs/>
        </w:rPr>
        <w:t xml:space="preserve"> Scholar</w:t>
      </w:r>
      <w:r w:rsidRPr="008A546B">
        <w:rPr>
          <w:rFonts w:eastAsia="Times New Roman"/>
        </w:rPr>
        <w:t xml:space="preserve">, </w:t>
      </w:r>
      <w:r w:rsidRPr="008A546B">
        <w:rPr>
          <w:rFonts w:eastAsia="Times New Roman"/>
          <w:vertAlign w:val="superscript"/>
        </w:rPr>
        <w:t>2</w:t>
      </w:r>
      <w:r>
        <w:rPr>
          <w:rFonts w:eastAsia="Times New Roman"/>
        </w:rPr>
        <w:t>ASSOCIATE PROFESSOR</w:t>
      </w:r>
      <w:r w:rsidRPr="008A546B">
        <w:rPr>
          <w:rFonts w:eastAsia="Times New Roman"/>
        </w:rPr>
        <w:t xml:space="preserve">, </w:t>
      </w:r>
      <w:r w:rsidRPr="008A546B">
        <w:rPr>
          <w:vertAlign w:val="superscript"/>
        </w:rPr>
        <w:t>3</w:t>
      </w:r>
      <w:r>
        <w:rPr>
          <w:rFonts w:eastAsia="Times New Roman"/>
        </w:rPr>
        <w:t>ASS</w:t>
      </w:r>
      <w:r w:rsidR="003B5229">
        <w:rPr>
          <w:rFonts w:eastAsia="Times New Roman"/>
        </w:rPr>
        <w:t>ISTANT</w:t>
      </w:r>
      <w:r>
        <w:rPr>
          <w:rFonts w:eastAsia="Times New Roman"/>
        </w:rPr>
        <w:t xml:space="preserve"> PROFESSOR</w:t>
      </w:r>
    </w:p>
    <w:p w:rsidR="00F10496" w:rsidRPr="00F10496" w:rsidRDefault="00F10496" w:rsidP="00F10496">
      <w:pPr>
        <w:pStyle w:val="Affiliation"/>
        <w:rPr>
          <w:rFonts w:eastAsia="Times New Roman"/>
          <w:vertAlign w:val="superscript"/>
        </w:rPr>
      </w:pPr>
      <w:r w:rsidRPr="00F10496">
        <w:rPr>
          <w:rFonts w:eastAsia="Times New Roman"/>
          <w:vertAlign w:val="superscript"/>
        </w:rPr>
        <w:t>Department of Electronics and Communication Engineering</w:t>
      </w:r>
    </w:p>
    <w:p w:rsidR="00F10496" w:rsidRPr="00F10496" w:rsidRDefault="00F10496" w:rsidP="00F10496">
      <w:pPr>
        <w:pStyle w:val="Affiliation"/>
        <w:rPr>
          <w:rFonts w:eastAsia="Times New Roman"/>
          <w:vertAlign w:val="superscript"/>
        </w:rPr>
      </w:pPr>
      <w:r w:rsidRPr="00F10496">
        <w:rPr>
          <w:rFonts w:eastAsia="Times New Roman"/>
          <w:vertAlign w:val="superscript"/>
        </w:rPr>
        <w:t>Miracle Educational Society Group of Institutions, Bhogapuram-535216, AP, India</w:t>
      </w:r>
    </w:p>
    <w:p w:rsidR="00A244E7" w:rsidRDefault="00424483">
      <w:pPr>
        <w:jc w:val="center"/>
      </w:pPr>
      <w:r>
        <w:rPr>
          <w:rFonts w:ascii="Times New Roman" w:eastAsia="Times New Roman" w:hAnsi="Times New Roman" w:cs="Times New Roman"/>
          <w:i/>
          <w:iCs/>
          <w:sz w:val="20"/>
          <w:szCs w:val="20"/>
        </w:rPr>
        <w:t>Published online: XX Month XXXX</w:t>
      </w:r>
    </w:p>
    <w:p w:rsidR="00A244E7" w:rsidRDefault="00A244E7">
      <w:pPr>
        <w:spacing w:after="120"/>
      </w:pPr>
    </w:p>
    <w:p w:rsidR="00A244E7" w:rsidRDefault="00424483">
      <w:pPr>
        <w:spacing w:after="160" w:line="252" w:lineRule="auto"/>
        <w:jc w:val="both"/>
      </w:pPr>
      <w:r>
        <w:rPr>
          <w:rFonts w:ascii="Times New Roman" w:eastAsia="Times New Roman" w:hAnsi="Times New Roman" w:cs="Times New Roman"/>
          <w:b/>
          <w:bCs/>
          <w:i/>
          <w:iCs/>
          <w:sz w:val="20"/>
          <w:szCs w:val="20"/>
        </w:rPr>
        <w:t xml:space="preserve">Abstract — </w:t>
      </w:r>
      <w:r>
        <w:rPr>
          <w:rFonts w:ascii="Times New Roman" w:eastAsia="Times New Roman" w:hAnsi="Times New Roman" w:cs="Times New Roman"/>
          <w:sz w:val="20"/>
          <w:szCs w:val="20"/>
        </w:rPr>
        <w:t>The Arithmetic Logic Unit (ALU) is a fundamental component of modern processors, responsible for arithmetic, logical, comparison, and shift operations. Conventional ALU architectures face rising power consumption, limited scalability, and inefficient hardware utilization, and most existing designs stop at RTL functionality without addressing complete ASIC implementation. This work presents the design and implementation of an Adaptive Execution Unit (AEU), a modular execution architecture that integrates dedicated arithmetic, logical, multiplier, divider, comparator, and barrel-shifter modules under a centralized control unit. A dynamic precision controller activates only the datapath slices required by an operation, while integrated clock gating and operand isolation reduce unnecessary switching activity. The design is described in synthesizable Verilog HDL and implemented through an industrial RTL-to-GDSII flow using Cadence Genus for synthesis and Cadence Innovus for physical design, covering floorplanning, placement, clock-tree synthesis, routing, timing analysis, and physical verification. Results confirm positive timing slack, 97.5% clock-gated flip-flops, 0% routing congestion, and full antenna and DRC/LVS compliance, demonstrating an efficient, scalable, and implementation-aware execution architecture suitable for modern VLSI processors.</w:t>
      </w:r>
    </w:p>
    <w:p w:rsidR="00A244E7" w:rsidRDefault="00424483">
      <w:pPr>
        <w:spacing w:after="160" w:line="252" w:lineRule="auto"/>
        <w:jc w:val="both"/>
      </w:pPr>
      <w:r>
        <w:rPr>
          <w:rFonts w:ascii="Times New Roman" w:eastAsia="Times New Roman" w:hAnsi="Times New Roman" w:cs="Times New Roman"/>
          <w:b/>
          <w:bCs/>
          <w:i/>
          <w:iCs/>
          <w:sz w:val="20"/>
          <w:szCs w:val="20"/>
        </w:rPr>
        <w:t xml:space="preserve">Index Terms — </w:t>
      </w:r>
      <w:r>
        <w:rPr>
          <w:rFonts w:ascii="Times New Roman" w:eastAsia="Times New Roman" w:hAnsi="Times New Roman" w:cs="Times New Roman"/>
          <w:sz w:val="20"/>
          <w:szCs w:val="20"/>
        </w:rPr>
        <w:t>Adaptive Execution Unit, ALU, Clock Gating, Pipelining, RTL-to-GDSII, Cadence Genus, Cadence Innovus, Low-Power VLSI.</w:t>
      </w:r>
    </w:p>
    <w:p w:rsidR="00A244E7" w:rsidRDefault="00A244E7">
      <w:pPr>
        <w:sectPr w:rsidR="00A244E7">
          <w:headerReference w:type="default" r:id="rId7"/>
          <w:footerReference w:type="default" r:id="rId8"/>
          <w:pgSz w:w="12240" w:h="15840"/>
          <w:pgMar w:top="1008" w:right="936" w:bottom="1008" w:left="936" w:header="708" w:footer="708" w:gutter="0"/>
          <w:cols w:space="720"/>
          <w:docGrid w:linePitch="360"/>
        </w:sectPr>
      </w:pPr>
    </w:p>
    <w:p w:rsidR="00A244E7" w:rsidRDefault="00424483">
      <w:pPr>
        <w:spacing w:before="200" w:after="120"/>
      </w:pPr>
      <w:r>
        <w:rPr>
          <w:rFonts w:ascii="Times New Roman" w:eastAsia="Times New Roman" w:hAnsi="Times New Roman" w:cs="Times New Roman"/>
          <w:b/>
          <w:bCs/>
          <w:sz w:val="20"/>
          <w:szCs w:val="20"/>
        </w:rPr>
        <w:lastRenderedPageBreak/>
        <w:t>I. Introduction</w:t>
      </w:r>
    </w:p>
    <w:p w:rsidR="00A244E7" w:rsidRDefault="00424483">
      <w:pPr>
        <w:spacing w:after="160" w:line="252" w:lineRule="auto"/>
        <w:jc w:val="both"/>
      </w:pPr>
      <w:r>
        <w:rPr>
          <w:rFonts w:ascii="Times New Roman" w:eastAsia="Times New Roman" w:hAnsi="Times New Roman" w:cs="Times New Roman"/>
          <w:sz w:val="20"/>
          <w:szCs w:val="20"/>
        </w:rPr>
        <w:t>Modern digital systems require execution units that simultaneously deliver high computational performance, low power consumption, and efficient hardware utilization. The ALU is one of the most critical components of any processor, and as technology has scaled into deep-submicron nodes, power dissipation, timing closure, routing congestion, and clock distribution have become increasingly significant design concerns.</w:t>
      </w:r>
    </w:p>
    <w:p w:rsidR="00A244E7" w:rsidRDefault="00424483">
      <w:pPr>
        <w:spacing w:after="160" w:line="252" w:lineRule="auto"/>
        <w:jc w:val="both"/>
      </w:pPr>
      <w:r>
        <w:rPr>
          <w:rFonts w:ascii="Times New Roman" w:eastAsia="Times New Roman" w:hAnsi="Times New Roman" w:cs="Times New Roman"/>
          <w:sz w:val="20"/>
          <w:szCs w:val="20"/>
        </w:rPr>
        <w:t>Conventional ALUs execute all supported operations using fixed hardware resources regardless of workload, resulting in unnecessary switching activity and inefficient resource use. In addition, most academic ALU designs conclude at RTL simulation or logic synthesis without investigating floorplanning, placement, clock-tree synthesis, routing, congestion, antenna verification, or timing closure — the stages that determine real industrial feasibility.</w:t>
      </w:r>
    </w:p>
    <w:p w:rsidR="00A244E7" w:rsidRDefault="00424483">
      <w:pPr>
        <w:spacing w:after="160" w:line="252" w:lineRule="auto"/>
        <w:jc w:val="both"/>
      </w:pPr>
      <w:r>
        <w:rPr>
          <w:rFonts w:ascii="Times New Roman" w:eastAsia="Times New Roman" w:hAnsi="Times New Roman" w:cs="Times New Roman"/>
          <w:sz w:val="20"/>
          <w:szCs w:val="20"/>
        </w:rPr>
        <w:t xml:space="preserve">This work proposes an Adaptive Execution Unit (AEU) that combines architectural innovation — modular execution units, pipelined datapaths, and a dynamic precision controller — with integrated clock gating for dynamic power reduction. Unlike prior work, the proposed architecture is validated through a complete industrial RTL-to-GDSII flow using </w:t>
      </w:r>
      <w:r>
        <w:rPr>
          <w:rFonts w:ascii="Times New Roman" w:eastAsia="Times New Roman" w:hAnsi="Times New Roman" w:cs="Times New Roman"/>
          <w:sz w:val="20"/>
          <w:szCs w:val="20"/>
        </w:rPr>
        <w:lastRenderedPageBreak/>
        <w:t>Cadence Genus and Cadence Innovus, bridging the gap between academic RTL design and industrial ASIC implementation.</w:t>
      </w:r>
    </w:p>
    <w:p w:rsidR="00A244E7" w:rsidRDefault="00424483">
      <w:pPr>
        <w:spacing w:before="200" w:after="120"/>
      </w:pPr>
      <w:r>
        <w:rPr>
          <w:rFonts w:ascii="Times New Roman" w:eastAsia="Times New Roman" w:hAnsi="Times New Roman" w:cs="Times New Roman"/>
          <w:b/>
          <w:bCs/>
          <w:sz w:val="20"/>
          <w:szCs w:val="20"/>
        </w:rPr>
        <w:t>II. Related Work</w:t>
      </w:r>
    </w:p>
    <w:p w:rsidR="00A244E7" w:rsidRDefault="00424483">
      <w:pPr>
        <w:spacing w:after="160" w:line="252" w:lineRule="auto"/>
        <w:jc w:val="both"/>
      </w:pPr>
      <w:r>
        <w:rPr>
          <w:rFonts w:ascii="Times New Roman" w:eastAsia="Times New Roman" w:hAnsi="Times New Roman" w:cs="Times New Roman"/>
          <w:sz w:val="20"/>
          <w:szCs w:val="20"/>
        </w:rPr>
        <w:t>Numerous ALU architectures have been reported in the literature, targeting either transistor-level efficiency or architectural optimization. Representative approaches include:</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t>A 16-bit RISC-V ALU implemented on Cadence tools with a conventional single-stage datapath and no pipelining, clock gating, or physical-design analysis [1].</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t>A 32-bit reconfigurable ALU using a chain structure for hardware reuse, limited to RTL-level power/area analysis [2].</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t>An 8-bit ALU built with the m-GDI technique for transistor-count and delay reduction, without architectural-level optimization [3].</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t>An application-specific low-power ALU that trims redundant functional units but lacks adaptive execution or pipelining [4].</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lastRenderedPageBreak/>
        <w:t>A CPL-based dual-supply 32-bit ALU targeting sub-180 nm CMOS through transistor-level voltage scaling [5].</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t>A 4-bit ALU using Dual Mode Pass Transistor Logic for high-speed, low-power gate-level design [6].</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t>An IoT-centric low-power ALU emphasizing power-aware RTL methodology without multiplier/divider units [7].</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t>An ALU implemented through a full RTL-to-GDSII flow with FPGA validation, but without adaptive execution or clock gating [8].</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t>An area/power-optimized ALU using an optimized signed multiplier, with conventional (non-pipelined) remaining units [9].</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t>A ring-counter-controlled ALU that simplifies control logic but not physical implementation [10].</w:t>
      </w:r>
    </w:p>
    <w:p w:rsidR="00A244E7" w:rsidRDefault="00424483">
      <w:pPr>
        <w:pStyle w:val="ListParagraph"/>
        <w:numPr>
          <w:ilvl w:val="0"/>
          <w:numId w:val="1"/>
        </w:numPr>
        <w:spacing w:after="100" w:line="252" w:lineRule="auto"/>
        <w:jc w:val="both"/>
      </w:pPr>
      <w:r>
        <w:rPr>
          <w:rFonts w:ascii="Times New Roman" w:eastAsia="Times New Roman" w:hAnsi="Times New Roman" w:cs="Times New Roman"/>
          <w:sz w:val="20"/>
          <w:szCs w:val="20"/>
        </w:rPr>
        <w:t>A low-power RISC-V-compatible ALU limited to the base integer instruction set without pipelining or clock gating [11].</w:t>
      </w:r>
    </w:p>
    <w:p w:rsidR="00A244E7" w:rsidRDefault="00424483">
      <w:pPr>
        <w:spacing w:after="160" w:line="252" w:lineRule="auto"/>
        <w:jc w:val="both"/>
      </w:pPr>
      <w:r>
        <w:rPr>
          <w:rFonts w:ascii="Times New Roman" w:eastAsia="Times New Roman" w:hAnsi="Times New Roman" w:cs="Times New Roman"/>
          <w:sz w:val="20"/>
          <w:szCs w:val="20"/>
        </w:rPr>
        <w:t>Across these works, common limitations recur: fixed (non-adaptive) execution hardware, absence of integrated clock gating and multi-stage pipelining, and evaluation restricted to RTL or logic synthesis without floorplanning, placement, CTS, routing, congestion analysis, antenna verification, or signoff. The proposed AEU addresses these gaps by combining a dynamic precision controller, integrated clock gating, and multi-stage pipelining with a complete RTL-to-GDSII implementation using Cadence Genus and Innovus.</w:t>
      </w:r>
    </w:p>
    <w:p w:rsidR="00A244E7" w:rsidRDefault="00424483">
      <w:pPr>
        <w:spacing w:before="200" w:after="120"/>
      </w:pPr>
      <w:r>
        <w:rPr>
          <w:rFonts w:ascii="Times New Roman" w:eastAsia="Times New Roman" w:hAnsi="Times New Roman" w:cs="Times New Roman"/>
          <w:b/>
          <w:bCs/>
          <w:sz w:val="20"/>
          <w:szCs w:val="20"/>
        </w:rPr>
        <w:t>III. Proposed Method</w:t>
      </w:r>
    </w:p>
    <w:p w:rsidR="00A244E7" w:rsidRDefault="00424483">
      <w:pPr>
        <w:spacing w:before="100" w:after="80"/>
      </w:pPr>
      <w:r>
        <w:rPr>
          <w:rFonts w:ascii="Times New Roman" w:eastAsia="Times New Roman" w:hAnsi="Times New Roman" w:cs="Times New Roman"/>
          <w:b/>
          <w:bCs/>
          <w:i/>
          <w:iCs/>
          <w:sz w:val="20"/>
          <w:szCs w:val="20"/>
        </w:rPr>
        <w:t>A. Design Philosophy</w:t>
      </w:r>
    </w:p>
    <w:p w:rsidR="00A244E7" w:rsidRDefault="00424483">
      <w:pPr>
        <w:spacing w:after="160" w:line="252" w:lineRule="auto"/>
        <w:jc w:val="both"/>
      </w:pPr>
      <w:r>
        <w:rPr>
          <w:rFonts w:ascii="Times New Roman" w:eastAsia="Times New Roman" w:hAnsi="Times New Roman" w:cs="Times New Roman"/>
          <w:sz w:val="20"/>
          <w:szCs w:val="20"/>
        </w:rPr>
        <w:t>The AEU targets high performance, reduced dynamic power, and ASIC implementation feasibility together. Rather than treating every instruction identically, the architecture analyzes operand-width requirements before execution and activates only the functional resources needed for a given instruction, using configurable execution slices — an 8-bit operation activates the lowest slice, 16-bit activates two slices, and 32-bit enables the full datapath, with unused slices isolated through operand masking and clock gating.</w:t>
      </w:r>
    </w:p>
    <w:p w:rsidR="00A244E7" w:rsidRDefault="00424483">
      <w:pPr>
        <w:spacing w:before="100" w:after="80"/>
      </w:pPr>
      <w:r>
        <w:rPr>
          <w:rFonts w:ascii="Times New Roman" w:eastAsia="Times New Roman" w:hAnsi="Times New Roman" w:cs="Times New Roman"/>
          <w:b/>
          <w:bCs/>
          <w:i/>
          <w:iCs/>
          <w:sz w:val="20"/>
          <w:szCs w:val="20"/>
        </w:rPr>
        <w:t>B. Architectural Organization</w:t>
      </w:r>
    </w:p>
    <w:p w:rsidR="00A244E7" w:rsidRDefault="00424483">
      <w:pPr>
        <w:spacing w:after="160" w:line="252" w:lineRule="auto"/>
        <w:jc w:val="both"/>
      </w:pPr>
      <w:r>
        <w:rPr>
          <w:rFonts w:ascii="Times New Roman" w:eastAsia="Times New Roman" w:hAnsi="Times New Roman" w:cs="Times New Roman"/>
          <w:sz w:val="20"/>
          <w:szCs w:val="20"/>
        </w:rPr>
        <w:t xml:space="preserve">The AEU consists of an instruction decoder, control finite-state machine, dynamic precision controller, operand pre-processing block, arithmetic execution core, multiplier, divider, logic unit, barrel shifter, status register, pipeline registers, forwarding network, and write-back interface, as shown in Fig. 1. The modular hierarchy enables independent </w:t>
      </w:r>
      <w:r>
        <w:rPr>
          <w:rFonts w:ascii="Times New Roman" w:eastAsia="Times New Roman" w:hAnsi="Times New Roman" w:cs="Times New Roman"/>
          <w:sz w:val="20"/>
          <w:szCs w:val="20"/>
        </w:rPr>
        <w:lastRenderedPageBreak/>
        <w:t>verification of each subsystem and allows synthesis tools to optimize hierarchy boundaries.</w:t>
      </w:r>
    </w:p>
    <w:p w:rsidR="00A244E7" w:rsidRDefault="00424483">
      <w:pPr>
        <w:spacing w:before="100" w:after="40"/>
        <w:jc w:val="center"/>
      </w:pPr>
      <w:r>
        <w:rPr>
          <w:noProof/>
          <w:lang w:val="en-US" w:eastAsia="en-US" w:bidi="ar-SA"/>
        </w:rPr>
        <w:drawing>
          <wp:inline distT="0" distB="0" distL="0" distR="0">
            <wp:extent cx="2857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2857500" cy="2286000"/>
                    </a:xfrm>
                    <a:prstGeom prst="rect">
                      <a:avLst/>
                    </a:prstGeom>
                  </pic:spPr>
                </pic:pic>
              </a:graphicData>
            </a:graphic>
          </wp:inline>
        </w:drawing>
      </w:r>
    </w:p>
    <w:p w:rsidR="00A244E7" w:rsidRDefault="00424483">
      <w:pPr>
        <w:spacing w:after="160"/>
        <w:jc w:val="center"/>
      </w:pPr>
      <w:r>
        <w:rPr>
          <w:rFonts w:ascii="Times New Roman" w:eastAsia="Times New Roman" w:hAnsi="Times New Roman" w:cs="Times New Roman"/>
          <w:b/>
          <w:bCs/>
          <w:sz w:val="18"/>
          <w:szCs w:val="18"/>
        </w:rPr>
        <w:t>Fig. 1. AEU architecture block diagram.</w:t>
      </w:r>
    </w:p>
    <w:p w:rsidR="00A244E7" w:rsidRDefault="00424483">
      <w:pPr>
        <w:spacing w:before="100" w:after="80"/>
      </w:pPr>
      <w:r>
        <w:rPr>
          <w:rFonts w:ascii="Times New Roman" w:eastAsia="Times New Roman" w:hAnsi="Times New Roman" w:cs="Times New Roman"/>
          <w:b/>
          <w:bCs/>
          <w:i/>
          <w:iCs/>
          <w:sz w:val="20"/>
          <w:szCs w:val="20"/>
        </w:rPr>
        <w:t>C. Dynamic Precision Control and Low-Power Techniques</w:t>
      </w:r>
    </w:p>
    <w:p w:rsidR="00A244E7" w:rsidRDefault="00424483">
      <w:pPr>
        <w:spacing w:after="160" w:line="252" w:lineRule="auto"/>
        <w:jc w:val="both"/>
      </w:pPr>
      <w:r>
        <w:rPr>
          <w:rFonts w:ascii="Times New Roman" w:eastAsia="Times New Roman" w:hAnsi="Times New Roman" w:cs="Times New Roman"/>
          <w:sz w:val="20"/>
          <w:szCs w:val="20"/>
        </w:rPr>
        <w:t>The precision controller monitors the instruction format and generates mutually exclusive 8-/16-/32-bit enable signals as combinational logic, avoiding added pipeline latency. These enables drive integrated clock-gating cells around inactive pipeline stages and operand-isolation multiplexers that hold inactive functional-unit inputs constant, which is particularly effective for the multiplier and divider given their large combinational depth.</w:t>
      </w:r>
    </w:p>
    <w:p w:rsidR="00A244E7" w:rsidRDefault="00424483">
      <w:pPr>
        <w:spacing w:before="100" w:after="80"/>
      </w:pPr>
      <w:r>
        <w:rPr>
          <w:rFonts w:ascii="Times New Roman" w:eastAsia="Times New Roman" w:hAnsi="Times New Roman" w:cs="Times New Roman"/>
          <w:b/>
          <w:bCs/>
          <w:i/>
          <w:iCs/>
          <w:sz w:val="20"/>
          <w:szCs w:val="20"/>
        </w:rPr>
        <w:t>D. Pipeline Architecture</w:t>
      </w:r>
    </w:p>
    <w:p w:rsidR="00A244E7" w:rsidRDefault="00424483">
      <w:pPr>
        <w:spacing w:after="160" w:line="252" w:lineRule="auto"/>
        <w:jc w:val="both"/>
      </w:pPr>
      <w:r>
        <w:rPr>
          <w:rFonts w:ascii="Times New Roman" w:eastAsia="Times New Roman" w:hAnsi="Times New Roman" w:cs="Times New Roman"/>
          <w:sz w:val="20"/>
          <w:szCs w:val="20"/>
        </w:rPr>
        <w:t>The datapath is partitioned into fetch, decode, operand-preparation, execute, and write-back stages. Pipeline registers isolate critical combinational paths to improve maximum operating frequency, while forwarding logic minimizes stalls for dependent instructions and synchronized status flags preserve correctness.</w:t>
      </w:r>
    </w:p>
    <w:p w:rsidR="00A244E7" w:rsidRDefault="00424483">
      <w:pPr>
        <w:spacing w:before="100" w:after="80"/>
      </w:pPr>
      <w:r>
        <w:rPr>
          <w:rFonts w:ascii="Times New Roman" w:eastAsia="Times New Roman" w:hAnsi="Times New Roman" w:cs="Times New Roman"/>
          <w:b/>
          <w:bCs/>
          <w:i/>
          <w:iCs/>
          <w:sz w:val="20"/>
          <w:szCs w:val="20"/>
        </w:rPr>
        <w:t>E. RTL Implementation</w:t>
      </w:r>
    </w:p>
    <w:p w:rsidR="00A244E7" w:rsidRDefault="00424483">
      <w:pPr>
        <w:spacing w:after="160" w:line="252" w:lineRule="auto"/>
        <w:jc w:val="both"/>
      </w:pPr>
      <w:r>
        <w:rPr>
          <w:rFonts w:ascii="Times New Roman" w:eastAsia="Times New Roman" w:hAnsi="Times New Roman" w:cs="Times New Roman"/>
          <w:sz w:val="20"/>
          <w:szCs w:val="20"/>
        </w:rPr>
        <w:t>The RTL is written in synthesizable Verilog with parameterized datapath width, opcode size, and pipeline depth. Sequential logic uses non-blocking assignments, combinational logic uses complete sensitivity constructs, and reset behavior is explicit to avoid latch inference. The top-level module aeu_top instantiates a hybrid adder, a Wallace-tree multiplier, an iterative FSM-controlled divider, a logic unit, a barrel shifter, a comparator, and auxiliary units (population count, leading-zero counter, priority encoder, CRC), coordinated by a pipeline controller and a performance counter.</w:t>
      </w:r>
    </w:p>
    <w:p w:rsidR="00A244E7" w:rsidRDefault="00424483">
      <w:pPr>
        <w:spacing w:after="160" w:line="252" w:lineRule="auto"/>
        <w:jc w:val="both"/>
      </w:pPr>
      <w:r>
        <w:rPr>
          <w:rFonts w:ascii="Times New Roman" w:eastAsia="Times New Roman" w:hAnsi="Times New Roman" w:cs="Times New Roman"/>
          <w:sz w:val="20"/>
          <w:szCs w:val="20"/>
        </w:rPr>
        <w:t>Key design relations used to evaluate the architecture are:</w:t>
      </w:r>
    </w:p>
    <w:p w:rsidR="00A244E7" w:rsidRDefault="00424483">
      <w:pPr>
        <w:spacing w:after="160" w:line="252" w:lineRule="auto"/>
        <w:jc w:val="both"/>
      </w:pPr>
      <w:r>
        <w:rPr>
          <w:rFonts w:ascii="Times New Roman" w:eastAsia="Times New Roman" w:hAnsi="Times New Roman" w:cs="Times New Roman"/>
          <w:sz w:val="20"/>
          <w:szCs w:val="20"/>
        </w:rPr>
        <w:t>P_dynamic = α × C × V² × f       P_leakage = I_leak × V</w:t>
      </w:r>
    </w:p>
    <w:p w:rsidR="00A244E7" w:rsidRDefault="00424483">
      <w:pPr>
        <w:spacing w:after="160" w:line="252" w:lineRule="auto"/>
        <w:jc w:val="both"/>
      </w:pPr>
      <w:r>
        <w:rPr>
          <w:rFonts w:ascii="Times New Roman" w:eastAsia="Times New Roman" w:hAnsi="Times New Roman" w:cs="Times New Roman"/>
          <w:sz w:val="20"/>
          <w:szCs w:val="20"/>
        </w:rPr>
        <w:lastRenderedPageBreak/>
        <w:t>Clock-gating efficiency = (P_without_gating − P_with_gating) / P_without_gating × 100%.</w:t>
      </w:r>
    </w:p>
    <w:p w:rsidR="00A244E7" w:rsidRDefault="00424483">
      <w:pPr>
        <w:spacing w:before="100" w:after="80"/>
      </w:pPr>
      <w:r>
        <w:rPr>
          <w:rFonts w:ascii="Times New Roman" w:eastAsia="Times New Roman" w:hAnsi="Times New Roman" w:cs="Times New Roman"/>
          <w:b/>
          <w:bCs/>
          <w:i/>
          <w:iCs/>
          <w:sz w:val="20"/>
          <w:szCs w:val="20"/>
        </w:rPr>
        <w:t>F. Implementation Flow</w:t>
      </w:r>
    </w:p>
    <w:p w:rsidR="00A244E7" w:rsidRDefault="00424483">
      <w:pPr>
        <w:spacing w:after="160" w:line="252" w:lineRule="auto"/>
        <w:jc w:val="both"/>
      </w:pPr>
      <w:r>
        <w:rPr>
          <w:rFonts w:ascii="Times New Roman" w:eastAsia="Times New Roman" w:hAnsi="Times New Roman" w:cs="Times New Roman"/>
          <w:sz w:val="20"/>
          <w:szCs w:val="20"/>
        </w:rPr>
        <w:t>The RTL is synthesized with Cadence Genus (RTL analysis and elaboration, SDC-based constraint application, generic optimization, technology mapping, and timing-driven optimization) and physically implemented with Cadence Innovus (floorplanning, power planning, standard-cell placement, clock-tree synthesis, global and detailed routing, and physical verification/signoff), targeting a 5 ns clock period (200 MHz) on the ASAP7 standard-cell library.</w:t>
      </w:r>
    </w:p>
    <w:p w:rsidR="00A244E7" w:rsidRDefault="00424483">
      <w:pPr>
        <w:spacing w:before="200" w:after="120"/>
      </w:pPr>
      <w:r>
        <w:rPr>
          <w:rFonts w:ascii="Times New Roman" w:eastAsia="Times New Roman" w:hAnsi="Times New Roman" w:cs="Times New Roman"/>
          <w:b/>
          <w:bCs/>
          <w:sz w:val="20"/>
          <w:szCs w:val="20"/>
        </w:rPr>
        <w:t>IV. Results and Discussion</w:t>
      </w:r>
    </w:p>
    <w:p w:rsidR="00A244E7" w:rsidRDefault="00424483">
      <w:pPr>
        <w:spacing w:after="160" w:line="252" w:lineRule="auto"/>
        <w:jc w:val="both"/>
      </w:pPr>
      <w:r>
        <w:rPr>
          <w:rFonts w:ascii="Times New Roman" w:eastAsia="Times New Roman" w:hAnsi="Times New Roman" w:cs="Times New Roman"/>
          <w:sz w:val="20"/>
          <w:szCs w:val="20"/>
        </w:rPr>
        <w:t>RTL elaboration produced 13 RTL modules, 140 interface terms, and 475 nets with no undriven ports, multi-driven nets, or combinational feedback. Table I summarizes the Cadence Genus synthesis results.</w:t>
      </w:r>
    </w:p>
    <w:tbl>
      <w:tblPr>
        <w:tblpPr w:leftFromText="180" w:rightFromText="180" w:vertAnchor="text" w:horzAnchor="page" w:tblpX="1093" w:tblpY="266"/>
        <w:tblOverlap w:val="never"/>
        <w:tblW w:w="4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84"/>
        <w:gridCol w:w="2096"/>
      </w:tblGrid>
      <w:tr w:rsidR="00A244E7">
        <w:tc>
          <w:tcPr>
            <w:tcW w:w="2484" w:type="dxa"/>
            <w:shd w:val="clear" w:color="auto" w:fill="D9D9D9"/>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b/>
                <w:bCs/>
                <w:sz w:val="16"/>
                <w:szCs w:val="16"/>
              </w:rPr>
              <w:t>Metric</w:t>
            </w:r>
          </w:p>
        </w:tc>
        <w:tc>
          <w:tcPr>
            <w:tcW w:w="2096" w:type="dxa"/>
            <w:shd w:val="clear" w:color="auto" w:fill="D9D9D9"/>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b/>
                <w:bCs/>
                <w:sz w:val="16"/>
                <w:szCs w:val="16"/>
              </w:rPr>
              <w:t>Value</w:t>
            </w:r>
          </w:p>
        </w:tc>
      </w:tr>
      <w:tr w:rsidR="00A244E7">
        <w:tc>
          <w:tcPr>
            <w:tcW w:w="2484"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Clock period</w:t>
            </w:r>
          </w:p>
        </w:tc>
        <w:tc>
          <w:tcPr>
            <w:tcW w:w="209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5 ns (200 MHz)</w:t>
            </w:r>
          </w:p>
        </w:tc>
      </w:tr>
      <w:tr w:rsidR="00A244E7">
        <w:tc>
          <w:tcPr>
            <w:tcW w:w="2484"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Final standard cells</w:t>
            </w:r>
          </w:p>
        </w:tc>
        <w:tc>
          <w:tcPr>
            <w:tcW w:w="209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4219</w:t>
            </w:r>
          </w:p>
        </w:tc>
      </w:tr>
      <w:tr w:rsidR="00A244E7">
        <w:tc>
          <w:tcPr>
            <w:tcW w:w="2484"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Leaf instances</w:t>
            </w:r>
          </w:p>
        </w:tc>
        <w:tc>
          <w:tcPr>
            <w:tcW w:w="209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4227 (3979 comb. / 248 seq.)</w:t>
            </w:r>
          </w:p>
        </w:tc>
      </w:tr>
      <w:tr w:rsidR="00A244E7">
        <w:tc>
          <w:tcPr>
            <w:tcW w:w="2484"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Cell area / Total area</w:t>
            </w:r>
          </w:p>
        </w:tc>
        <w:tc>
          <w:tcPr>
            <w:tcW w:w="209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15032.27 / 20010.82 units²</w:t>
            </w:r>
          </w:p>
        </w:tc>
      </w:tr>
      <w:tr w:rsidR="00A244E7">
        <w:tc>
          <w:tcPr>
            <w:tcW w:w="2484"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WNS / TNS</w:t>
            </w:r>
          </w:p>
        </w:tc>
        <w:tc>
          <w:tcPr>
            <w:tcW w:w="209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+0.3 ps / 0 ps</w:t>
            </w:r>
          </w:p>
        </w:tc>
      </w:tr>
      <w:tr w:rsidR="00A244E7">
        <w:tc>
          <w:tcPr>
            <w:tcW w:w="2484"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Violating paths</w:t>
            </w:r>
          </w:p>
        </w:tc>
        <w:tc>
          <w:tcPr>
            <w:tcW w:w="209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0</w:t>
            </w:r>
          </w:p>
        </w:tc>
      </w:tr>
      <w:tr w:rsidR="00A244E7">
        <w:tc>
          <w:tcPr>
            <w:tcW w:w="2484"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Clock-gated flip-flops</w:t>
            </w:r>
          </w:p>
        </w:tc>
        <w:tc>
          <w:tcPr>
            <w:tcW w:w="209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234 / 240 (97.5%)</w:t>
            </w:r>
          </w:p>
        </w:tc>
      </w:tr>
      <w:tr w:rsidR="00A244E7">
        <w:tc>
          <w:tcPr>
            <w:tcW w:w="2484"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Switching / Internal / Leakage power</w:t>
            </w:r>
          </w:p>
        </w:tc>
        <w:tc>
          <w:tcPr>
            <w:tcW w:w="209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58.24% / 41.74% / 0.02%</w:t>
            </w:r>
          </w:p>
        </w:tc>
      </w:tr>
    </w:tbl>
    <w:p w:rsidR="00A244E7" w:rsidRDefault="00A244E7">
      <w:pPr>
        <w:spacing w:after="160" w:line="252" w:lineRule="auto"/>
        <w:jc w:val="both"/>
        <w:rPr>
          <w:rFonts w:ascii="Times New Roman" w:eastAsia="Times New Roman" w:hAnsi="Times New Roman" w:cs="Times New Roman"/>
          <w:sz w:val="20"/>
          <w:szCs w:val="20"/>
        </w:rPr>
      </w:pPr>
    </w:p>
    <w:p w:rsidR="00A244E7" w:rsidRDefault="00424483">
      <w:pPr>
        <w:spacing w:after="160" w:line="252" w:lineRule="auto"/>
        <w:jc w:val="both"/>
      </w:pPr>
      <w:r>
        <w:rPr>
          <w:rFonts w:ascii="Times New Roman" w:eastAsia="Times New Roman" w:hAnsi="Times New Roman" w:cs="Times New Roman"/>
          <w:sz w:val="20"/>
          <w:szCs w:val="20"/>
        </w:rPr>
        <w:t>The extensive use of integrated clock-gating cells, together with positive setup slack and zero total negative slack, confirms a structurally correct, fully constrained, and low-power synthesis result suitable for physical implementation.</w:t>
      </w:r>
    </w:p>
    <w:p w:rsidR="00A244E7" w:rsidRDefault="00424483">
      <w:pPr>
        <w:spacing w:after="160" w:line="252" w:lineRule="auto"/>
        <w:jc w:val="both"/>
      </w:pPr>
      <w:r>
        <w:rPr>
          <w:rFonts w:ascii="Times New Roman" w:eastAsia="Times New Roman" w:hAnsi="Times New Roman" w:cs="Times New Roman"/>
          <w:sz w:val="20"/>
          <w:szCs w:val="20"/>
        </w:rPr>
        <w:t>Table II summarizes the Cadence Innovus physical implementation results.</w:t>
      </w:r>
    </w:p>
    <w:tbl>
      <w:tblPr>
        <w:tblpPr w:leftFromText="180" w:rightFromText="180" w:vertAnchor="text" w:horzAnchor="page" w:tblpX="943" w:tblpY="405"/>
        <w:tblOverlap w:val="never"/>
        <w:tblW w:w="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59"/>
        <w:gridCol w:w="2306"/>
      </w:tblGrid>
      <w:tr w:rsidR="00A244E7">
        <w:tc>
          <w:tcPr>
            <w:tcW w:w="2859" w:type="dxa"/>
            <w:shd w:val="clear" w:color="auto" w:fill="D9D9D9"/>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b/>
                <w:bCs/>
                <w:sz w:val="16"/>
                <w:szCs w:val="16"/>
              </w:rPr>
              <w:t>Metric</w:t>
            </w:r>
          </w:p>
        </w:tc>
        <w:tc>
          <w:tcPr>
            <w:tcW w:w="2306" w:type="dxa"/>
            <w:shd w:val="clear" w:color="auto" w:fill="D9D9D9"/>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b/>
                <w:bCs/>
                <w:sz w:val="16"/>
                <w:szCs w:val="16"/>
              </w:rPr>
              <w:t>Result</w:t>
            </w:r>
          </w:p>
        </w:tc>
      </w:tr>
      <w:tr w:rsidR="00A244E7">
        <w:tc>
          <w:tcPr>
            <w:tcW w:w="2859"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Core utilization</w:t>
            </w:r>
          </w:p>
        </w:tc>
        <w:tc>
          <w:tcPr>
            <w:tcW w:w="230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~89%</w:t>
            </w:r>
          </w:p>
        </w:tc>
      </w:tr>
      <w:tr w:rsidR="00A244E7">
        <w:tc>
          <w:tcPr>
            <w:tcW w:w="2859"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Floorplan / power-planning DRC</w:t>
            </w:r>
          </w:p>
        </w:tc>
        <w:tc>
          <w:tcPr>
            <w:tcW w:w="230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0 errors / 0 violations</w:t>
            </w:r>
          </w:p>
        </w:tc>
      </w:tr>
      <w:tr w:rsidR="00A244E7">
        <w:tc>
          <w:tcPr>
            <w:tcW w:w="2859"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Placement congestion</w:t>
            </w:r>
          </w:p>
        </w:tc>
        <w:tc>
          <w:tcPr>
            <w:tcW w:w="230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0% overflow</w:t>
            </w:r>
          </w:p>
        </w:tc>
      </w:tr>
      <w:tr w:rsidR="00A244E7">
        <w:tc>
          <w:tcPr>
            <w:tcW w:w="2859"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Placement setup / hold</w:t>
            </w:r>
          </w:p>
        </w:tc>
        <w:tc>
          <w:tcPr>
            <w:tcW w:w="230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MET / MET</w:t>
            </w:r>
          </w:p>
        </w:tc>
      </w:tr>
      <w:tr w:rsidR="00A244E7">
        <w:tc>
          <w:tcPr>
            <w:tcW w:w="2859"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Clock-tree levels / sinks</w:t>
            </w:r>
          </w:p>
        </w:tc>
        <w:tc>
          <w:tcPr>
            <w:tcW w:w="230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5 / 240</w:t>
            </w:r>
          </w:p>
        </w:tc>
      </w:tr>
      <w:tr w:rsidR="00A244E7">
        <w:tc>
          <w:tcPr>
            <w:tcW w:w="2859"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Post-route setup / hold</w:t>
            </w:r>
          </w:p>
        </w:tc>
        <w:tc>
          <w:tcPr>
            <w:tcW w:w="230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MET / MET</w:t>
            </w:r>
          </w:p>
        </w:tc>
      </w:tr>
      <w:tr w:rsidR="00A244E7">
        <w:tc>
          <w:tcPr>
            <w:tcW w:w="2859"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Physical instances / area</w:t>
            </w:r>
          </w:p>
        </w:tc>
        <w:tc>
          <w:tcPr>
            <w:tcW w:w="230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4320 / 14063.72 units²</w:t>
            </w:r>
          </w:p>
        </w:tc>
      </w:tr>
      <w:tr w:rsidR="00A244E7">
        <w:tc>
          <w:tcPr>
            <w:tcW w:w="2859"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Total power / leakage share</w:t>
            </w:r>
          </w:p>
        </w:tc>
        <w:tc>
          <w:tcPr>
            <w:tcW w:w="230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2.182 units / 0.026%</w:t>
            </w:r>
          </w:p>
        </w:tc>
      </w:tr>
      <w:tr w:rsidR="00A244E7">
        <w:tc>
          <w:tcPr>
            <w:tcW w:w="2859"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Antenna verification</w:t>
            </w:r>
          </w:p>
        </w:tc>
        <w:tc>
          <w:tcPr>
            <w:tcW w:w="2306" w:type="dxa"/>
            <w:tcMar>
              <w:top w:w="40" w:type="dxa"/>
              <w:left w:w="60" w:type="dxa"/>
              <w:bottom w:w="40" w:type="dxa"/>
              <w:right w:w="60" w:type="dxa"/>
            </w:tcMar>
            <w:vAlign w:val="center"/>
          </w:tcPr>
          <w:p w:rsidR="00A244E7" w:rsidRDefault="00424483">
            <w:pPr>
              <w:jc w:val="center"/>
            </w:pPr>
            <w:r>
              <w:rPr>
                <w:rFonts w:ascii="Times New Roman" w:eastAsia="Times New Roman" w:hAnsi="Times New Roman" w:cs="Times New Roman"/>
                <w:sz w:val="16"/>
                <w:szCs w:val="16"/>
              </w:rPr>
              <w:t>5000 nets, all compliant</w:t>
            </w:r>
          </w:p>
        </w:tc>
      </w:tr>
    </w:tbl>
    <w:p w:rsidR="00A244E7" w:rsidRDefault="00A244E7">
      <w:pPr>
        <w:spacing w:after="100"/>
      </w:pPr>
    </w:p>
    <w:p w:rsidR="00A244E7" w:rsidRDefault="00A244E7">
      <w:pPr>
        <w:spacing w:after="160"/>
      </w:pPr>
    </w:p>
    <w:p w:rsidR="00A244E7" w:rsidRDefault="00424483">
      <w:pPr>
        <w:spacing w:after="160" w:line="252" w:lineRule="auto"/>
        <w:jc w:val="both"/>
      </w:pPr>
      <w:r>
        <w:rPr>
          <w:rFonts w:ascii="Times New Roman" w:eastAsia="Times New Roman" w:hAnsi="Times New Roman" w:cs="Times New Roman"/>
          <w:sz w:val="20"/>
          <w:szCs w:val="20"/>
        </w:rPr>
        <w:t>Placement, clock-tree synthesis, and routing each preserved timing closure with zero congestion overflow and full DRC/LVS compliance, while internal power dominates the physical power breakdown (57.46%) with switching power at 42.51% and negligible leakage (0.026%). These results indicate that the modular RTL hierarchy — arithmetic units grouped for floorplanning, localized high-fanout control signals, and preserved clock-gating structures through CTS — directly benefited downstream implementation quality, congestion, and power.</w:t>
      </w:r>
    </w:p>
    <w:p w:rsidR="00A244E7" w:rsidRDefault="00424483">
      <w:pPr>
        <w:spacing w:before="200" w:after="120"/>
      </w:pPr>
      <w:r>
        <w:rPr>
          <w:rFonts w:ascii="Times New Roman" w:eastAsia="Times New Roman" w:hAnsi="Times New Roman" w:cs="Times New Roman"/>
          <w:b/>
          <w:bCs/>
          <w:sz w:val="20"/>
          <w:szCs w:val="20"/>
        </w:rPr>
        <w:t>V. Conclusion</w:t>
      </w:r>
    </w:p>
    <w:p w:rsidR="00A244E7" w:rsidRDefault="00424483">
      <w:pPr>
        <w:spacing w:after="160" w:line="252" w:lineRule="auto"/>
        <w:jc w:val="both"/>
      </w:pPr>
      <w:r>
        <w:rPr>
          <w:rFonts w:ascii="Times New Roman" w:eastAsia="Times New Roman" w:hAnsi="Times New Roman" w:cs="Times New Roman"/>
          <w:sz w:val="20"/>
          <w:szCs w:val="20"/>
        </w:rPr>
        <w:t>An Adaptive Execution Unit combining a dynamic precision controller, integrated clock gating, operand isolation, and a multi-stage pipeline has been designed in synthesizable Verilog and implemented through a complete industrial RTL-to-GDSII flow using Cadence Genus and Innovus. The design achieves positive timing slack, 97.5% clock-gated flip-flops, zero routing congestion, and full physical-verification compliance, confirming an efficient, scalable, and implementation-aware execution architecture suitable for modern low-power ASIC processors.</w:t>
      </w:r>
    </w:p>
    <w:p w:rsidR="00A244E7" w:rsidRDefault="00424483">
      <w:pPr>
        <w:spacing w:before="200" w:after="120"/>
        <w:jc w:val="center"/>
      </w:pPr>
      <w:r>
        <w:rPr>
          <w:rFonts w:ascii="Times New Roman" w:eastAsia="Times New Roman" w:hAnsi="Times New Roman" w:cs="Times New Roman"/>
          <w:b/>
          <w:bCs/>
          <w:sz w:val="20"/>
          <w:szCs w:val="20"/>
        </w:rPr>
        <w:t>References</w:t>
      </w:r>
    </w:p>
    <w:p w:rsidR="00A244E7" w:rsidRDefault="00424483">
      <w:pPr>
        <w:spacing w:after="100"/>
        <w:jc w:val="both"/>
      </w:pPr>
      <w:r>
        <w:rPr>
          <w:rFonts w:ascii="Times New Roman" w:eastAsia="Times New Roman" w:hAnsi="Times New Roman" w:cs="Times New Roman"/>
          <w:sz w:val="18"/>
          <w:szCs w:val="18"/>
        </w:rPr>
        <w:t>[1] M. A. Raza, I. Shahzad, H. Anwar, M. A. Qureshi, F. H. Malik, and M. U. A. Khan, "An Optimum Design and Implementation of a 16-bit ALU on CADENCE Using RISC-V Architecture," IEEE Int. Conf. on Emerging Trends in Engineering, Sciences and Technology (ICES&amp;T), 2023.</w:t>
      </w:r>
    </w:p>
    <w:p w:rsidR="00A244E7" w:rsidRDefault="00424483">
      <w:pPr>
        <w:spacing w:after="100"/>
        <w:jc w:val="both"/>
      </w:pPr>
      <w:r>
        <w:rPr>
          <w:rFonts w:ascii="Times New Roman" w:eastAsia="Times New Roman" w:hAnsi="Times New Roman" w:cs="Times New Roman"/>
          <w:sz w:val="18"/>
          <w:szCs w:val="18"/>
        </w:rPr>
        <w:t>[2] Deepali, I. Saini, and M. Khosla, "Low Power 32-bit Synchronous and Reconfigurable ALU Design using Chain Structure," 11th IEEE Int. Conf. on Computing, Communication and Networking Technologies (ICCCNT), pp. 1–7, 2020.</w:t>
      </w:r>
    </w:p>
    <w:p w:rsidR="00A244E7" w:rsidRDefault="00424483">
      <w:pPr>
        <w:spacing w:after="100"/>
        <w:jc w:val="both"/>
      </w:pPr>
      <w:r>
        <w:rPr>
          <w:rFonts w:ascii="Times New Roman" w:eastAsia="Times New Roman" w:hAnsi="Times New Roman" w:cs="Times New Roman"/>
          <w:sz w:val="18"/>
          <w:szCs w:val="18"/>
        </w:rPr>
        <w:t>[3] S. Sarkar, H. Chatterjee, P. Saha, and M. Biswas, "8-Bit ALU Design using m-GDI Technique," 4th IEEE Int. Conf. on Trends in Electronics and Informatics (ICOEI), pp. 17–22, 2020.</w:t>
      </w:r>
    </w:p>
    <w:p w:rsidR="00A244E7" w:rsidRDefault="00424483">
      <w:pPr>
        <w:spacing w:after="100"/>
        <w:jc w:val="both"/>
      </w:pPr>
      <w:r>
        <w:rPr>
          <w:rFonts w:ascii="Times New Roman" w:eastAsia="Times New Roman" w:hAnsi="Times New Roman" w:cs="Times New Roman"/>
          <w:sz w:val="18"/>
          <w:szCs w:val="18"/>
        </w:rPr>
        <w:t>[4] Y. Zhou and H. Guo, "Application Specific Low Power ALU Design," IEEE/IFIP Int. Conf. on Embedded and Ubiquitous Computing (EUC), Shanghai, China, pp. 214–220, 2018.</w:t>
      </w:r>
    </w:p>
    <w:p w:rsidR="00A244E7" w:rsidRDefault="00424483">
      <w:pPr>
        <w:spacing w:after="100"/>
        <w:jc w:val="both"/>
      </w:pPr>
      <w:r>
        <w:rPr>
          <w:rFonts w:ascii="Times New Roman" w:eastAsia="Times New Roman" w:hAnsi="Times New Roman" w:cs="Times New Roman"/>
          <w:sz w:val="18"/>
          <w:szCs w:val="18"/>
        </w:rPr>
        <w:t>[5] B. Chatterjee, M. Sachdev, and R. Krishnamurthy, "A CPL-based Dual Supply 32-bit ALU for Sub-180 nm CMOS Technologies," Proc. Int. Symp. on Low Power Electronics and Design (ISLPED), IEEE, Newport Beach, CA, USA, pp. 248–251, 2004.</w:t>
      </w:r>
    </w:p>
    <w:p w:rsidR="00A244E7" w:rsidRDefault="00424483">
      <w:pPr>
        <w:spacing w:after="100"/>
        <w:jc w:val="both"/>
      </w:pPr>
      <w:r>
        <w:rPr>
          <w:rFonts w:ascii="Times New Roman" w:eastAsia="Times New Roman" w:hAnsi="Times New Roman" w:cs="Times New Roman"/>
          <w:sz w:val="18"/>
          <w:szCs w:val="18"/>
        </w:rPr>
        <w:t>[6] A. Chauhan, K. K. Saini, N. Rajput, and R. Domah, "Implementation of High Performance 4-Bit ALU using Dual Mode Pass Transistor Logic," Int. Conf. on Intelligent Technologies (CONIT), IEEE, Hubli, India, 2021.</w:t>
      </w:r>
    </w:p>
    <w:p w:rsidR="00A244E7" w:rsidRDefault="00424483">
      <w:pPr>
        <w:spacing w:after="100"/>
        <w:jc w:val="both"/>
      </w:pPr>
      <w:r>
        <w:rPr>
          <w:rFonts w:ascii="Times New Roman" w:eastAsia="Times New Roman" w:hAnsi="Times New Roman" w:cs="Times New Roman"/>
          <w:sz w:val="18"/>
          <w:szCs w:val="18"/>
        </w:rPr>
        <w:t>[7] G. Verma, "Design and Analysis of ALU for Low Power IoT Centric Processor Architectures," Global Conf. on Wireless and Optical Technologies (GCWOT), IEEE, Malaga, Spain, 2020.</w:t>
      </w:r>
    </w:p>
    <w:p w:rsidR="00A244E7" w:rsidRDefault="00424483">
      <w:pPr>
        <w:spacing w:after="100"/>
        <w:jc w:val="both"/>
      </w:pPr>
      <w:r>
        <w:rPr>
          <w:rFonts w:ascii="Times New Roman" w:eastAsia="Times New Roman" w:hAnsi="Times New Roman" w:cs="Times New Roman"/>
          <w:sz w:val="18"/>
          <w:szCs w:val="18"/>
        </w:rPr>
        <w:t xml:space="preserve">[8] R. J. Kachhadiya, Y. Agrawal, and R. Parekh, "Implementation of ALU using RTL to GDSII Flow and on NEXYS-4 DDR FPGA </w:t>
      </w:r>
      <w:r>
        <w:rPr>
          <w:rFonts w:ascii="Times New Roman" w:eastAsia="Times New Roman" w:hAnsi="Times New Roman" w:cs="Times New Roman"/>
          <w:sz w:val="18"/>
          <w:szCs w:val="18"/>
        </w:rPr>
        <w:lastRenderedPageBreak/>
        <w:t>Board," 2nd Int. Conf. on Electronics and Sustainable Communication Systems (ICESC), Coimbatore, India, pp. 481–488, IEEE, 2021.</w:t>
      </w:r>
    </w:p>
    <w:p w:rsidR="00A244E7" w:rsidRDefault="00424483">
      <w:pPr>
        <w:spacing w:after="100"/>
        <w:jc w:val="both"/>
      </w:pPr>
      <w:r>
        <w:rPr>
          <w:rFonts w:ascii="Times New Roman" w:eastAsia="Times New Roman" w:hAnsi="Times New Roman" w:cs="Times New Roman"/>
          <w:sz w:val="18"/>
          <w:szCs w:val="18"/>
        </w:rPr>
        <w:t>[9] V. Priyanka Brahmaiah, V. Kumar Gurrala, S. Teja Tuduru, and K. Hari Kishore, "Design of Area and Power-Optimized VLSI Architecture of ALU using Signed Multiplier," Int. Conf. on Recent Trends in Microelectronics, Automation, Computing and Communication Systems (ICMACC), Hyderabad, India, IEEE, 2022.</w:t>
      </w:r>
    </w:p>
    <w:p w:rsidR="00A244E7" w:rsidRDefault="00424483">
      <w:pPr>
        <w:spacing w:after="100"/>
        <w:jc w:val="both"/>
      </w:pPr>
      <w:r>
        <w:rPr>
          <w:rFonts w:ascii="Times New Roman" w:eastAsia="Times New Roman" w:hAnsi="Times New Roman" w:cs="Times New Roman"/>
          <w:sz w:val="18"/>
          <w:szCs w:val="18"/>
        </w:rPr>
        <w:t>[10] J. L. V. Ramana Kumari, Y. Varshitha, C. Gopi, and M. Rakesh, "Design and Implementation of ALU Using Ring Counters," Int. Conf. on Signal Processing, Computation, Electronics, Power and Telecommunication (IConSCEPT), Karaikal, India, IEEE, 2023.</w:t>
      </w:r>
    </w:p>
    <w:p w:rsidR="00A244E7" w:rsidRDefault="00424483">
      <w:pPr>
        <w:spacing w:after="100"/>
        <w:jc w:val="both"/>
      </w:pPr>
      <w:r>
        <w:rPr>
          <w:rFonts w:ascii="Times New Roman" w:eastAsia="Times New Roman" w:hAnsi="Times New Roman" w:cs="Times New Roman"/>
          <w:sz w:val="18"/>
          <w:szCs w:val="18"/>
        </w:rPr>
        <w:t>[11] K. Puli and V. Pudi, "Design of Low Power ALU for RISC-V ISA," IEEE Int. Symp. on Smart Electronic Systems (iSES), Ahmedabad, India, 2023.</w:t>
      </w:r>
    </w:p>
    <w:p w:rsidR="00A244E7" w:rsidRDefault="00424483">
      <w:pPr>
        <w:spacing w:before="200" w:after="80"/>
      </w:pPr>
      <w:r>
        <w:rPr>
          <w:rFonts w:ascii="Times New Roman" w:eastAsia="Times New Roman" w:hAnsi="Times New Roman" w:cs="Times New Roman"/>
          <w:b/>
          <w:bCs/>
          <w:i/>
          <w:iCs/>
          <w:sz w:val="20"/>
          <w:szCs w:val="20"/>
        </w:rPr>
        <w:t>Funding Declaration</w:t>
      </w:r>
    </w:p>
    <w:p w:rsidR="00A244E7" w:rsidRDefault="00424483">
      <w:pPr>
        <w:spacing w:after="160" w:line="252" w:lineRule="auto"/>
        <w:jc w:val="both"/>
      </w:pPr>
      <w:r>
        <w:rPr>
          <w:rFonts w:ascii="Times New Roman" w:eastAsia="Times New Roman" w:hAnsi="Times New Roman" w:cs="Times New Roman"/>
          <w:sz w:val="20"/>
          <w:szCs w:val="20"/>
        </w:rPr>
        <w:t>The authors declare that no funds, grants, or other forms of financial support were received from any organization or institution for the conduct of this research.</w:t>
      </w:r>
    </w:p>
    <w:sectPr w:rsidR="00A244E7" w:rsidSect="006B13F1">
      <w:type w:val="continuous"/>
      <w:pgSz w:w="12240" w:h="15840"/>
      <w:pgMar w:top="1008" w:right="936" w:bottom="1008" w:left="936" w:header="708" w:footer="708" w:gutter="0"/>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7F19" w:rsidRDefault="00AE7F19" w:rsidP="00570E62">
      <w:r>
        <w:separator/>
      </w:r>
    </w:p>
  </w:endnote>
  <w:endnote w:type="continuationSeparator" w:id="1">
    <w:p w:rsidR="00AE7F19" w:rsidRDefault="00AE7F19" w:rsidP="00570E6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0E62" w:rsidRPr="001239CE" w:rsidRDefault="00570E62" w:rsidP="00570E62">
    <w:pPr>
      <w:pStyle w:val="Footer"/>
    </w:pPr>
    <w:r>
      <w:rPr>
        <w:noProof/>
      </w:rPr>
      <w:pict>
        <v:group id="_x0000_s3073" style="position:absolute;margin-left:47.25pt;margin-top:5.7pt;width:526.7pt;height:27.35pt;z-index:251661312;mso-position-horizontal-relative:page;mso-position-vertical-relative:line" coordorigin="321,14850" coordsize="11601,547">
          <v:rect id="_x0000_s3074" style="position:absolute;left:374;top:14903;width:9346;height:432;mso-position-horizontal-relative:page;mso-position-vertical:center;mso-position-vertical-relative:bottom-margin-area" o:allowincell="f" fillcolor="#943634 [2405]" stroked="f" strokecolor="#943634 [2405]">
            <v:fill color2="#943634 [2405]"/>
            <v:textbox style="mso-next-textbox:#_x0000_s3074">
              <w:txbxContent>
                <w:sdt>
                  <w:sdtPr>
                    <w:rPr>
                      <w:rFonts w:ascii="Times New Roman" w:hAnsi="Times New Roman"/>
                      <w:b/>
                      <w:bCs/>
                      <w:color w:val="FFFFFF" w:themeColor="background1"/>
                    </w:rPr>
                    <w:alias w:val="Address"/>
                    <w:id w:val="1109515"/>
                    <w:showingPlcHdr/>
                    <w:dataBinding w:prefixMappings="xmlns:ns0='http://schemas.microsoft.com/office/2006/coverPageProps'" w:xpath="/ns0:CoverPageProperties[1]/ns0:CompanyAddress[1]" w:storeItemID="{55AF091B-3C7A-41E3-B477-F2FDAA23CFDA}"/>
                    <w:text w:multiLine="1"/>
                  </w:sdtPr>
                  <w:sdtContent>
                    <w:p w:rsidR="00570E62" w:rsidRPr="000A2844" w:rsidRDefault="00570E62" w:rsidP="00570E62">
                      <w:pPr>
                        <w:pStyle w:val="Footer"/>
                        <w:rPr>
                          <w:b/>
                          <w:bCs/>
                          <w:color w:val="FFFFFF" w:themeColor="background1"/>
                          <w:spacing w:val="60"/>
                        </w:rPr>
                      </w:pPr>
                      <w:r>
                        <w:rPr>
                          <w:rFonts w:ascii="Times New Roman" w:hAnsi="Times New Roman"/>
                          <w:b/>
                          <w:bCs/>
                          <w:color w:val="FFFFFF" w:themeColor="background1"/>
                        </w:rPr>
                        <w:t xml:space="preserve">     </w:t>
                      </w:r>
                    </w:p>
                  </w:sdtContent>
                </w:sdt>
                <w:p w:rsidR="00570E62" w:rsidRPr="000A2844" w:rsidRDefault="00570E62" w:rsidP="00570E62">
                  <w:pPr>
                    <w:pStyle w:val="Header"/>
                    <w:jc w:val="center"/>
                    <w:rPr>
                      <w:b/>
                      <w:bCs/>
                      <w:color w:val="FFFFFF" w:themeColor="background1"/>
                    </w:rPr>
                  </w:pPr>
                </w:p>
              </w:txbxContent>
            </v:textbox>
          </v:rect>
          <v:rect id="_x0000_s3075" style="position:absolute;left:9763;top:14903;width:2102;height:432;mso-position-horizontal-relative:page;mso-position-vertical:center;mso-position-vertical-relative:bottom-margin-area" o:allowincell="f" fillcolor="#943634 [2405]" stroked="f">
            <v:fill color2="#943634 [2405]"/>
            <v:textbox style="mso-next-textbox:#_x0000_s3075">
              <w:txbxContent>
                <w:p w:rsidR="00570E62" w:rsidRPr="00490494" w:rsidRDefault="00570E62" w:rsidP="00570E62">
                  <w:pPr>
                    <w:pStyle w:val="Footer"/>
                    <w:jc w:val="right"/>
                    <w:rPr>
                      <w:b/>
                      <w:bCs/>
                      <w:color w:val="FFFFFF" w:themeColor="background1"/>
                      <w:sz w:val="24"/>
                      <w:szCs w:val="24"/>
                    </w:rPr>
                  </w:pPr>
                  <w:r>
                    <w:rPr>
                      <w:b/>
                      <w:bCs/>
                      <w:color w:val="FFFFFF" w:themeColor="background1"/>
                      <w:sz w:val="24"/>
                      <w:szCs w:val="24"/>
                    </w:rPr>
                    <w:t>Page No</w:t>
                  </w:r>
                </w:p>
              </w:txbxContent>
            </v:textbox>
          </v:rect>
          <v:rect id="_x0000_s3076"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p w:rsidR="00570E62" w:rsidRDefault="00570E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7F19" w:rsidRDefault="00AE7F19" w:rsidP="00570E62">
      <w:r>
        <w:separator/>
      </w:r>
    </w:p>
  </w:footnote>
  <w:footnote w:type="continuationSeparator" w:id="1">
    <w:p w:rsidR="00AE7F19" w:rsidRDefault="00AE7F19" w:rsidP="00570E6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0E62" w:rsidRPr="00DC0050" w:rsidRDefault="00570E62" w:rsidP="00570E62">
    <w:pPr>
      <w:ind w:left="720"/>
      <w:rPr>
        <w:rFonts w:ascii="Times New Roman" w:hAnsi="Times New Roman"/>
        <w:b/>
        <w:bCs/>
        <w:color w:val="B10F92"/>
        <w:spacing w:val="20"/>
        <w:position w:val="-2"/>
        <w:sz w:val="16"/>
        <w:szCs w:val="16"/>
      </w:rPr>
    </w:pPr>
    <w:r>
      <w:rPr>
        <w:b/>
        <w:bCs/>
        <w:noProof/>
      </w:rPr>
      <w:drawing>
        <wp:anchor distT="0" distB="0" distL="114300" distR="114300" simplePos="0" relativeHeight="251659264" behindDoc="1" locked="0" layoutInCell="1" allowOverlap="1">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904875" cy="400050"/>
                  </a:xfrm>
                  <a:prstGeom prst="rect">
                    <a:avLst/>
                  </a:prstGeom>
                  <a:noFill/>
                  <a:ln w="9525">
                    <a:noFill/>
                    <a:miter lim="800000"/>
                    <a:headEnd/>
                    <a:tailEnd/>
                  </a:ln>
                </pic:spPr>
              </pic:pic>
            </a:graphicData>
          </a:graphic>
        </wp:anchor>
      </w:drawing>
    </w:r>
    <w:r w:rsidRPr="00DC0050">
      <w:rPr>
        <w:rStyle w:val="Strong"/>
        <w:color w:val="B10F92"/>
        <w:spacing w:val="20"/>
        <w:position w:val="-2"/>
      </w:rPr>
      <w:t xml:space="preserve">International Journal of Innovative Trends in Engineering Science and </w:t>
    </w:r>
    <w:r>
      <w:rPr>
        <w:rStyle w:val="Strong"/>
        <w:color w:val="B10F92"/>
        <w:spacing w:val="20"/>
        <w:position w:val="-2"/>
      </w:rPr>
      <w:t>T</w:t>
    </w:r>
    <w:r w:rsidRPr="00DC0050">
      <w:rPr>
        <w:rStyle w:val="Strong"/>
        <w:color w:val="B10F92"/>
        <w:spacing w:val="20"/>
        <w:position w:val="-2"/>
      </w:rPr>
      <w:t>echnology</w:t>
    </w:r>
    <w:r w:rsidRPr="00DC0050">
      <w:rPr>
        <w:b/>
        <w:bCs/>
        <w:color w:val="B10F92"/>
        <w:spacing w:val="20"/>
        <w:position w:val="-2"/>
      </w:rPr>
      <w:br/>
    </w:r>
    <w:r w:rsidRPr="00DC0050">
      <w:rPr>
        <w:rStyle w:val="Strong"/>
        <w:color w:val="B10F92"/>
        <w:spacing w:val="20"/>
        <w:position w:val="-2"/>
      </w:rPr>
      <w:t>A Peer-Reviewed International Research Journal (IJITEST)</w:t>
    </w:r>
  </w:p>
  <w:p w:rsidR="00570E62" w:rsidRPr="003A2AED" w:rsidRDefault="00570E62" w:rsidP="00570E62">
    <w:pPr>
      <w:pStyle w:val="Header"/>
      <w:tabs>
        <w:tab w:val="clear" w:pos="4680"/>
        <w:tab w:val="clear" w:pos="9360"/>
        <w:tab w:val="right" w:pos="10368"/>
      </w:tabs>
      <w:ind w:left="720"/>
      <w:jc w:val="center"/>
      <w:rPr>
        <w:rFonts w:cs="Calibri"/>
        <w:b/>
        <w:bCs/>
        <w:color w:val="B10F92"/>
        <w:spacing w:val="20"/>
        <w:position w:val="-2"/>
        <w:szCs w:val="20"/>
        <w:lang w:val="pt-BR"/>
      </w:rPr>
    </w:pPr>
    <w:r w:rsidRPr="003A2AED">
      <w:rPr>
        <w:rFonts w:cs="Calibri"/>
        <w:b/>
        <w:bCs/>
        <w:color w:val="B10F92"/>
        <w:spacing w:val="20"/>
        <w:position w:val="-2"/>
        <w:szCs w:val="20"/>
        <w:lang w:val="pt-BR"/>
      </w:rPr>
      <w:t>www.ijitest.org | E-ISSN: XXXX-XXXX</w:t>
    </w:r>
  </w:p>
  <w:p w:rsidR="00570E62" w:rsidRDefault="00570E62" w:rsidP="00570E62">
    <w:pPr>
      <w:pStyle w:val="Header"/>
    </w:pPr>
    <w:r w:rsidRPr="008C6804">
      <w:rPr>
        <w:rFonts w:cs="Calibri"/>
        <w:b/>
        <w:bCs/>
        <w:color w:val="B10F92"/>
        <w:spacing w:val="20"/>
        <w:position w:val="-2"/>
        <w:sz w:val="24"/>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4098"/>
    <o:shapelayout v:ext="edit">
      <o:idmap v:ext="edit" data="3"/>
    </o:shapelayout>
  </w:hdrShapeDefaults>
  <w:footnotePr>
    <w:footnote w:id="0"/>
    <w:footnote w:id="1"/>
  </w:footnotePr>
  <w:endnotePr>
    <w:endnote w:id="0"/>
    <w:endnote w:id="1"/>
  </w:endnotePr>
  <w:compat>
    <w:useFELayout/>
  </w:compat>
  <w:rsids>
    <w:rsidRoot w:val="00A244E7"/>
    <w:rsid w:val="000A5693"/>
    <w:rsid w:val="003B5229"/>
    <w:rsid w:val="00424483"/>
    <w:rsid w:val="00486E63"/>
    <w:rsid w:val="00570E62"/>
    <w:rsid w:val="005B3F6C"/>
    <w:rsid w:val="006B13F1"/>
    <w:rsid w:val="009D09CB"/>
    <w:rsid w:val="00A244E7"/>
    <w:rsid w:val="00AE7F19"/>
    <w:rsid w:val="00C734E8"/>
    <w:rsid w:val="00F10496"/>
    <w:rsid w:val="130A03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IN" w:eastAsia="en-IN" w:bidi="te-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header" w:uiPriority="99"/>
    <w:lsdException w:name="footer" w:uiPriority="99"/>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B13F1"/>
    <w:rPr>
      <w:sz w:val="21"/>
      <w:szCs w:val="22"/>
    </w:rPr>
  </w:style>
  <w:style w:type="paragraph" w:styleId="Heading1">
    <w:name w:val="heading 1"/>
    <w:next w:val="Normal"/>
    <w:qFormat/>
    <w:rsid w:val="006B13F1"/>
    <w:pPr>
      <w:outlineLvl w:val="0"/>
    </w:pPr>
    <w:rPr>
      <w:color w:val="2E74B5"/>
      <w:sz w:val="32"/>
      <w:szCs w:val="32"/>
    </w:rPr>
  </w:style>
  <w:style w:type="paragraph" w:styleId="Heading2">
    <w:name w:val="heading 2"/>
    <w:next w:val="Normal"/>
    <w:qFormat/>
    <w:rsid w:val="006B13F1"/>
    <w:pPr>
      <w:outlineLvl w:val="1"/>
    </w:pPr>
    <w:rPr>
      <w:color w:val="2E74B5"/>
      <w:sz w:val="26"/>
      <w:szCs w:val="26"/>
    </w:rPr>
  </w:style>
  <w:style w:type="paragraph" w:styleId="Heading3">
    <w:name w:val="heading 3"/>
    <w:next w:val="Normal"/>
    <w:qFormat/>
    <w:rsid w:val="006B13F1"/>
    <w:pPr>
      <w:outlineLvl w:val="2"/>
    </w:pPr>
    <w:rPr>
      <w:color w:val="1F4D78"/>
      <w:sz w:val="24"/>
      <w:szCs w:val="24"/>
    </w:rPr>
  </w:style>
  <w:style w:type="paragraph" w:styleId="Heading4">
    <w:name w:val="heading 4"/>
    <w:next w:val="Normal"/>
    <w:qFormat/>
    <w:rsid w:val="006B13F1"/>
    <w:pPr>
      <w:outlineLvl w:val="3"/>
    </w:pPr>
    <w:rPr>
      <w:i/>
      <w:iCs/>
      <w:color w:val="2E74B5"/>
      <w:sz w:val="21"/>
      <w:szCs w:val="22"/>
    </w:rPr>
  </w:style>
  <w:style w:type="paragraph" w:styleId="Heading5">
    <w:name w:val="heading 5"/>
    <w:next w:val="Normal"/>
    <w:qFormat/>
    <w:rsid w:val="006B13F1"/>
    <w:pPr>
      <w:outlineLvl w:val="4"/>
    </w:pPr>
    <w:rPr>
      <w:color w:val="2E74B5"/>
      <w:sz w:val="21"/>
      <w:szCs w:val="22"/>
    </w:rPr>
  </w:style>
  <w:style w:type="paragraph" w:styleId="Heading6">
    <w:name w:val="heading 6"/>
    <w:next w:val="Normal"/>
    <w:qFormat/>
    <w:rsid w:val="006B13F1"/>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sid w:val="006B13F1"/>
    <w:rPr>
      <w:vertAlign w:val="superscript"/>
    </w:rPr>
  </w:style>
  <w:style w:type="paragraph" w:styleId="EndnoteText">
    <w:name w:val="endnote text"/>
    <w:link w:val="EndnoteTextChar"/>
    <w:uiPriority w:val="99"/>
    <w:semiHidden/>
    <w:unhideWhenUsed/>
    <w:qFormat/>
    <w:rsid w:val="006B13F1"/>
  </w:style>
  <w:style w:type="character" w:styleId="FootnoteReference">
    <w:name w:val="footnote reference"/>
    <w:uiPriority w:val="99"/>
    <w:semiHidden/>
    <w:unhideWhenUsed/>
    <w:qFormat/>
    <w:rsid w:val="006B13F1"/>
    <w:rPr>
      <w:vertAlign w:val="superscript"/>
    </w:rPr>
  </w:style>
  <w:style w:type="paragraph" w:styleId="FootnoteText">
    <w:name w:val="footnote text"/>
    <w:link w:val="FootnoteTextChar"/>
    <w:uiPriority w:val="99"/>
    <w:semiHidden/>
    <w:unhideWhenUsed/>
    <w:qFormat/>
    <w:rsid w:val="006B13F1"/>
  </w:style>
  <w:style w:type="character" w:styleId="Hyperlink">
    <w:name w:val="Hyperlink"/>
    <w:uiPriority w:val="99"/>
    <w:unhideWhenUsed/>
    <w:rsid w:val="006B13F1"/>
    <w:rPr>
      <w:color w:val="0563C1"/>
      <w:u w:val="single"/>
    </w:rPr>
  </w:style>
  <w:style w:type="paragraph" w:styleId="Title">
    <w:name w:val="Title"/>
    <w:qFormat/>
    <w:rsid w:val="006B13F1"/>
    <w:rPr>
      <w:sz w:val="56"/>
      <w:szCs w:val="56"/>
    </w:rPr>
  </w:style>
  <w:style w:type="paragraph" w:styleId="ListParagraph">
    <w:name w:val="List Paragraph"/>
    <w:qFormat/>
    <w:rsid w:val="006B13F1"/>
    <w:rPr>
      <w:sz w:val="21"/>
      <w:szCs w:val="22"/>
    </w:rPr>
  </w:style>
  <w:style w:type="character" w:customStyle="1" w:styleId="FootnoteTextChar">
    <w:name w:val="Footnote Text Char"/>
    <w:link w:val="FootnoteText"/>
    <w:uiPriority w:val="99"/>
    <w:semiHidden/>
    <w:unhideWhenUsed/>
    <w:qFormat/>
    <w:rsid w:val="006B13F1"/>
    <w:rPr>
      <w:sz w:val="20"/>
      <w:szCs w:val="20"/>
    </w:rPr>
  </w:style>
  <w:style w:type="character" w:customStyle="1" w:styleId="EndnoteTextChar">
    <w:name w:val="Endnote Text Char"/>
    <w:link w:val="EndnoteText"/>
    <w:uiPriority w:val="99"/>
    <w:semiHidden/>
    <w:unhideWhenUsed/>
    <w:qFormat/>
    <w:rsid w:val="006B13F1"/>
    <w:rPr>
      <w:sz w:val="20"/>
      <w:szCs w:val="20"/>
    </w:rPr>
  </w:style>
  <w:style w:type="paragraph" w:customStyle="1" w:styleId="Affiliation">
    <w:name w:val="Affiliation"/>
    <w:rsid w:val="00F10496"/>
    <w:pPr>
      <w:suppressAutoHyphens/>
      <w:jc w:val="center"/>
    </w:pPr>
    <w:rPr>
      <w:rFonts w:ascii="Times New Roman" w:eastAsia="SimSun" w:hAnsi="Times New Roman" w:cs="Times New Roman"/>
      <w:lang w:val="en-US" w:eastAsia="zh-CN" w:bidi="ar-SA"/>
    </w:rPr>
  </w:style>
  <w:style w:type="paragraph" w:styleId="BalloonText">
    <w:name w:val="Balloon Text"/>
    <w:basedOn w:val="Normal"/>
    <w:link w:val="BalloonTextChar"/>
    <w:rsid w:val="00424483"/>
    <w:rPr>
      <w:rFonts w:ascii="Tahoma" w:hAnsi="Tahoma" w:cs="Tahoma"/>
      <w:sz w:val="16"/>
      <w:szCs w:val="16"/>
    </w:rPr>
  </w:style>
  <w:style w:type="character" w:customStyle="1" w:styleId="BalloonTextChar">
    <w:name w:val="Balloon Text Char"/>
    <w:basedOn w:val="DefaultParagraphFont"/>
    <w:link w:val="BalloonText"/>
    <w:rsid w:val="00424483"/>
    <w:rPr>
      <w:rFonts w:ascii="Tahoma" w:hAnsi="Tahoma" w:cs="Tahoma"/>
      <w:sz w:val="16"/>
      <w:szCs w:val="16"/>
    </w:rPr>
  </w:style>
  <w:style w:type="paragraph" w:styleId="Header">
    <w:name w:val="header"/>
    <w:basedOn w:val="Normal"/>
    <w:link w:val="HeaderChar"/>
    <w:uiPriority w:val="99"/>
    <w:rsid w:val="00570E62"/>
    <w:pPr>
      <w:tabs>
        <w:tab w:val="center" w:pos="4680"/>
        <w:tab w:val="right" w:pos="9360"/>
      </w:tabs>
    </w:pPr>
  </w:style>
  <w:style w:type="character" w:customStyle="1" w:styleId="HeaderChar">
    <w:name w:val="Header Char"/>
    <w:basedOn w:val="DefaultParagraphFont"/>
    <w:link w:val="Header"/>
    <w:uiPriority w:val="99"/>
    <w:rsid w:val="00570E62"/>
    <w:rPr>
      <w:sz w:val="21"/>
      <w:szCs w:val="22"/>
    </w:rPr>
  </w:style>
  <w:style w:type="paragraph" w:styleId="Footer">
    <w:name w:val="footer"/>
    <w:basedOn w:val="Normal"/>
    <w:link w:val="FooterChar"/>
    <w:uiPriority w:val="99"/>
    <w:rsid w:val="00570E62"/>
    <w:pPr>
      <w:tabs>
        <w:tab w:val="center" w:pos="4680"/>
        <w:tab w:val="right" w:pos="9360"/>
      </w:tabs>
    </w:pPr>
  </w:style>
  <w:style w:type="character" w:customStyle="1" w:styleId="FooterChar">
    <w:name w:val="Footer Char"/>
    <w:basedOn w:val="DefaultParagraphFont"/>
    <w:link w:val="Footer"/>
    <w:uiPriority w:val="99"/>
    <w:rsid w:val="00570E62"/>
    <w:rPr>
      <w:sz w:val="21"/>
      <w:szCs w:val="22"/>
    </w:rPr>
  </w:style>
  <w:style w:type="character" w:styleId="Strong">
    <w:name w:val="Strong"/>
    <w:basedOn w:val="DefaultParagraphFont"/>
    <w:uiPriority w:val="22"/>
    <w:qFormat/>
    <w:rsid w:val="00570E62"/>
    <w:rPr>
      <w:b/>
      <w:bCs/>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33918"/>
    <w:rsid w:val="001729E2"/>
    <w:rsid w:val="00C339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8A06272A81464EA5A0FFC665200773">
    <w:name w:val="908A06272A81464EA5A0FFC665200773"/>
    <w:rsid w:val="00C3391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2012</Words>
  <Characters>11473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MIRACLE</cp:lastModifiedBy>
  <cp:revision>7</cp:revision>
  <dcterms:created xsi:type="dcterms:W3CDTF">2026-07-25T02:12:00Z</dcterms:created>
  <dcterms:modified xsi:type="dcterms:W3CDTF">2026-07-27T08:39:00Z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eyJoZGlkIjoiZWYyNDdiYTAxYjgzODg4NWMzMzZhMTMyZGU0ODA0OTYiLCJ1c2VySWQiOiI1NjcwNTM1ODk2ODUifQ==</vt:lpwstr>
  </property>
  <property fmtid="{D5CDD505-2E9C-101B-9397-08002B2CF9AE}" pid="3" name="KSOProductBuildVer">
    <vt:lpwstr>1033-12.1.0.27458</vt:lpwstr>
  </property>
  <property fmtid="{D5CDD505-2E9C-101B-9397-08002B2CF9AE}" pid="4" name="ICV">
    <vt:lpwstr>EC85E5CC6DED454AAF3344B2F61AC244_12</vt:lpwstr>
  </property>
</Properties>
</file>