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Доклад по результатам магистерской диссертации</w:t>
        <w:br w:type="textWrapping"/>
        <w:t xml:space="preserve"> «Корпоративное обучение разработчиков игр использованию нейросетей»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cx379lz6jxst" w:id="0"/>
      <w:bookmarkEnd w:id="0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1. Введение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В современных игровых студиях быстро растет спрос на интеграцию методов машинного обучения и нейросетевых решений. Чтобы обеспечить повышение квалификации команды разработчиков и ускорить адаптацию новых технологий, была разработана специализированная корпоративная программа обучения.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1cl82udpfb14" w:id="1"/>
      <w:bookmarkEnd w:id="1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2. Цели и задачи исследования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Цель: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оценить эффективность внедренной программы обучения игровых разработчиков использованию нейросетей.</w:t>
        <w:br w:type="textWrapping"/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Спроектировать учебный курс с учётом специфики геймдева.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Измерить прирост теоретических знаний и практических навыков участников.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Изучить влияние освоенных технологий на реальные рабочие прототипы.</w:t>
        <w:br w:type="textWrapping"/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8g8efw8cjv05" w:id="2"/>
      <w:bookmarkEnd w:id="2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3. Методология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Дизайн исследования: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квазиэксперимент «до–после» (pre‑test / post‑test) для одной группы участников.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Участники: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25 разработчиков (Unity и Unreal Engine), среднего уровня (от 1 до 5 лет опыта), не имевших ранее глубокого опыта с нейросетями.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Программа: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пятидневный интенсив, включающий лекции, практические занятия и командный хакатон.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Инструменты: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Python-фреймворки (TensorFlow, PyTorch), языковые модели (ChatGPT API), игровые движки Unity 2023.1 и Unreal Engine 5.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Оценка эффективности: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количественные метрики (результаты тестов, время прототипирования, число ошибок);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качественные данные (анкетирование удовлетворённости, полуструктурированные интервью).</w:t>
        <w:br w:type="textWrapping"/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4m75igqiyr2n" w:id="3"/>
      <w:bookmarkEnd w:id="3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4. Результаты исследования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2r3j0idizlqx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4.1. Количественные показатели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Прирост знаний: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средний балл по контрольному тесту вырос с 45 % до 85 %.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Интеграция нейросетей: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60 % участников встроили созданные модели в рабочие прототипы.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Сокращение времени разработки: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время первоначального прототипирования упало на 30 %.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Снижение числа ошибок: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количество критических багов в коде уменьшилось на 20 %.</w:t>
        <w:br w:type="textWrapping"/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ydxrfh2wegk" w:id="5"/>
      <w:bookmarkEnd w:id="5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4.2. Качественные выводы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Повышение мотивации: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90 % участников отметили, что формат «интенсив + практика» максимально вовлекает и демонстрирует пользу нейросетей.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Удобство инструментов: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большая часть признала простоту интеграции готовых API‑решений (например, для генерации текстур, анимаций и игрового поведения).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Командное взаимодействие: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во время хакатона участники выработали лучшие практики кодирования моделей и совместного отладки.</w:t>
        <w:br w:type="textWrapping"/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wl3t7ikxl29d" w:id="6"/>
      <w:bookmarkEnd w:id="6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5. Обсуждение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Баланс теории и практики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оказался ключевым: слушатели быстро поняли базовые принципы, но именно hands‑on сессии дали наиболее заметный эффект.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Технические ограничения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движков потребовали адаптации подходов: пришлось оптимизировать модели для реального времени и переработать часть архитектуры проектов.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Перспективы развития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программы связаны с расширением тематики — включение reinforcement learning и генеративных моделей для создания контента «на лету».</w:t>
        <w:br w:type="textWrapping"/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eti57jpdxvrb" w:id="7"/>
      <w:bookmarkEnd w:id="7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6. Рекомендации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Внедрить модуль по reinforcement learning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, где участники настраивают поведение NPC через среды симуляции.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Обновлять программу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каждые 6 месяцев, включая новые версии фреймворков и появившиеся сервисы.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Организовать внутреннее сообщество практиков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, где разработчики делятся готовыми примерами, шаблонами и кейсами реальной интеграции.</w:t>
        <w:br w:type="textWrapping"/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xbijxy9apu8o" w:id="8"/>
      <w:bookmarkEnd w:id="8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7. Заключение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Реализация корпоративного курса по нейросетям для разработчиков игр показала высокую эффективность: участники значительно повысили компетенции, сократили время прототипирования и улучшили качество игровых AI‑модулей. В дальнейшем рекомендуется развитие программы за счёт более глубоких тем и поддержания сообщества выпускников.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