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10"/>
        <w:gridCol w:w="1587"/>
        <w:gridCol w:w="2169"/>
        <w:gridCol w:w="1700"/>
        <w:gridCol w:w="2377"/>
        <w:gridCol w:w="2189"/>
      </w:tblGrid>
      <w:tr w:rsidR="002E261F" w:rsidRPr="002E261F" w14:paraId="1FDF76F2" w14:textId="77777777" w:rsidTr="002E261F">
        <w:tc>
          <w:tcPr>
            <w:tcW w:w="0" w:type="auto"/>
            <w:hideMark/>
          </w:tcPr>
          <w:p w14:paraId="6C2AD673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Isoform / Mutation</w:t>
            </w:r>
          </w:p>
        </w:tc>
        <w:tc>
          <w:tcPr>
            <w:tcW w:w="0" w:type="auto"/>
            <w:hideMark/>
          </w:tcPr>
          <w:p w14:paraId="4271E3CD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Resistant To</w:t>
            </w:r>
          </w:p>
        </w:tc>
        <w:tc>
          <w:tcPr>
            <w:tcW w:w="0" w:type="auto"/>
            <w:hideMark/>
          </w:tcPr>
          <w:p w14:paraId="263D0A36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Sensitive To</w:t>
            </w:r>
          </w:p>
        </w:tc>
        <w:tc>
          <w:tcPr>
            <w:tcW w:w="0" w:type="auto"/>
            <w:hideMark/>
          </w:tcPr>
          <w:p w14:paraId="0EBD9230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Key Mechanism</w:t>
            </w:r>
          </w:p>
        </w:tc>
        <w:tc>
          <w:tcPr>
            <w:tcW w:w="0" w:type="auto"/>
            <w:hideMark/>
          </w:tcPr>
          <w:p w14:paraId="199DE361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Clinical Evidence Level</w:t>
            </w:r>
          </w:p>
        </w:tc>
        <w:tc>
          <w:tcPr>
            <w:tcW w:w="0" w:type="auto"/>
            <w:hideMark/>
          </w:tcPr>
          <w:p w14:paraId="5928AC98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BindingDB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/ Structural Data Availability</w:t>
            </w:r>
          </w:p>
        </w:tc>
        <w:tc>
          <w:tcPr>
            <w:tcW w:w="0" w:type="auto"/>
            <w:hideMark/>
          </w:tcPr>
          <w:p w14:paraId="08723171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Representative References / Notes</w:t>
            </w:r>
          </w:p>
        </w:tc>
      </w:tr>
      <w:tr w:rsidR="002E261F" w:rsidRPr="002E261F" w14:paraId="78CC1833" w14:textId="77777777" w:rsidTr="002E261F">
        <w:tc>
          <w:tcPr>
            <w:tcW w:w="0" w:type="auto"/>
            <w:hideMark/>
          </w:tcPr>
          <w:p w14:paraId="5AE2F2E9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p95HER2</w:t>
            </w:r>
          </w:p>
        </w:tc>
        <w:tc>
          <w:tcPr>
            <w:tcW w:w="0" w:type="auto"/>
            <w:hideMark/>
          </w:tcPr>
          <w:p w14:paraId="4F8DBC0C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Trastuzumab</w:t>
            </w:r>
          </w:p>
        </w:tc>
        <w:tc>
          <w:tcPr>
            <w:tcW w:w="0" w:type="auto"/>
            <w:hideMark/>
          </w:tcPr>
          <w:p w14:paraId="0B73E550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Lapatinib, Neratinib</w:t>
            </w:r>
          </w:p>
        </w:tc>
        <w:tc>
          <w:tcPr>
            <w:tcW w:w="0" w:type="auto"/>
            <w:hideMark/>
          </w:tcPr>
          <w:p w14:paraId="7830F671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Truncated extracellular domain eliminates trastuzumab binding site</w:t>
            </w:r>
          </w:p>
        </w:tc>
        <w:tc>
          <w:tcPr>
            <w:tcW w:w="0" w:type="auto"/>
            <w:hideMark/>
          </w:tcPr>
          <w:p w14:paraId="096B38BA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Strong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consistent clinical and translational data</w:t>
            </w:r>
          </w:p>
        </w:tc>
        <w:tc>
          <w:tcPr>
            <w:tcW w:w="0" w:type="auto"/>
            <w:hideMark/>
          </w:tcPr>
          <w:p w14:paraId="716BEBCB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Not represented in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BindingDB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(truncation absent; modeled via full-length HER2–TKI complexes)</w:t>
            </w:r>
          </w:p>
        </w:tc>
        <w:tc>
          <w:tcPr>
            <w:tcW w:w="0" w:type="auto"/>
            <w:hideMark/>
          </w:tcPr>
          <w:p w14:paraId="5441BBBD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Scaltriti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Nat Med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2007; Saez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Clin Cancer Res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2006</w:t>
            </w:r>
          </w:p>
        </w:tc>
      </w:tr>
      <w:tr w:rsidR="002E261F" w:rsidRPr="002E261F" w14:paraId="008FBFDF" w14:textId="77777777" w:rsidTr="002E261F">
        <w:tc>
          <w:tcPr>
            <w:tcW w:w="0" w:type="auto"/>
            <w:hideMark/>
          </w:tcPr>
          <w:p w14:paraId="48C954DD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d16HER2 (Δ16)</w:t>
            </w:r>
          </w:p>
        </w:tc>
        <w:tc>
          <w:tcPr>
            <w:tcW w:w="0" w:type="auto"/>
            <w:hideMark/>
          </w:tcPr>
          <w:p w14:paraId="6EC97155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 xml:space="preserve">Trastuzumab (in vitro), T-DM1,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Lapatinib</w:t>
            </w:r>
            <w:proofErr w:type="spellEnd"/>
          </w:p>
        </w:tc>
        <w:tc>
          <w:tcPr>
            <w:tcW w:w="0" w:type="auto"/>
            <w:hideMark/>
          </w:tcPr>
          <w:p w14:paraId="410DBBEC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Trastuzumab (in vivo partial), Dacomitinib</w:t>
            </w:r>
          </w:p>
        </w:tc>
        <w:tc>
          <w:tcPr>
            <w:tcW w:w="0" w:type="auto"/>
            <w:hideMark/>
          </w:tcPr>
          <w:p w14:paraId="46EF11E5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Constitutive disulfide-linked homodimers; impaired T-DM1 internalization</w:t>
            </w:r>
          </w:p>
        </w:tc>
        <w:tc>
          <w:tcPr>
            <w:tcW w:w="0" w:type="auto"/>
            <w:hideMark/>
          </w:tcPr>
          <w:p w14:paraId="5C8E4AC4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Moderate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robust preclinical, limited patient correlation</w:t>
            </w:r>
          </w:p>
        </w:tc>
        <w:tc>
          <w:tcPr>
            <w:tcW w:w="0" w:type="auto"/>
            <w:hideMark/>
          </w:tcPr>
          <w:p w14:paraId="59D73378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Not represented (splice variant absent)</w:t>
            </w:r>
          </w:p>
        </w:tc>
        <w:tc>
          <w:tcPr>
            <w:tcW w:w="0" w:type="auto"/>
            <w:hideMark/>
          </w:tcPr>
          <w:p w14:paraId="2FDE5C82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Mitra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Oncogene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2009; Castiglioni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Oncogene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2014; Ferretti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Mol Cancer Ther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2020</w:t>
            </w:r>
          </w:p>
        </w:tc>
      </w:tr>
      <w:tr w:rsidR="002E261F" w:rsidRPr="002E261F" w14:paraId="2174DDCF" w14:textId="77777777" w:rsidTr="002E261F">
        <w:tc>
          <w:tcPr>
            <w:tcW w:w="0" w:type="auto"/>
            <w:hideMark/>
          </w:tcPr>
          <w:p w14:paraId="25C07CEB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L755S</w:t>
            </w:r>
          </w:p>
        </w:tc>
        <w:tc>
          <w:tcPr>
            <w:tcW w:w="0" w:type="auto"/>
            <w:hideMark/>
          </w:tcPr>
          <w:p w14:paraId="648511F8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Lapatinib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 xml:space="preserve">, Trastuzumab,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Pertuzumab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, partial T-DM1</w:t>
            </w:r>
          </w:p>
        </w:tc>
        <w:tc>
          <w:tcPr>
            <w:tcW w:w="0" w:type="auto"/>
            <w:hideMark/>
          </w:tcPr>
          <w:p w14:paraId="600F5130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Afatinib, Neratinib</w:t>
            </w:r>
          </w:p>
        </w:tc>
        <w:tc>
          <w:tcPr>
            <w:tcW w:w="0" w:type="auto"/>
            <w:hideMark/>
          </w:tcPr>
          <w:p w14:paraId="46AA8AC9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Kinase-domain substitution destabilizes inactive conformation required for reversible TKI binding</w:t>
            </w:r>
          </w:p>
        </w:tc>
        <w:tc>
          <w:tcPr>
            <w:tcW w:w="0" w:type="auto"/>
            <w:hideMark/>
          </w:tcPr>
          <w:p w14:paraId="179B0D86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Moderate to Strong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preclinical + case reports + ctDNA series</w:t>
            </w:r>
          </w:p>
        </w:tc>
        <w:tc>
          <w:tcPr>
            <w:tcW w:w="0" w:type="auto"/>
            <w:hideMark/>
          </w:tcPr>
          <w:p w14:paraId="3262929D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BindingDB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includes WT HER2–TKI affinities (lapatinib, neratinib, afatinib); mutant modeled computationally</w:t>
            </w:r>
          </w:p>
        </w:tc>
        <w:tc>
          <w:tcPr>
            <w:tcW w:w="0" w:type="auto"/>
            <w:hideMark/>
          </w:tcPr>
          <w:p w14:paraId="0A9F6F13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Bose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Cancer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Discov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2013; Hanker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Clin Cancer Res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2017; LoRusso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Breast Cancer Res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2022</w:t>
            </w:r>
          </w:p>
        </w:tc>
      </w:tr>
      <w:tr w:rsidR="002E261F" w:rsidRPr="002E261F" w14:paraId="7D1F3EAC" w14:textId="77777777" w:rsidTr="002E261F">
        <w:tc>
          <w:tcPr>
            <w:tcW w:w="0" w:type="auto"/>
            <w:hideMark/>
          </w:tcPr>
          <w:p w14:paraId="1B6E00A1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K753E</w:t>
            </w:r>
          </w:p>
        </w:tc>
        <w:tc>
          <w:tcPr>
            <w:tcW w:w="0" w:type="auto"/>
            <w:hideMark/>
          </w:tcPr>
          <w:p w14:paraId="661ADD54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Lapatinib</w:t>
            </w:r>
          </w:p>
        </w:tc>
        <w:tc>
          <w:tcPr>
            <w:tcW w:w="0" w:type="auto"/>
            <w:hideMark/>
          </w:tcPr>
          <w:p w14:paraId="2FA9CC3D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Neratinib</w:t>
            </w:r>
          </w:p>
        </w:tc>
        <w:tc>
          <w:tcPr>
            <w:tcW w:w="0" w:type="auto"/>
            <w:hideMark/>
          </w:tcPr>
          <w:p w14:paraId="200D0925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Alters ATP-binding-site electrostatics, reducing reversible TKI affinity</w:t>
            </w:r>
          </w:p>
        </w:tc>
        <w:tc>
          <w:tcPr>
            <w:tcW w:w="0" w:type="auto"/>
            <w:hideMark/>
          </w:tcPr>
          <w:p w14:paraId="2F2480C6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Limited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functional assays only</w:t>
            </w:r>
          </w:p>
        </w:tc>
        <w:tc>
          <w:tcPr>
            <w:tcW w:w="0" w:type="auto"/>
            <w:hideMark/>
          </w:tcPr>
          <w:p w14:paraId="266CE57A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✅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Indirect support via WT HER2–TKI entries; mutant modeled in literature</w:t>
            </w:r>
          </w:p>
        </w:tc>
        <w:tc>
          <w:tcPr>
            <w:tcW w:w="0" w:type="auto"/>
            <w:hideMark/>
          </w:tcPr>
          <w:p w14:paraId="3AAC3FFA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Kancha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J Biol Chem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2011; Hanker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Clin Cancer Res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2017</w:t>
            </w:r>
          </w:p>
        </w:tc>
      </w:tr>
      <w:tr w:rsidR="002E261F" w:rsidRPr="002E261F" w14:paraId="576E8E25" w14:textId="77777777" w:rsidTr="002E261F">
        <w:tc>
          <w:tcPr>
            <w:tcW w:w="0" w:type="auto"/>
            <w:hideMark/>
          </w:tcPr>
          <w:p w14:paraId="32B4390E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S310F</w:t>
            </w:r>
          </w:p>
        </w:tc>
        <w:tc>
          <w:tcPr>
            <w:tcW w:w="0" w:type="auto"/>
            <w:hideMark/>
          </w:tcPr>
          <w:p w14:paraId="46FDAF91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Pertuzumab, Trastuzumab (partial)</w:t>
            </w:r>
          </w:p>
        </w:tc>
        <w:tc>
          <w:tcPr>
            <w:tcW w:w="0" w:type="auto"/>
            <w:hideMark/>
          </w:tcPr>
          <w:p w14:paraId="0D453395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Cetuximab, Lapatinib, Gefitinib, Neratinib</w:t>
            </w:r>
          </w:p>
        </w:tc>
        <w:tc>
          <w:tcPr>
            <w:tcW w:w="0" w:type="auto"/>
            <w:hideMark/>
          </w:tcPr>
          <w:p w14:paraId="32D88FCE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ECD mutation promotes constitutive HER2–EGFR heterodimers and sterically blocks pertuzumab binding</w:t>
            </w:r>
          </w:p>
        </w:tc>
        <w:tc>
          <w:tcPr>
            <w:tcW w:w="0" w:type="auto"/>
            <w:hideMark/>
          </w:tcPr>
          <w:p w14:paraId="39119FE9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Moderate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— functional validation + clinical sequencing cases</w:t>
            </w:r>
          </w:p>
        </w:tc>
        <w:tc>
          <w:tcPr>
            <w:tcW w:w="0" w:type="auto"/>
            <w:hideMark/>
          </w:tcPr>
          <w:p w14:paraId="743091D2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❌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Not represented in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BindingDB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(ECD mutations not captured in kinase assays)</w:t>
            </w:r>
          </w:p>
        </w:tc>
        <w:tc>
          <w:tcPr>
            <w:tcW w:w="0" w:type="auto"/>
            <w:hideMark/>
          </w:tcPr>
          <w:p w14:paraId="06571FE0" w14:textId="77777777" w:rsidR="002E261F" w:rsidRPr="002E261F" w:rsidRDefault="002E261F" w:rsidP="002E26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Greulich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PNAS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2012; Bose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Cancer </w:t>
            </w:r>
            <w:proofErr w:type="spellStart"/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Discov</w:t>
            </w:r>
            <w:proofErr w:type="spellEnd"/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2013; de Melo Gagliato </w:t>
            </w:r>
            <w:r w:rsidRPr="002E26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Clin Cancer Res</w:t>
            </w:r>
            <w:r w:rsidRPr="002E26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2019</w:t>
            </w:r>
          </w:p>
        </w:tc>
      </w:tr>
    </w:tbl>
    <w:p w14:paraId="5046281B" w14:textId="77777777" w:rsidR="00E31AE8" w:rsidRPr="00F6264D" w:rsidRDefault="00E31AE8" w:rsidP="00F6264D"/>
    <w:sectPr w:rsidR="00E31AE8" w:rsidRPr="00F6264D" w:rsidSect="00F6264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4D"/>
    <w:rsid w:val="002D2A2D"/>
    <w:rsid w:val="002E261F"/>
    <w:rsid w:val="006E6036"/>
    <w:rsid w:val="008C6831"/>
    <w:rsid w:val="00E31AE8"/>
    <w:rsid w:val="00F6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CF08"/>
  <w15:chartTrackingRefBased/>
  <w15:docId w15:val="{ABF63100-9BE1-4FCC-BF11-D04C0147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2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6264D"/>
    <w:rPr>
      <w:b/>
      <w:bCs/>
    </w:rPr>
  </w:style>
  <w:style w:type="character" w:styleId="Emphasis">
    <w:name w:val="Emphasis"/>
    <w:basedOn w:val="DefaultParagraphFont"/>
    <w:uiPriority w:val="20"/>
    <w:qFormat/>
    <w:rsid w:val="00F626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詠聖 陳</dc:creator>
  <cp:keywords/>
  <dc:description/>
  <cp:lastModifiedBy>詠聖 陳</cp:lastModifiedBy>
  <cp:revision>1</cp:revision>
  <dcterms:created xsi:type="dcterms:W3CDTF">2025-11-13T05:00:00Z</dcterms:created>
  <dcterms:modified xsi:type="dcterms:W3CDTF">2025-11-13T14:58:00Z</dcterms:modified>
</cp:coreProperties>
</file>