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Strategic Analysis: SKR Integration &amp; Revenue Model Response</w:t>
      </w:r>
    </w:p>
    <w:p>
      <w:pPr>
        <w:pStyle w:val="MdParagraph"/>
      </w:pPr>
      <w:r>
        <w:rPr>
          <w:rStyle w:val="MdStrong"/>
          <w:b/>
          <w:bCs/>
        </w:rPr>
        <w:t xml:space="preserve">To:</w:t>
      </w:r>
      <w:r>
        <w:t xml:space="preserve">C.I.C. &amp; coordination hub, indelible.Blob**</w:t>
      </w:r>
      <w:r>
        <w:br/>
        <w:t xml:space="preserve">From:** Agent 3, Business &amp; Strategy Lead**</w:t>
      </w:r>
      <w:r>
        <w:br/>
        <w:t xml:space="preserve">Date:** March 02, 2026</w:t>
      </w:r>
      <w:r>
        <w:rPr>
          <w:rStyle w:val="MdStrong"/>
          <w:b/>
          <w:bCs/>
        </w:rPr>
        <w:t xml:space="preserve">Subject:</w:t>
      </w:r>
      <w:r>
        <w:t xml:space="preserve"> Strategic Recommendations for the 6 Unresolved Questions in the SKR &amp; Revenue Model Briefing</w:t>
      </w:r>
    </w:p>
    <w:p>
      <w:pPr>
        <w:pStyle w:val="MdSpace"/>
        <w:spacing w:before="0" w:after="60"/>
      </w:pPr>
    </w:p>
    <w:p>
      <w:pPr>
        <w:pStyle w:val="Heading3"/>
        <w:pStyle w:val="MdHeading3"/>
      </w:pPr>
      <w:r>
        <w:rPr>
          <w:rStyle w:val="MdStrong"/>
          <w:b/>
          <w:bCs/>
        </w:rPr>
        <w:t xml:space="preserve">Executive Summary</w:t>
      </w:r>
    </w:p>
    <w:p>
      <w:pPr>
        <w:pStyle w:val="MdParagraph"/>
      </w:pPr>
      <w:r>
        <w:t xml:space="preserve">This document provides strategic analysis and actionable recommendations for the six open questions presented in the </w:t>
      </w:r>
      <w:r>
        <w:rPr>
          <w:rStyle w:val="MdCode"/>
          <w:u w:val="single"/>
        </w:rPr>
        <w:t xml:space="preserve">indelible.Blob_SKRIntegration&amp;RevenueModelBriefing.md</w:t>
      </w:r>
      <w:r>
        <w:t xml:space="preserve">. The proposed model is exceptionally strong, creating a sustainable, revenue-funded ecosystem. The following recommendations are designed to refine this model into a defensible, market-ready strategy that aligns with our core values and maximizes our chances of winning the MONOLITH hackathon's </w:t>
      </w:r>
      <w:r>
        <w:rPr>
          <w:rStyle w:val="MdStrong"/>
          <w:b/>
          <w:bCs/>
        </w:rPr>
        <w:t xml:space="preserve">$10,000 SKR integration prize</w:t>
      </w:r>
      <w:r>
        <w:t xml:space="preserve">.</w:t>
      </w:r>
    </w:p>
    <w:p>
      <w:pPr>
        <w:pStyle w:val="MdSpace"/>
        <w:spacing w:before="0" w:after="60"/>
      </w:pPr>
    </w:p>
    <w:p>
      <w:pPr>
        <w:pStyle w:val="MdParagraph"/>
      </w:pPr>
      <w:r>
        <w:t xml:space="preserve">My analysis is based on the briefing provided, supplemented by market research on SKR token economics, competitor SaaS pricing for verification and insurance-tech, and the strategic positioning of the C2PA standard.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Question 1: Fee Split Ratios — What's Defensible?</w:t>
      </w:r>
    </w:p>
    <w:p>
      <w:pPr>
        <w:pStyle w:val="MdParagraph"/>
      </w:pPr>
      <w:r>
        <w:rPr>
          <w:rStyle w:val="MdStrong"/>
          <w:b/>
          <w:bCs/>
        </w:rPr>
        <w:t xml:space="preserve">Analysis:</w:t>
      </w:r>
      <w:r>
        <w:t xml:space="preserve"> As an unfunded startup, solvency is paramount. The treasury must be prioritized to cover operational costs (server hosting, gas fees for protocol actions, future development) before any rewards can be distributed. However, the creator rewards must be meaningful enough to bootstrap the supply side of the content network. A purely extractive model will fail.</w:t>
      </w:r>
    </w:p>
    <w:p>
      <w:pPr>
        <w:pStyle w:val="MdSpace"/>
        <w:spacing w:before="0" w:after="60"/>
      </w:pPr>
    </w:p>
    <w:p>
      <w:pPr>
        <w:pStyle w:val="MdParagraph"/>
      </w:pPr>
      <w:r>
        <w:rPr>
          <w:rStyle w:val="MdStrong"/>
          <w:b/>
          <w:bCs/>
        </w:rPr>
        <w:t xml:space="preserve">Recommendation:</w:t>
      </w:r>
      <w:r>
        <w:t xml:space="preserve"> Start with a </w:t>
      </w:r>
      <w:r>
        <w:rPr>
          <w:rStyle w:val="MdStrong"/>
          <w:b/>
          <w:bCs/>
        </w:rPr>
        <w:t xml:space="preserve">Treasury-first</w:t>
      </w:r>
      <w:r>
        <w:t xml:space="preserve"> model that transitions to a more balanced split as revenue milestones are met. This provides a clear, transparent path for the community and creators.</w:t>
      </w:r>
    </w:p>
    <w:p>
      <w:pPr>
        <w:pStyle w:val="MdSpace"/>
        <w:spacing w:before="0" w:after="60"/>
      </w:pPr>
    </w:p>
    <w:p>
      <w:pPr>
        <w:pStyle w:val="MdParagraph"/>
      </w:pPr>
      <w:r>
        <w:rPr>
          <w:rStyle w:val="MdStrong"/>
          <w:b/>
          <w:bCs/>
        </w:rPr>
        <w:t xml:space="preserve">Proposed Initial Revenue Split (First 6-12 Months or &lt;$10k/month revenue):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Destination</w:t>
            </w:r>
          </w:p>
        </w:tc>
        <w:tc>
          <w:tcPr>
            <w:tcMar>
              <w:top w:type="dxa" w:w="100"/>
              <w:left w:type="dxa" w:w="120"/>
              <w:bottom w:type="dxa" w:w="100"/>
              <w:right w:type="dxa" w:w="120"/>
            </w:tcMar>
            <w:vAlign w:val="center"/>
          </w:tcPr>
          <w:p>
            <w:pPr>
              <w:pStyle w:val="MdTableHeader"/>
            </w:pPr>
            <w:r>
              <w:t xml:space="preserve">Percentage</w:t>
            </w:r>
          </w:p>
        </w:tc>
        <w:tc>
          <w:tcPr>
            <w:tcBorders>
              <w:right w:val="none"/>
            </w:tcBorders>
            <w:tcMar>
              <w:top w:type="dxa" w:w="100"/>
              <w:left w:type="dxa" w:w="120"/>
              <w:bottom w:type="dxa" w:w="100"/>
              <w:right w:type="dxa" w:w="120"/>
            </w:tcMar>
            <w:vAlign w:val="center"/>
          </w:tcPr>
          <w:p>
            <w:pPr>
              <w:pStyle w:val="MdTableHeader"/>
            </w:pPr>
            <w:r>
              <w:t xml:space="preserve">Rationale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Treasury</w:t>
            </w:r>
          </w:p>
        </w:tc>
        <w:tc>
          <w:tcPr>
            <w:tcMar>
              <w:top w:type="dxa" w:w="80"/>
              <w:left w:type="dxa" w:w="120"/>
              <w:bottom w:type="dxa" w:w="80"/>
              <w:right w:type="dxa" w:w="120"/>
            </w:tcMar>
            <w:vAlign w:val="center"/>
          </w:tcPr>
          <w:p>
            <w:pPr>
              <w:pStyle w:val="MdTableCell"/>
            </w:pPr>
            <w:r>
              <w:t xml:space="preserve">70%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Survival.</w:t>
            </w:r>
            <w:r>
              <w:t xml:space="preserve"> Covers all operational costs and builds a small runway. Ensures the protocol remains online and functional.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Creator Pool</w:t>
            </w:r>
          </w:p>
        </w:tc>
        <w:tc>
          <w:tcPr>
            <w:tcMar>
              <w:top w:type="dxa" w:w="80"/>
              <w:left w:type="dxa" w:w="120"/>
              <w:bottom w:type="dxa" w:w="80"/>
              <w:right w:type="dxa" w:w="120"/>
            </w:tcMar>
            <w:vAlign w:val="center"/>
          </w:tcPr>
          <w:p>
            <w:pPr>
              <w:pStyle w:val="MdTableCell"/>
            </w:pPr>
            <w:r>
              <w:t xml:space="preserve">20%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Viability.</w:t>
            </w:r>
            <w:r>
              <w:t xml:space="preserve"> Provides a tangible, albeit initially small, reward to the creators whose content generated the revenue.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Community Pool</w:t>
            </w:r>
          </w:p>
        </w:tc>
        <w:tc>
          <w:tcPr>
            <w:tcBorders>
              <w:bottom w:val="single" w:color="E1E4E8" w:sz="4"/>
            </w:tcBorders>
            <w:tcMar>
              <w:top w:type="dxa" w:w="80"/>
              <w:left w:type="dxa" w:w="120"/>
              <w:bottom w:type="dxa" w:w="80"/>
              <w:right w:type="dxa" w:w="120"/>
            </w:tcMar>
            <w:vAlign w:val="center"/>
          </w:tcPr>
          <w:p>
            <w:pPr>
              <w:pStyle w:val="MdTableCell"/>
            </w:pPr>
            <w:r>
              <w:t xml:space="preserve">10%</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Growth.</w:t>
            </w:r>
            <w:r>
              <w:t xml:space="preserve"> Seeds the governance pool for future grants, bounties, and ecosystem development, signaling long-term intent.</w:t>
            </w:r>
          </w:p>
        </w:tc>
      </w:tr>
    </w:tbl>
    <w:p>
      <w:pPr>
        <w:pStyle w:val="MdParagraph"/>
      </w:pPr>
      <w:r>
        <w:t xml:space="preserve">This initial 70/20/10 split is defensible to investors and the community as a pragmatic necessity for a bootstrapped venture. We can publicly commit to a governance vote to revise these splits once the treasury holds a 6-month operational runway or monthly revenue exceeds a set threshold (e.g., $25,000/month).</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Question 2: Pricing Sensitivity by Segment — Where is the First Dollar?</w:t>
      </w:r>
    </w:p>
    <w:p>
      <w:pPr>
        <w:pStyle w:val="MdParagraph"/>
      </w:pPr>
      <w:r>
        <w:rPr>
          <w:rStyle w:val="MdStrong"/>
          <w:b/>
          <w:bCs/>
        </w:rPr>
        <w:t xml:space="preserve">Analysis:</w:t>
      </w:r>
      <w:r>
        <w:t xml:space="preserve"> The goal is to find the segment with the highest willingness-to-pay and the shortest sales cycle. While freelance journalists and artists have a clear need, their purchasing power is low and sales are high-friction (one-by-one). Enterprise clients have long sales cycles. The sweet spot is the professional/B2B market where a verifiable, documented source of truth is a core operational requirement, not a luxury.</w:t>
      </w:r>
    </w:p>
    <w:p>
      <w:pPr>
        <w:pStyle w:val="MdSpace"/>
        <w:spacing w:before="0" w:after="60"/>
      </w:pPr>
    </w:p>
    <w:p>
      <w:pPr>
        <w:pStyle w:val="MdParagraph"/>
      </w:pPr>
      <w:r>
        <w:rPr>
          <w:rStyle w:val="MdStrong"/>
          <w:b/>
          <w:bCs/>
        </w:rPr>
        <w:t xml:space="preserve">Recommendation:</w:t>
      </w:r>
      <w:r>
        <w:t xml:space="preserve"> The </w:t>
      </w:r>
      <w:r>
        <w:rPr>
          <w:rStyle w:val="MdStrong"/>
          <w:b/>
          <w:bCs/>
        </w:rPr>
        <w:t xml:space="preserve">Insurance &amp; Adjusting</w:t>
      </w:r>
      <w:r>
        <w:t xml:space="preserve"> segment is the optimal beachhead market.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Factor</w:t>
            </w:r>
          </w:p>
        </w:tc>
        <w:tc>
          <w:tcPr>
            <w:tcMar>
              <w:top w:type="dxa" w:w="100"/>
              <w:left w:type="dxa" w:w="120"/>
              <w:bottom w:type="dxa" w:w="100"/>
              <w:right w:type="dxa" w:w="120"/>
            </w:tcMar>
            <w:vAlign w:val="center"/>
          </w:tcPr>
          <w:p>
            <w:pPr>
              <w:pStyle w:val="MdTableHeader"/>
            </w:pPr>
            <w:r>
              <w:t xml:space="preserve">Insurance &amp; Adjusting</w:t>
            </w:r>
          </w:p>
        </w:tc>
        <w:tc>
          <w:tcPr>
            <w:tcBorders>
              <w:right w:val="none"/>
            </w:tcBorders>
            <w:tcMar>
              <w:top w:type="dxa" w:w="100"/>
              <w:left w:type="dxa" w:w="120"/>
              <w:bottom w:type="dxa" w:w="100"/>
              <w:right w:type="dxa" w:w="120"/>
            </w:tcMar>
            <w:vAlign w:val="center"/>
          </w:tcPr>
          <w:p>
            <w:pPr>
              <w:pStyle w:val="MdTableHeader"/>
            </w:pPr>
            <w:r>
              <w:t xml:space="preserve">Other Segments (Journalism, Art)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Willingness to Pay</w:t>
            </w:r>
          </w:p>
        </w:tc>
        <w:tc>
          <w:tcPr>
            <w:tcMar>
              <w:top w:type="dxa" w:w="80"/>
              <w:left w:type="dxa" w:w="120"/>
              <w:bottom w:type="dxa" w:w="80"/>
              <w:right w:type="dxa" w:w="120"/>
            </w:tcMar>
            <w:vAlign w:val="center"/>
          </w:tcPr>
          <w:p>
            <w:pPr>
              <w:pStyle w:val="MdTableCell"/>
            </w:pPr>
            <w:r>
              <w:rPr>
                <w:rStyle w:val="MdStrong"/>
                <w:b/>
                <w:bCs/>
              </w:rPr>
              <w:t xml:space="preserve">High.</w:t>
            </w:r>
            <w:r>
              <w:t xml:space="preserve"> An $80 billion annual fraud problem creates a massive incentive to pay for solutions that reduce claim leakage. [1]</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Low to Medium.</w:t>
            </w:r>
            <w:r>
              <w:t xml:space="preserve"> Budgets are tight; value is less directly quantifiable in dollars.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Sales Cycle</w:t>
            </w:r>
          </w:p>
        </w:tc>
        <w:tc>
          <w:tcPr>
            <w:tcMar>
              <w:top w:type="dxa" w:w="80"/>
              <w:left w:type="dxa" w:w="120"/>
              <w:bottom w:type="dxa" w:w="80"/>
              <w:right w:type="dxa" w:w="120"/>
            </w:tcMar>
            <w:vAlign w:val="center"/>
          </w:tcPr>
          <w:p>
            <w:pPr>
              <w:pStyle w:val="MdTableCell"/>
            </w:pPr>
            <w:r>
              <w:rPr>
                <w:rStyle w:val="MdStrong"/>
                <w:b/>
                <w:bCs/>
              </w:rPr>
              <w:t xml:space="preserve">Medium.</w:t>
            </w:r>
            <w:r>
              <w:t xml:space="preserve"> While enterprise-level deals are slow, selling to independent adjusting firms or small-to-midsize carriers can be faster.</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Short (Individual) to Long (Enterprise).</w:t>
            </w:r>
            <w:r>
              <w:t xml:space="preserve"> Selling to a single journalist is fast but low value. Selling to a news organization is slow.</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Value Proposition</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Clear ROI.</w:t>
            </w:r>
            <w:r>
              <w:t xml:space="preserve"> A verifiable photo of property damage can directly prevent a fraudulent payout, saving the carrier thousands of dollars on a single claim.</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Soft ROI.</w:t>
            </w:r>
            <w:r>
              <w:t xml:space="preserve"> Value is in brand trust, accuracy, and avoiding retractions, which is harder to price.</w:t>
            </w:r>
          </w:p>
        </w:tc>
      </w:tr>
    </w:tbl>
    <w:p>
      <w:pPr>
        <w:pStyle w:val="MdParagraph"/>
      </w:pPr>
      <w:r>
        <w:rPr>
          <w:rStyle w:val="MdStrong"/>
          <w:b/>
          <w:bCs/>
        </w:rPr>
        <w:t xml:space="preserve">Action Plan:</w:t>
      </w:r>
      <w:r>
        <w:t xml:space="preserve"> Focus all initial marketing and sales efforts on insurance adjusters and claims processors. The "Verification Bundle" deliverable is the perfect Minimum Viable Product for this segment. We can price this per-report (e.g., $5-$10 per bundle) or as a small monthly subscription for independent adjusters.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Question 3: The SKR Discount — How Deep?</w:t>
      </w:r>
    </w:p>
    <w:p>
      <w:pPr>
        <w:pStyle w:val="MdParagraph"/>
      </w:pPr>
      <w:r>
        <w:rPr>
          <w:rStyle w:val="MdStrong"/>
          <w:b/>
          <w:bCs/>
        </w:rPr>
        <w:t xml:space="preserve">Analysis:</w:t>
      </w:r>
      <w:r>
        <w:t xml:space="preserve"> The SKR discount is not just a pricing tactic; it is a strategic investment in ecosystem alignment. Winning the "Best SKR Integration" prize ($10,000 in SKR) and gaining favor with the Solana Mobile team for dApp store placement has a value far exceeding the margin lost on the discount. The current SKR price is ~$0.022, meaning the prize is a significant non-dilutive funding event. [2]</w:t>
      </w:r>
    </w:p>
    <w:p>
      <w:pPr>
        <w:pStyle w:val="MdSpace"/>
        <w:spacing w:before="0" w:after="60"/>
      </w:pPr>
    </w:p>
    <w:p>
      <w:pPr>
        <w:pStyle w:val="MdParagraph"/>
      </w:pPr>
      <w:r>
        <w:rPr>
          <w:rStyle w:val="MdStrong"/>
          <w:b/>
          <w:bCs/>
        </w:rPr>
        <w:t xml:space="preserve">Recommendation:</w:t>
      </w:r>
      <w:r>
        <w:t xml:space="preserve"> Be aggressive. A </w:t>
      </w:r>
      <w:r>
        <w:rPr>
          <w:rStyle w:val="MdStrong"/>
          <w:b/>
          <w:bCs/>
        </w:rPr>
        <w:t xml:space="preserve">25% discount</w:t>
      </w:r>
      <w:r>
        <w:t xml:space="preserve"> for payments made in SKR is a powerful statement.</w:t>
      </w:r>
    </w:p>
    <w:p>
      <w:pPr>
        <w:pStyle w:val="MdSpace"/>
        <w:spacing w:before="0" w:after="60"/>
      </w:pPr>
    </w:p>
    <w:p>
      <w:pPr>
        <w:pStyle w:val="MdListItem"/>
        <w:numPr>
          <w:ilvl w:val="0"/>
          <w:numId w:val="2"/>
        </w:numPr>
      </w:pPr>
      <w:r>
        <w:rPr>
          <w:rStyle w:val="MdStrong"/>
          <w:b/>
          <w:bCs/>
        </w:rPr>
        <w:t xml:space="preserve">Narrative:</w:t>
      </w:r>
      <w:r>
        <w:t xml:space="preserve"> It signals deep, meaningful commitment to the Solana Mobile ecosystem, not a superficial attempt to qualify for the prize.</w:t>
      </w:r>
    </w:p>
    <w:p>
      <w:pPr>
        <w:pStyle w:val="MdListItem"/>
        <w:numPr>
          <w:ilvl w:val="0"/>
          <w:numId w:val="2"/>
        </w:numPr>
      </w:pPr>
      <w:r>
        <w:rPr>
          <w:rStyle w:val="MdStrong"/>
          <w:b/>
          <w:bCs/>
        </w:rPr>
        <w:t xml:space="preserve">Acquisition Cost:</w:t>
      </w:r>
      <w:r>
        <w:t xml:space="preserve"> Frame the 25% discount as a Customer Acquisition Cost (CAC) to acquire not just customers, but also the strategic backing of the Solana Mobile team.</w:t>
      </w:r>
    </w:p>
    <w:p>
      <w:pPr>
        <w:pStyle w:val="MdListItem"/>
        <w:numPr>
          <w:ilvl w:val="0"/>
          <w:numId w:val="2"/>
        </w:numPr>
      </w:pPr>
      <w:r>
        <w:rPr>
          <w:rStyle w:val="MdStrong"/>
          <w:b/>
          <w:bCs/>
        </w:rPr>
        <w:t xml:space="preserve">Demand Driver:</w:t>
      </w:r>
      <w:r>
        <w:t xml:space="preserve"> A significant discount creates real utility and a tangible reason for users to acquire and hold SKR, contributing to the health of the token ecosystem.</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Question 4: Fiat Premium — Will It Alienate Enterprise Customers?</w:t>
      </w:r>
    </w:p>
    <w:p>
      <w:pPr>
        <w:pStyle w:val="MdParagraph"/>
      </w:pPr>
      <w:r>
        <w:rPr>
          <w:rStyle w:val="MdStrong"/>
          <w:b/>
          <w:bCs/>
        </w:rPr>
        <w:t xml:space="preserve">Analysis:</w:t>
      </w:r>
      <w:r>
        <w:t xml:space="preserve"> A fiat premium is a deal-killer for enterprise customers. Procurement departments in large insurance carriers operate in fiat and have rigid processes. Forcing them to pay a surcharge for using their required payment method introduces unnecessary friction and signals that we are difficult to do business with.</w:t>
      </w:r>
    </w:p>
    <w:p>
      <w:pPr>
        <w:pStyle w:val="MdSpace"/>
        <w:spacing w:before="0" w:after="60"/>
      </w:pPr>
    </w:p>
    <w:p>
      <w:pPr>
        <w:pStyle w:val="MdParagraph"/>
      </w:pPr>
      <w:r>
        <w:rPr>
          <w:rStyle w:val="MdStrong"/>
          <w:b/>
          <w:bCs/>
        </w:rPr>
        <w:t xml:space="preserve">Recommendation:</w:t>
      </w:r>
      <w:r>
        <w:t xml:space="preserve"> </w:t>
      </w:r>
      <w:r>
        <w:rPr>
          <w:rStyle w:val="MdStrong"/>
          <w:b/>
          <w:bCs/>
        </w:rPr>
        <w:t xml:space="preserve">Do not charge a fiat premium.</w:t>
      </w:r>
      <w:r>
        <w:t xml:space="preserve"> Price all tiers at a standard USD rate. The SKR discount should be the </w:t>
      </w:r>
      <w:r>
        <w:rPr>
          <w:rStyle w:val="MdEm"/>
          <w:i/>
          <w:iCs/>
        </w:rPr>
        <w:t xml:space="preserve">only</w:t>
      </w:r>
      <w:r>
        <w:t xml:space="preserve"> pricing variable.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Payment Method</w:t>
            </w:r>
          </w:p>
        </w:tc>
        <w:tc>
          <w:tcPr>
            <w:tcBorders>
              <w:right w:val="none"/>
            </w:tcBorders>
            <w:tcMar>
              <w:top w:type="dxa" w:w="100"/>
              <w:left w:type="dxa" w:w="120"/>
              <w:bottom w:type="dxa" w:w="100"/>
              <w:right w:type="dxa" w:w="120"/>
            </w:tcMar>
            <w:vAlign w:val="center"/>
          </w:tcPr>
          <w:p>
            <w:pPr>
              <w:pStyle w:val="MdTableHeader"/>
            </w:pPr>
            <w:r>
              <w:t xml:space="preserve">Proposed 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SKR</w:t>
            </w:r>
          </w:p>
        </w:tc>
        <w:tc>
          <w:tcPr>
            <w:tcBorders>
              <w:right w:val="none"/>
            </w:tcBorders>
            <w:tcMar>
              <w:top w:type="dxa" w:w="80"/>
              <w:left w:type="dxa" w:w="120"/>
              <w:bottom w:type="dxa" w:w="80"/>
              <w:right w:type="dxa" w:w="120"/>
            </w:tcMar>
            <w:vAlign w:val="center"/>
          </w:tcPr>
          <w:p>
            <w:pPr>
              <w:pStyle w:val="MdTableCell"/>
            </w:pPr>
            <w:r>
              <w:t xml:space="preserve">Standard Price - 25% Discount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USD / USDC / USDT</w:t>
            </w:r>
          </w:p>
        </w:tc>
        <w:tc>
          <w:tcPr>
            <w:tcBorders>
              <w:right w:val="none"/>
            </w:tcBorders>
            <w:tcMar>
              <w:top w:type="dxa" w:w="80"/>
              <w:left w:type="dxa" w:w="120"/>
              <w:bottom w:type="dxa" w:w="80"/>
              <w:right w:type="dxa" w:w="120"/>
            </w:tcMar>
            <w:vAlign w:val="center"/>
          </w:tcPr>
          <w:p>
            <w:pPr>
              <w:pStyle w:val="MdTableCell"/>
            </w:pPr>
            <w:r>
              <w:t xml:space="preserve">Standard Price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SOL / SUI / BTC</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Standard Price (at real-time conversion rate)</w:t>
            </w:r>
          </w:p>
        </w:tc>
      </w:tr>
    </w:tbl>
    <w:p>
      <w:pPr>
        <w:pStyle w:val="MdParagraph"/>
      </w:pPr>
      <w:r>
        <w:t xml:space="preserve">This model positions SKR as a value-add incentive, not fiat as a penalty. It makes us easy to adopt for large, lucrative enterprise clients while still heavily encouraging crypto-native payment.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Question 5: C2PA Compatibility — Strategic or Premature?</w:t>
      </w:r>
    </w:p>
    <w:p>
      <w:pPr>
        <w:pStyle w:val="MdParagraph"/>
      </w:pPr>
      <w:r>
        <w:rPr>
          <w:rStyle w:val="MdStrong"/>
          <w:b/>
          <w:bCs/>
        </w:rPr>
        <w:t xml:space="preserve">Analysis:</w:t>
      </w:r>
      <w:r>
        <w:t xml:space="preserve"> This is not a distraction; it is a critical strategic imperative. The C2PA standard is being rapidly adopted by every major player in media and tech (Adobe, Microsoft, Google, Meta, BBC). [3] Research from competitors like Numbers Protocol shows that C2PA and blockchain are </w:t>
      </w:r>
      <w:r>
        <w:rPr>
          <w:rStyle w:val="MdStrong"/>
          <w:b/>
          <w:bCs/>
        </w:rPr>
        <w:t xml:space="preserve">complementary technologies.</w:t>
      </w:r>
      <w:r>
        <w:t xml:space="preserve"> C2PA provides the interoperable metadata standard, while blockchain provides the immutable, decentralized persistence that C2PA lacks. C2PA metadata can be stripped; a blockchain record cannot.</w:t>
      </w:r>
    </w:p>
    <w:p>
      <w:pPr>
        <w:pStyle w:val="MdSpace"/>
        <w:spacing w:before="0" w:after="60"/>
      </w:pPr>
    </w:p>
    <w:p>
      <w:pPr>
        <w:pStyle w:val="MdParagraph"/>
      </w:pPr>
      <w:r>
        <w:rPr>
          <w:rStyle w:val="MdStrong"/>
          <w:b/>
          <w:bCs/>
        </w:rPr>
        <w:t xml:space="preserve">Recommendation:</w:t>
      </w:r>
      <w:r>
        <w:t xml:space="preserve"> Position indelible.Blob as the </w:t>
      </w:r>
      <w:r>
        <w:rPr>
          <w:rStyle w:val="MdStrong"/>
          <w:b/>
          <w:bCs/>
        </w:rPr>
        <w:t xml:space="preserve">bridge between the C2PA standard and permanent on-chain immutability.</w:t>
      </w:r>
    </w:p>
    <w:p>
      <w:pPr>
        <w:pStyle w:val="MdSpace"/>
        <w:spacing w:before="0" w:after="60"/>
      </w:pPr>
    </w:p>
    <w:p>
      <w:pPr>
        <w:pStyle w:val="MdListItem"/>
        <w:numPr>
          <w:ilvl w:val="0"/>
          <w:numId w:val="2"/>
        </w:numPr>
      </w:pPr>
      <w:r>
        <w:rPr>
          <w:rStyle w:val="MdStrong"/>
          <w:b/>
          <w:bCs/>
        </w:rPr>
        <w:t xml:space="preserve">Strategic Narrative:</w:t>
      </w:r>
      <w:r>
        <w:t xml:space="preserve"> "We embrace the C2PA standard for maximum interoperability and enhance it with the unbreakable security of a multi-chain, decentralized ledger."</w:t>
      </w:r>
    </w:p>
    <w:p>
      <w:pPr>
        <w:pStyle w:val="MdListItem"/>
        <w:numPr>
          <w:ilvl w:val="0"/>
          <w:numId w:val="2"/>
        </w:numPr>
      </w:pPr>
      <w:r>
        <w:rPr>
          <w:rStyle w:val="MdStrong"/>
          <w:b/>
          <w:bCs/>
        </w:rPr>
        <w:t xml:space="preserve">Competitive Moat:</w:t>
      </w:r>
      <w:r>
        <w:t xml:space="preserve"> This hybrid approach is our moat. We are not competing with C2PA; we are making it stronger and more trustworthy.</w:t>
      </w:r>
    </w:p>
    <w:p>
      <w:pPr>
        <w:pStyle w:val="MdListItem"/>
        <w:numPr>
          <w:ilvl w:val="0"/>
          <w:numId w:val="2"/>
        </w:numPr>
      </w:pPr>
      <w:r>
        <w:rPr>
          <w:rStyle w:val="MdStrong"/>
          <w:b/>
          <w:bCs/>
        </w:rPr>
        <w:t xml:space="preserve">Hackathon Angle:</w:t>
      </w:r>
      <w:r>
        <w:t xml:space="preserve"> This narrative is sophisticated and demonstrates a deep understanding of the market, which will impress judges.</w:t>
      </w:r>
    </w:p>
    <w:p>
      <w:pPr>
        <w:pStyle w:val="MdSpace"/>
        <w:spacing w:before="0" w:after="60"/>
      </w:pPr>
    </w:p>
    <w:p>
      <w:pPr>
        <w:pStyle w:val="MdParagraph"/>
      </w:pPr>
      <w:r>
        <w:rPr>
          <w:rStyle w:val="MdStrong"/>
          <w:b/>
          <w:bCs/>
        </w:rPr>
        <w:t xml:space="preserve">Action Plan:</w:t>
      </w:r>
      <w:r>
        <w:t xml:space="preserve"> The "Provenance Certificate" deliverable should be implemented as a C2PA-compliant sidecar file that includes a link to the on-chain verification record. This is the best of both worlds.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rPr>
          <w:rStyle w:val="MdStrong"/>
          <w:b/>
          <w:bCs/>
        </w:rPr>
        <w:t xml:space="preserve">Question 6: The Marketplace Question — When, Not If?</w:t>
      </w:r>
    </w:p>
    <w:p>
      <w:pPr>
        <w:pStyle w:val="MdParagraph"/>
      </w:pPr>
      <w:r>
        <w:rPr>
          <w:rStyle w:val="MdStrong"/>
          <w:b/>
          <w:bCs/>
        </w:rPr>
        <w:t xml:space="preserve">Analysis:</w:t>
      </w:r>
      <w:r>
        <w:t xml:space="preserve"> A full peer-to-peer marketplace for licensing verified content is a powerful long-term vision, but it is a significant engineering undertaking. For the hackathon and our initial go-to-market, we must focus on the most direct path to revenue and demonstrating the core value proposition.</w:t>
      </w:r>
    </w:p>
    <w:p>
      <w:pPr>
        <w:pStyle w:val="MdSpace"/>
        <w:spacing w:before="0" w:after="60"/>
      </w:pPr>
    </w:p>
    <w:p>
      <w:pPr>
        <w:pStyle w:val="MdParagraph"/>
      </w:pPr>
      <w:r>
        <w:rPr>
          <w:rStyle w:val="MdStrong"/>
          <w:b/>
          <w:bCs/>
        </w:rPr>
        <w:t xml:space="preserve">Recommendation:</w:t>
      </w:r>
      <w:r>
        <w:t xml:space="preserve"> The </w:t>
      </w:r>
      <w:r>
        <w:rPr>
          <w:rStyle w:val="MdStrong"/>
          <w:b/>
          <w:bCs/>
        </w:rPr>
        <w:t xml:space="preserve">Minimum Viable Marketplace (MVM) is the API.</w:t>
      </w:r>
    </w:p>
    <w:p>
      <w:pPr>
        <w:pStyle w:val="MdSpace"/>
        <w:spacing w:before="0" w:after="60"/>
      </w:pPr>
    </w:p>
    <w:p>
      <w:pPr>
        <w:pStyle w:val="MdListItem"/>
        <w:numPr>
          <w:ilvl w:val="0"/>
          <w:numId w:val="2"/>
        </w:numPr>
      </w:pPr>
      <w:r>
        <w:rPr>
          <w:rStyle w:val="MdStrong"/>
          <w:b/>
          <w:bCs/>
        </w:rPr>
        <w:t xml:space="preserve">The "Product" is Verification:</w:t>
      </w:r>
      <w:r>
        <w:t xml:space="preserve"> The core economic engine is the </w:t>
      </w:r>
      <w:r>
        <w:rPr>
          <w:rStyle w:val="MdEm"/>
          <w:i/>
          <w:iCs/>
        </w:rPr>
        <w:t xml:space="preserve">consumption</w:t>
      </w:r>
      <w:r>
        <w:t xml:space="preserve"> of verification data by professionals and enterprises, not the trading of the content itself.</w:t>
      </w:r>
    </w:p>
    <w:p>
      <w:pPr>
        <w:pStyle w:val="MdListItem"/>
        <w:numPr>
          <w:ilvl w:val="0"/>
          <w:numId w:val="2"/>
        </w:numPr>
      </w:pPr>
      <w:r>
        <w:rPr>
          <w:rStyle w:val="MdStrong"/>
          <w:b/>
          <w:bCs/>
        </w:rPr>
        <w:t xml:space="preserve">API as a Marketplace:</w:t>
      </w:r>
      <w:r>
        <w:t xml:space="preserve"> The Tier 3 Enterprise API </w:t>
      </w:r>
      <w:r>
        <w:rPr>
          <w:rStyle w:val="MdEm"/>
          <w:i/>
          <w:iCs/>
        </w:rPr>
        <w:t xml:space="preserve">is</w:t>
      </w:r>
      <w:r>
        <w:t xml:space="preserve"> a marketplace. It's a B2B marketplace where businesses pay for access to a stream of verifiable data.</w:t>
      </w:r>
    </w:p>
    <w:p>
      <w:pPr>
        <w:pStyle w:val="MdListItem"/>
        <w:numPr>
          <w:ilvl w:val="0"/>
          <w:numId w:val="2"/>
        </w:numPr>
      </w:pPr>
      <w:r>
        <w:rPr>
          <w:rStyle w:val="MdStrong"/>
          <w:b/>
          <w:bCs/>
        </w:rPr>
        <w:t xml:space="preserve">Focus for Hackathon:</w:t>
      </w:r>
      <w:r>
        <w:t xml:space="preserve"> The submission should focus entirely on the capture-to-verification flow and the professional/API consumption tiers. The peer-to-peer marketplace should be clearly articulated as a </w:t>
      </w:r>
      <w:r>
        <w:rPr>
          <w:rStyle w:val="MdStrong"/>
          <w:b/>
          <w:bCs/>
        </w:rPr>
        <w:t xml:space="preserve">post-hackathon roadmap item</w:t>
      </w:r>
      <w:r>
        <w:t xml:space="preserve"> in the pitch deck, demonstrating a clear vision for future growth.</w:t>
      </w:r>
    </w:p>
    <w:p>
      <w:pPr>
        <w:pStyle w:val="MdSpace"/>
        <w:spacing w:before="0" w:after="60"/>
      </w:pPr>
    </w:p>
    <w:p>
      <w:pPr>
        <w:pStyle w:val="MdParagraph"/>
      </w:pPr>
      <w:r>
        <w:t xml:space="preserve">This approach allows us to present a complete, revenue-generating business model within the hackathon scope, without over-promising on a complex feature that is not yet built.</w:t>
      </w:r>
    </w:p>
    <w:p>
      <w:pPr>
        <w:pStyle w:val="MdSpace"/>
        <w:spacing w:before="0" w:after="60"/>
      </w:pPr>
    </w:p>
    <w:p>
      <w:pPr>
        <w:pStyle w:val="Heading3"/>
        <w:pStyle w:val="MdHeading3"/>
      </w:pPr>
      <w:r>
        <w:rPr>
          <w:rStyle w:val="MdStrong"/>
          <w:b/>
          <w:bCs/>
        </w:rPr>
        <w:t xml:space="preserve">References</w:t>
      </w:r>
    </w:p>
    <w:p>
      <w:pPr>
        <w:pStyle w:val="MdParagraph"/>
      </w:pPr>
      <w:r>
        <w:t xml:space="preserve">[1]: # "Capterra. "Claims Processing Software - Prices &amp; Reviews." Accessed March 2, 2026."</w:t>
      </w:r>
    </w:p>
    <w:p>
      <w:pPr>
        <w:pStyle w:val="MdSpace"/>
        <w:spacing w:before="0" w:after="60"/>
      </w:pPr>
    </w:p>
    <w:p>
      <w:pPr>
        <w:pStyle w:val="MdParagraph"/>
      </w:pPr>
      <w:r>
        <w:t xml:space="preserve">[2]: # "CoinGecko. "Seeker Price." Accessed March 2, 2026."</w:t>
      </w:r>
    </w:p>
    <w:p>
      <w:pPr>
        <w:pStyle w:val="MdSpace"/>
        <w:spacing w:before="0" w:after="60"/>
      </w:pPr>
    </w:p>
    <w:p>
      <w:pPr>
        <w:pStyle w:val="MdParagraph"/>
      </w:pPr>
      <w:r>
        <w:t xml:space="preserve">[3]: # "C2PA. "C2PA | Verifying Media Content Sources." Accessed March 2, 2026."</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2026-03-02T19:35:25.850Z</dcterms:created>
  <dcterms:modified xsi:type="dcterms:W3CDTF">2026-03-02T19:35:25.850Z</dcterms:modified>
</cp:coreProperties>
</file>

<file path=docProps/custom.xml><?xml version="1.0" encoding="utf-8"?>
<Properties xmlns="http://schemas.openxmlformats.org/officeDocument/2006/custom-properties" xmlns:vt="http://schemas.openxmlformats.org/officeDocument/2006/docPropsVTypes"/>
</file>