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center"/>
      </w:pPr>
      <w:r>
        <w:rPr>
          <w:rFonts w:ascii="Calibri" w:hAnsi="Calibri"/>
          <w:b/>
          <w:color w:val="1B2A4A"/>
          <w:sz w:val="40"/>
        </w:rPr>
        <w:t>Contractor Bid Prep — Contractor Page Copy</w:t>
      </w:r>
    </w:p>
    <w:p>
      <w:pPr>
        <w:spacing w:before="280" w:after="80"/>
        <w:jc w:val="left"/>
        <w:pBdr>
          <w:bottom w:val="single" w:sz="6" w:space="4" w:color="1B2A4A"/>
        </w:pBdr>
      </w:pPr>
      <w:r>
        <w:rPr>
          <w:rFonts w:ascii="Calibri" w:hAnsi="Calibri"/>
          <w:b/>
          <w:color w:val="1B2A4A"/>
          <w:sz w:val="32"/>
        </w:rPr>
        <w:t>Hero</w:t>
      </w:r>
    </w:p>
    <w:p>
      <w:pPr>
        <w:spacing w:before="120" w:after="40"/>
        <w:jc w:val="left"/>
      </w:pPr>
      <w:r>
        <w:rPr>
          <w:rFonts w:ascii="Calibri" w:hAnsi="Calibri"/>
          <w:b/>
          <w:color w:val="B8860B"/>
          <w:sz w:val="22"/>
        </w:rPr>
        <w:t>HEADLINE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Most licensed trade contractors on the Gulf Coast have never won a public contract. Not because they can’t — because the government procurement process is a full-time job. Contractor Bid Prep does it for them.</w:t>
      </w:r>
    </w:p>
    <w:p>
      <w:pPr>
        <w:spacing w:before="120" w:after="40"/>
        <w:jc w:val="left"/>
      </w:pPr>
      <w:r>
        <w:rPr>
          <w:rFonts w:ascii="Calibri" w:hAnsi="Calibri"/>
          <w:b/>
          <w:color w:val="B8860B"/>
          <w:sz w:val="22"/>
        </w:rPr>
        <w:t>SUBHEAD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We monitor public bid portals, text you when an opportunity matches your trade and license, and handle the paperwork — so you can focus on the work you do best.</w:t>
      </w:r>
    </w:p>
    <w:p>
      <w:pPr>
        <w:spacing w:before="280" w:after="80"/>
        <w:jc w:val="left"/>
        <w:pBdr>
          <w:bottom w:val="single" w:sz="6" w:space="4" w:color="1B2A4A"/>
        </w:pBdr>
      </w:pPr>
      <w:r>
        <w:rPr>
          <w:rFonts w:ascii="Calibri" w:hAnsi="Calibri"/>
          <w:b/>
          <w:color w:val="1B2A4A"/>
          <w:sz w:val="32"/>
        </w:rPr>
        <w:t>The Problem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Government bids are public. The process isn’t built for small contractors.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Procurement portals are confusing to navigate. Deadlines are buried. Paperwork requirements vary by agency and change without notice. For a sole proprietor or a small crew running jobs every day, staying on top of it is a second job.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The result: out-of-region firms — the ones with dedicated proposal staff — win by default. Local contractors sit on the sidelines, not because they lack the skills or the license, but because they don’t have the bandwidth.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Contractor Bid Prep closes that gap.</w:t>
      </w:r>
    </w:p>
    <w:p>
      <w:pPr>
        <w:spacing w:before="280" w:after="80"/>
        <w:jc w:val="left"/>
        <w:pBdr>
          <w:bottom w:val="single" w:sz="6" w:space="4" w:color="1B2A4A"/>
        </w:pBdr>
      </w:pPr>
      <w:r>
        <w:rPr>
          <w:rFonts w:ascii="Calibri" w:hAnsi="Calibri"/>
          <w:b/>
          <w:color w:val="1B2A4A"/>
          <w:sz w:val="32"/>
        </w:rPr>
        <w:t>How It Works</w:t>
      </w:r>
    </w:p>
    <w:p>
      <w:pPr>
        <w:spacing w:before="120" w:after="40"/>
        <w:jc w:val="left"/>
      </w:pPr>
      <w:r>
        <w:rPr>
          <w:rFonts w:ascii="Calibri" w:hAnsi="Calibri"/>
          <w:b/>
          <w:color w:val="B8860B"/>
          <w:sz w:val="22"/>
        </w:rPr>
        <w:t>1. WE MONITOR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Every week, CBP scans DemandStar, MFMP, and local government portals for new solicitations. We match each opportunity to your trade, license class, and service area.</w:t>
      </w:r>
    </w:p>
    <w:p>
      <w:pPr>
        <w:spacing w:before="120" w:after="40"/>
        <w:jc w:val="left"/>
      </w:pPr>
      <w:r>
        <w:rPr>
          <w:rFonts w:ascii="Calibri" w:hAnsi="Calibri"/>
          <w:b/>
          <w:color w:val="B8860B"/>
          <w:sz w:val="22"/>
        </w:rPr>
        <w:t>2. YOU GET A TEXT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When a match comes in, you get a text. The alert includes the project name, agency, and estimated value. No portal login. No email digging.</w:t>
      </w:r>
    </w:p>
    <w:p>
      <w:pPr>
        <w:spacing w:before="120" w:after="40"/>
        <w:jc w:val="left"/>
      </w:pPr>
      <w:r>
        <w:rPr>
          <w:rFonts w:ascii="Calibri" w:hAnsi="Calibri"/>
          <w:b/>
          <w:color w:val="B8860B"/>
          <w:sz w:val="22"/>
        </w:rPr>
        <w:t>3. REPLY WITH YOUR NUMBER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Text back your bid amount. CBP generates your bid documents, routes them to PandaDoc for your digital signature, and prepares your package for submission. Done.</w:t>
      </w:r>
    </w:p>
    <w:p>
      <w:pPr>
        <w:spacing w:before="280" w:after="80"/>
        <w:jc w:val="left"/>
        <w:pBdr>
          <w:bottom w:val="single" w:sz="6" w:space="4" w:color="1B2A4A"/>
        </w:pBdr>
      </w:pPr>
      <w:r>
        <w:rPr>
          <w:rFonts w:ascii="Calibri" w:hAnsi="Calibri"/>
          <w:b/>
          <w:color w:val="1B2A4A"/>
          <w:sz w:val="32"/>
        </w:rPr>
        <w:t>Plans &amp; Pricing</w:t>
      </w:r>
    </w:p>
    <w:p>
      <w:pPr>
        <w:spacing w:before="0" w:after="200"/>
        <w:jc w:val="left"/>
      </w:pPr>
      <w:r>
        <w:rPr>
          <w:rFonts w:ascii="Calibri" w:hAnsi="Calibri"/>
          <w:b w:val="0"/>
          <w:color w:val="606060"/>
          <w:sz w:val="22"/>
        </w:rPr>
        <w:t>Three tiers. Month-to-month. Cancel anytime.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B8860B"/>
            <w:tcBdr>
              <w:top w:val="nil"/>
              <w:left w:val="nil"/>
              <w:bottom w:val="nil"/>
              <w:right w:val="nil"/>
            </w:tcBdr>
          </w:tcPr>
          <w:p/>
        </w:tc>
        <w:tc>
          <w:tcPr>
            <w:tcW w:type="dxa" w:w="4680"/>
            <w:tcBdr>
              <w:top w:val="single" w:sz="4" w:color="E0E0E0"/>
              <w:right w:val="single" w:sz="4" w:color="E0E0E0"/>
              <w:bottom w:val="single" w:sz="4" w:color="E0E0E0"/>
              <w:left w:val="nil"/>
            </w:tcBdr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B8860B"/>
                <w:sz w:val="24"/>
              </w:rPr>
              <w:t>Bronze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606060"/>
                <w:sz w:val="22"/>
              </w:rPr>
              <w:t>$100/month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color w:val="5C4000"/>
                <w:sz w:val="20"/>
              </w:rPr>
              <w:t>$1,000/year  (2 months free)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Weekly bid opportunity scan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SMS alerts for matching solicitations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1 trade category monitored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Up to 5 active opportunities tracked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Notion bid records dashboard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DemandStar &amp; MFMP coverage</w:t>
            </w:r>
          </w:p>
          <w:p>
            <w:pPr>
              <w:spacing w:before="80" w:after="0"/>
            </w:pPr>
          </w:p>
        </w:tc>
      </w:tr>
    </w:tbl>
    <w:p>
      <w:pPr>
        <w:spacing w:before="0" w:after="6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B8860B"/>
            <w:tcBdr>
              <w:top w:val="nil"/>
              <w:left w:val="nil"/>
              <w:bottom w:val="nil"/>
              <w:right w:val="nil"/>
            </w:tcBdr>
          </w:tcPr>
          <w:p/>
        </w:tc>
        <w:tc>
          <w:tcPr>
            <w:tcW w:type="dxa" w:w="4680"/>
            <w:tcBdr>
              <w:top w:val="single" w:sz="4" w:color="E0E0E0"/>
              <w:right w:val="single" w:sz="4" w:color="E0E0E0"/>
              <w:bottom w:val="single" w:sz="4" w:color="E0E0E0"/>
              <w:left w:val="nil"/>
            </w:tcBdr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B8860B"/>
                <w:sz w:val="24"/>
              </w:rPr>
              <w:t>Silver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606060"/>
                <w:sz w:val="22"/>
              </w:rPr>
              <w:t>$350/month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color w:val="5C4000"/>
                <w:sz w:val="20"/>
              </w:rPr>
              <w:t>$3,500/year  (2 months free)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Everything in Bronze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Automated bid document generation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PandaDoc e-signature workflow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Up to 3 trade categories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Up to 20 active opportunities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Client portal access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Bid history &amp; status tracking</w:t>
            </w:r>
          </w:p>
          <w:p>
            <w:pPr>
              <w:spacing w:before="80" w:after="0"/>
            </w:pPr>
          </w:p>
        </w:tc>
      </w:tr>
    </w:tbl>
    <w:p>
      <w:pPr>
        <w:spacing w:before="0" w:after="6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187"/>
      </w:tblGrid>
      <w:tr>
        <w:tc>
          <w:tcPr>
            <w:tcW w:type="dxa" w:w="4680"/>
            <w:shd w:val="clear" w:color="auto" w:fill="B8860B"/>
            <w:tcBdr>
              <w:top w:val="nil"/>
              <w:left w:val="nil"/>
              <w:bottom w:val="nil"/>
              <w:right w:val="nil"/>
            </w:tcBdr>
          </w:tcPr>
          <w:p/>
        </w:tc>
        <w:tc>
          <w:tcPr>
            <w:tcW w:type="dxa" w:w="4680"/>
            <w:shd w:val="clear" w:color="auto" w:fill="FFF8E7"/>
            <w:tcBdr>
              <w:top w:val="single" w:sz="4" w:color="E0E0E0"/>
              <w:right w:val="single" w:sz="4" w:color="E0E0E0"/>
              <w:bottom w:val="single" w:sz="4" w:color="E0E0E0"/>
              <w:left w:val="nil"/>
            </w:tcBdr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B8860B"/>
                <w:sz w:val="24"/>
              </w:rPr>
              <w:t>Gold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color w:val="5C4000"/>
                <w:sz w:val="20"/>
              </w:rPr>
              <w:t>Most comprehensive. Recommended for contractors actively pursuing multiple bids.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606060"/>
                <w:sz w:val="22"/>
              </w:rPr>
              <w:t>$850/month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color w:val="5C4000"/>
                <w:sz w:val="20"/>
              </w:rPr>
              <w:t>$8,000/year  (save 22%)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Everything in Silver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Unlimited trade categories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Unlimited active opportunities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Custom bid document templates (roofing, GC, HVAC, electrical)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Priority SMS &amp; phone support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Monthly strategy call (30 minutes)</w:t>
            </w:r>
          </w:p>
          <w:p>
            <w:pPr>
              <w:spacing w:before="0" w:after="40"/>
              <w:ind w:left="216"/>
            </w:pPr>
            <w:r>
              <w:rPr>
                <w:rFonts w:ascii="Calibri" w:hAnsi="Calibri"/>
                <w:b w:val="0"/>
                <w:color w:val="606060"/>
                <w:sz w:val="20"/>
              </w:rPr>
              <w:t>•  Multi-county geographic coverage</w:t>
            </w:r>
          </w:p>
          <w:p>
            <w:pPr>
              <w:spacing w:before="80" w:after="0"/>
            </w:pPr>
          </w:p>
        </w:tc>
      </w:tr>
    </w:tbl>
    <w:p>
      <w:pPr>
        <w:spacing w:before="0" w:after="60"/>
        <w:jc w:val="left"/>
      </w:pPr>
    </w:p>
    <w:p>
      <w:pPr>
        <w:spacing w:before="280" w:after="80"/>
        <w:jc w:val="left"/>
        <w:pBdr>
          <w:bottom w:val="single" w:sz="6" w:space="4" w:color="1B2A4A"/>
        </w:pBdr>
      </w:pPr>
      <w:r>
        <w:rPr>
          <w:rFonts w:ascii="Calibri" w:hAnsi="Calibri"/>
          <w:b/>
          <w:color w:val="1B2A4A"/>
          <w:sz w:val="32"/>
        </w:rPr>
        <w:t>Who It’s For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CBP is built for licensed trade contractors actively working or looking to work on public projects across Florida and Alabama.</w:t>
      </w:r>
    </w:p>
    <w:p>
      <w:pPr>
        <w:spacing w:before="80" w:after="40"/>
        <w:jc w:val="left"/>
      </w:pPr>
      <w:r>
        <w:rPr>
          <w:rFonts w:ascii="Calibri" w:hAnsi="Calibri"/>
          <w:b w:val="0"/>
          <w:color w:val="606060"/>
          <w:sz w:val="22"/>
        </w:rPr>
        <w:t>If you hold any of the following licenses, you qualify: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color w:val="606060"/>
          <w:sz w:val="22"/>
        </w:rPr>
        <w:t>Roofing — CCC (Certified) or RC (Registered)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color w:val="606060"/>
          <w:sz w:val="22"/>
        </w:rPr>
        <w:t>General Contracting — CGC (Certified) or RG (Registered)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color w:val="606060"/>
          <w:sz w:val="22"/>
        </w:rPr>
        <w:t>HVAC — CMC (Certified) or RM (Registered)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color w:val="606060"/>
          <w:sz w:val="22"/>
        </w:rPr>
        <w:t>Electrical — EC (Certified) or ER (Registered)</w:t>
      </w:r>
    </w:p>
    <w:p>
      <w:pPr>
        <w:spacing w:before="120" w:after="80"/>
        <w:jc w:val="left"/>
      </w:pPr>
      <w:r>
        <w:rPr>
          <w:rFonts w:ascii="Calibri" w:hAnsi="Calibri"/>
          <w:b w:val="0"/>
          <w:color w:val="606060"/>
          <w:sz w:val="22"/>
        </w:rPr>
        <w:t>Florida contractors: If you hold a Certified license, CBP monitors opportunities statewide. If your license is Registered (county-limited), we match you only to bids in your authorized counties — no wasted alerts.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Alabama contractors: CBP covers public bid opportunities across Alabama. An Alabama state GC license is required for most public projects.</w:t>
      </w:r>
    </w:p>
    <w:p>
      <w:pPr>
        <w:spacing w:before="280" w:after="80"/>
        <w:jc w:val="left"/>
        <w:pBdr>
          <w:bottom w:val="single" w:sz="6" w:space="4" w:color="1B2A4A"/>
        </w:pBdr>
      </w:pPr>
      <w:r>
        <w:rPr>
          <w:rFonts w:ascii="Calibri" w:hAnsi="Calibri"/>
          <w:b/>
          <w:color w:val="1B2A4A"/>
          <w:sz w:val="32"/>
        </w:rPr>
        <w:t>Why Now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Post-Hurricane Helene, government agencies across the Gulf Coast are issuing elevated bid volume for repair, reconstruction, and infrastructure projects. The pipeline is full.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But volume alone doesn’t help local contractors if they can’t get into the room. CBP gives local firms the same access to procurement information — and the same bid preparation capability — as large regional firms with dedicated proposal staff.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A Gulf Coast pilot is underway. Contractors enrolled today are already receiving weekly bid alerts and submitting packages.</w:t>
      </w:r>
    </w:p>
    <w:p>
      <w:pPr>
        <w:spacing w:before="280" w:after="80"/>
        <w:jc w:val="left"/>
        <w:pBdr>
          <w:bottom w:val="single" w:sz="6" w:space="4" w:color="1B2A4A"/>
        </w:pBdr>
      </w:pPr>
      <w:r>
        <w:rPr>
          <w:rFonts w:ascii="Calibri" w:hAnsi="Calibri"/>
          <w:b/>
          <w:color w:val="1B2A4A"/>
          <w:sz w:val="32"/>
        </w:rPr>
        <w:t>One More Thing</w:t>
      </w:r>
    </w:p>
    <w:p>
      <w:pPr>
        <w:spacing w:before="0" w:after="100"/>
        <w:jc w:val="left"/>
      </w:pPr>
      <w:r>
        <w:rPr>
          <w:rFonts w:ascii="Calibri" w:hAnsi="Calibri"/>
          <w:b w:val="0"/>
          <w:color w:val="606060"/>
          <w:sz w:val="22"/>
        </w:rPr>
        <w:t>CBP is a business expense — 100% tax-deductible as a professional service cost. Your accountant will approve.</w:t>
      </w:r>
    </w:p>
    <w:p>
      <w:pPr>
        <w:spacing w:before="0" w:after="6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Mar>
              <w:top w:w="280" w:type="dxa"/>
              <w:left w:w="360" w:type="dxa"/>
              <w:bottom w:w="280" w:type="dxa"/>
              <w:right w:w="360" w:type="dxa"/>
            </w:tcMar>
          </w:tcPr>
          <w:p/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Ready to stop missing bids?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FFFFFF"/>
                <w:sz w:val="24"/>
              </w:rPr>
              <w:t>Get started at contractorbidprep.com</w:t>
            </w:r>
          </w:p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FFFFFF"/>
                <w:sz w:val="24"/>
              </w:rPr>
              <w:t>or email davidduncan@contractorbidprep.com</w:t>
            </w:r>
          </w:p>
          <w:p>
            <w:pPr>
              <w:spacing w:before="80" w:after="120"/>
              <w:jc w:val="center"/>
            </w:pPr>
            <w:r>
              <w:rPr>
                <w:rFonts w:ascii="Calibri" w:hAnsi="Calibri"/>
                <w:b w:val="0"/>
                <w:color w:val="FFFFFF"/>
                <w:sz w:val="20"/>
              </w:rPr>
              <w:t>Questions? We’ll respond within one business day.</w:t>
            </w:r>
          </w:p>
        </w:tc>
      </w:tr>
    </w:tbl>
    <w:p>
      <w:pPr>
        <w:spacing w:before="0" w:after="120"/>
        <w:jc w:val="left"/>
      </w:pPr>
    </w:p>
    <w:p>
      <w:pPr>
        <w:spacing w:before="200" w:after="0"/>
        <w:jc w:val="center"/>
      </w:pPr>
      <w:r>
        <w:rPr>
          <w:rFonts w:ascii="Calibri" w:hAnsi="Calibri"/>
          <w:b w:val="0"/>
          <w:color w:val="9CA3AF"/>
          <w:sz w:val="16"/>
        </w:rPr>
        <w:t>© 2026 Contractor Bid Prep — a DBA of ISCS  |  contractorbidprep.com  |  davidduncan@contractorbidprep.com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