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jc w:val="center"/>
      </w:pPr>
      <w:r>
        <w:rPr>
          <w:rFonts w:ascii="Calibri" w:hAnsi="Calibri"/>
          <w:b/>
          <w:color w:val="1B2A4A"/>
          <w:sz w:val="40"/>
        </w:rPr>
        <w:t>Contractor Bid Prep — Municipal / Institutional Page Copy</w:t>
      </w:r>
    </w:p>
    <w:p>
      <w:pPr>
        <w:spacing w:before="0" w:after="320"/>
        <w:jc w:val="center"/>
      </w:pPr>
      <w:r>
        <w:rPr>
          <w:rFonts w:ascii="Calibri" w:hAnsi="Calibri"/>
          <w:b w:val="0"/>
          <w:color w:val="606060"/>
          <w:sz w:val="20"/>
        </w:rPr>
        <w:t>Audience: Procurement officers, economic development directors, SBDC directors, county EDAs, municipal governments.</w:t>
      </w:r>
    </w:p>
    <w:p>
      <w:pPr>
        <w:spacing w:before="280" w:after="80"/>
        <w:jc w:val="left"/>
        <w:pBdr>
          <w:bottom w:val="single" w:sz="6" w:space="4" w:color="1B2A4A"/>
        </w:pBdr>
      </w:pPr>
      <w:r>
        <w:rPr>
          <w:rFonts w:ascii="Calibri" w:hAnsi="Calibri"/>
          <w:b/>
          <w:color w:val="1B2A4A"/>
          <w:sz w:val="32"/>
        </w:rPr>
        <w:t>Hero</w:t>
      </w:r>
    </w:p>
    <w:p>
      <w:pPr>
        <w:spacing w:before="120" w:after="40"/>
        <w:jc w:val="left"/>
      </w:pPr>
      <w:r>
        <w:rPr>
          <w:rFonts w:ascii="Calibri" w:hAnsi="Calibri"/>
          <w:b/>
          <w:color w:val="B8860B"/>
          <w:sz w:val="22"/>
        </w:rPr>
        <w:t>HEADLINE</w:t>
      </w:r>
    </w:p>
    <w:p>
      <w:pPr>
        <w:spacing w:before="0" w:after="100"/>
        <w:jc w:val="left"/>
      </w:pPr>
      <w:r>
        <w:rPr>
          <w:rFonts w:ascii="Calibri" w:hAnsi="Calibri"/>
          <w:b w:val="0"/>
          <w:color w:val="606060"/>
          <w:sz w:val="22"/>
        </w:rPr>
        <w:t>Local contractors are losing public contracts to out-of-region firms by default. Contractor Bid Prep fixes that.</w:t>
      </w:r>
    </w:p>
    <w:p>
      <w:pPr>
        <w:spacing w:before="120" w:after="40"/>
        <w:jc w:val="left"/>
      </w:pPr>
      <w:r>
        <w:rPr>
          <w:rFonts w:ascii="Calibri" w:hAnsi="Calibri"/>
          <w:b/>
          <w:color w:val="B8860B"/>
          <w:sz w:val="22"/>
        </w:rPr>
        <w:t>SUBHEAD</w:t>
      </w:r>
    </w:p>
    <w:p>
      <w:pPr>
        <w:spacing w:before="0" w:after="100"/>
        <w:jc w:val="left"/>
      </w:pPr>
      <w:r>
        <w:rPr>
          <w:rFonts w:ascii="Calibri" w:hAnsi="Calibri"/>
          <w:b w:val="0"/>
          <w:color w:val="606060"/>
          <w:sz w:val="22"/>
        </w:rPr>
        <w:t>CBP monitors public procurement portals, matches opportunities to enrolled local contractors by trade and geography, and automates the entire bid preparation workflow. More local bids. More competition. Better value for public dollars.</w:t>
      </w:r>
    </w:p>
    <w:p>
      <w:pPr>
        <w:spacing w:before="280" w:after="80"/>
        <w:jc w:val="left"/>
        <w:pBdr>
          <w:bottom w:val="single" w:sz="6" w:space="4" w:color="1B2A4A"/>
        </w:pBdr>
      </w:pPr>
      <w:r>
        <w:rPr>
          <w:rFonts w:ascii="Calibri" w:hAnsi="Calibri"/>
          <w:b/>
          <w:color w:val="1B2A4A"/>
          <w:sz w:val="32"/>
        </w:rPr>
        <w:t>The Problem</w:t>
      </w:r>
    </w:p>
    <w:p>
      <w:pPr>
        <w:spacing w:before="0" w:after="100"/>
        <w:jc w:val="left"/>
      </w:pPr>
      <w:r>
        <w:rPr>
          <w:rFonts w:ascii="Calibri" w:hAnsi="Calibri"/>
          <w:b w:val="0"/>
          <w:color w:val="606060"/>
          <w:sz w:val="22"/>
        </w:rPr>
        <w:t>More than 6,000 licensed trade contractors operate across the Gulf Coast corridor — from Escambia County to Leon County in Florida, and across the Mobile area in Alabama. Most have never submitted a public bid.</w:t>
      </w:r>
    </w:p>
    <w:p>
      <w:pPr>
        <w:spacing w:before="0" w:after="100"/>
        <w:jc w:val="left"/>
      </w:pPr>
      <w:r>
        <w:rPr>
          <w:rFonts w:ascii="Calibri" w:hAnsi="Calibri"/>
          <w:b w:val="0"/>
          <w:color w:val="606060"/>
          <w:sz w:val="22"/>
        </w:rPr>
        <w:t>It’s not a licensing problem. It’s a bandwidth problem. Government procurement portals are opaque, paperwork requirements are burdensome, and deadlines are easy to miss for contractors who are running jobs every day.</w:t>
      </w:r>
    </w:p>
    <w:p>
      <w:pPr>
        <w:spacing w:before="0" w:after="100"/>
        <w:jc w:val="left"/>
      </w:pPr>
      <w:r>
        <w:rPr>
          <w:rFonts w:ascii="Calibri" w:hAnsi="Calibri"/>
          <w:b w:val="0"/>
          <w:color w:val="606060"/>
          <w:sz w:val="22"/>
        </w:rPr>
        <w:t>The result: out-of-region firms with dedicated proposal staff win contracts by default. Local labor, local spending, and local economic impact leave the region — not because local contractors aren’t qualified, but because they were never in the room.</w:t>
      </w:r>
    </w:p>
    <w:p>
      <w:pPr>
        <w:spacing w:before="280" w:after="80"/>
        <w:jc w:val="left"/>
        <w:pBdr>
          <w:bottom w:val="single" w:sz="6" w:space="4" w:color="1B2A4A"/>
        </w:pBdr>
      </w:pPr>
      <w:r>
        <w:rPr>
          <w:rFonts w:ascii="Calibri" w:hAnsi="Calibri"/>
          <w:b/>
          <w:color w:val="1B2A4A"/>
          <w:sz w:val="32"/>
        </w:rPr>
        <w:t>The Solution</w:t>
      </w:r>
    </w:p>
    <w:p>
      <w:pPr>
        <w:spacing w:before="0" w:after="100"/>
        <w:jc w:val="left"/>
      </w:pPr>
      <w:r>
        <w:rPr>
          <w:rFonts w:ascii="Calibri" w:hAnsi="Calibri"/>
          <w:b w:val="0"/>
          <w:color w:val="606060"/>
          <w:sz w:val="22"/>
        </w:rPr>
        <w:t>Contractor Bid Prep monitors procurement portals weekly, matches opportunities to enrolled contractors by trade and geography, and automates the entire bid prep workflow — from alert to signed document.</w:t>
      </w:r>
    </w:p>
    <w:p>
      <w:pPr>
        <w:spacing w:before="0" w:after="100"/>
        <w:jc w:val="left"/>
      </w:pPr>
      <w:r>
        <w:rPr>
          <w:rFonts w:ascii="Calibri" w:hAnsi="Calibri"/>
          <w:b w:val="0"/>
          <w:color w:val="606060"/>
          <w:sz w:val="22"/>
        </w:rPr>
        <w:t>When a contractor receives an SMS alert, they reply with a bid amount. CBP generates the bid package and routes it for electronic signature. The entire workflow takes minutes, not days.</w:t>
      </w:r>
    </w:p>
    <w:p>
      <w:pPr>
        <w:spacing w:before="0" w:after="100"/>
        <w:jc w:val="left"/>
      </w:pPr>
      <w:r>
        <w:rPr>
          <w:rFonts w:ascii="Calibri" w:hAnsi="Calibri"/>
          <w:b w:val="0"/>
          <w:color w:val="606060"/>
          <w:sz w:val="22"/>
        </w:rPr>
        <w:t>The result: more local contractors submitting bids, more competition on public contracts, and more contract dollars staying in the region.</w:t>
      </w:r>
    </w:p>
    <w:p>
      <w:pPr>
        <w:spacing w:before="280" w:after="80"/>
        <w:jc w:val="left"/>
        <w:pBdr>
          <w:bottom w:val="single" w:sz="6" w:space="4" w:color="1B2A4A"/>
        </w:pBdr>
      </w:pPr>
      <w:r>
        <w:rPr>
          <w:rFonts w:ascii="Calibri" w:hAnsi="Calibri"/>
          <w:b/>
          <w:color w:val="1B2A4A"/>
          <w:sz w:val="32"/>
        </w:rPr>
        <w:t>Program Model</w:t>
      </w:r>
    </w:p>
    <w:p>
      <w:pPr>
        <w:spacing w:before="0" w:after="100"/>
        <w:jc w:val="left"/>
      </w:pPr>
      <w:r>
        <w:rPr>
          <w:rFonts w:ascii="Calibri" w:hAnsi="Calibri"/>
          <w:b w:val="0"/>
          <w:color w:val="606060"/>
          <w:sz w:val="22"/>
        </w:rPr>
        <w:t>EDAs, municipalities, and SBDCs can sponsor Bronze-tier access for local contractors at a discounted bulk rate:</w:t>
      </w:r>
    </w:p>
    <w:p>
      <w:pPr>
        <w:spacing w:before="0" w:after="60"/>
        <w:jc w:val="left"/>
      </w:pPr>
    </w:p>
    <w:tbl>
      <w:tblPr>
        <w:tblW w:type="auto" w:w="0"/>
        <w:tblLayout w:type="fixed"/>
        <w:tblLook w:firstColumn="1" w:firstRow="1" w:lastColumn="0" w:lastRow="0" w:noHBand="0" w:noVBand="1" w:val="04A0"/>
      </w:tblPr>
      <w:tblGrid>
        <w:gridCol w:w="9360"/>
      </w:tblGrid>
      <w:tr>
        <w:tc>
          <w:tcPr>
            <w:tcW w:type="dxa" w:w="9360"/>
            <w:shd w:val="clear" w:color="auto" w:fill="FFF8E7"/>
            <w:tcBdr>
              <w:top w:val="single" w:sz="6" w:color="B8860B"/>
              <w:left w:val="single" w:sz="6" w:color="B8860B"/>
              <w:bottom w:val="single" w:sz="6" w:color="B8860B"/>
              <w:right w:val="single" w:sz="6" w:color="B8860B"/>
            </w:tcBdr>
            <w:tcMar>
              <w:top w:w="140" w:type="dxa"/>
              <w:left w:w="200" w:type="dxa"/>
              <w:bottom w:w="140" w:type="dxa"/>
              <w:right w:w="200" w:type="dxa"/>
            </w:tcMar>
          </w:tcPr>
          <w:p/>
          <w:p>
            <w:pPr>
              <w:spacing w:before="60" w:after="60"/>
            </w:pPr>
            <w:r>
              <w:rPr>
                <w:rFonts w:ascii="Calibri" w:hAnsi="Calibri"/>
                <w:b/>
                <w:color w:val="B8860B"/>
                <w:sz w:val="28"/>
              </w:rPr>
              <w:t>Program Rate: $25 per contractor/month</w:t>
            </w:r>
          </w:p>
          <w:p>
            <w:pPr>
              <w:spacing w:before="60" w:after="60"/>
            </w:pPr>
            <w:r>
              <w:rPr>
                <w:rFonts w:ascii="Calibri" w:hAnsi="Calibri"/>
                <w:b w:val="0"/>
                <w:color w:val="606060"/>
                <w:sz w:val="22"/>
              </w:rPr>
              <w:t>vs. $100/month individual rate — 75% discount</w:t>
            </w:r>
          </w:p>
          <w:p>
            <w:pPr>
              <w:spacing w:before="60" w:after="60"/>
            </w:pPr>
            <w:r>
              <w:rPr>
                <w:rFonts w:ascii="Calibri" w:hAnsi="Calibri"/>
                <w:b w:val="0"/>
                <w:color w:val="606060"/>
                <w:sz w:val="22"/>
              </w:rPr>
              <w:t>Annual purchase order, billed quarterly.</w:t>
            </w:r>
          </w:p>
          <w:p>
            <w:pPr>
              <w:spacing w:before="60" w:after="60"/>
            </w:pPr>
            <w:r>
              <w:rPr>
                <w:rFonts w:ascii="Calibri" w:hAnsi="Calibri"/>
                <w:b w:val="0"/>
                <w:color w:val="606060"/>
                <w:sz w:val="22"/>
              </w:rPr>
              <w:t>CBP handles enrollment, weekly alerts, and quarterly reporting.</w:t>
            </w:r>
          </w:p>
        </w:tc>
      </w:tr>
    </w:tbl>
    <w:p>
      <w:pPr>
        <w:spacing w:before="0" w:after="60"/>
        <w:jc w:val="left"/>
      </w:pPr>
    </w:p>
    <w:p>
      <w:pPr>
        <w:spacing w:before="280" w:after="80"/>
        <w:jc w:val="left"/>
        <w:pBdr>
          <w:bottom w:val="single" w:sz="6" w:space="4" w:color="1B2A4A"/>
        </w:pBdr>
      </w:pPr>
      <w:r>
        <w:rPr>
          <w:rFonts w:ascii="Calibri" w:hAnsi="Calibri"/>
          <w:b/>
          <w:color w:val="1B2A4A"/>
          <w:sz w:val="32"/>
        </w:rPr>
        <w:t>What You Can Report</w:t>
      </w:r>
    </w:p>
    <w:p>
      <w:pPr>
        <w:spacing w:before="0" w:after="100"/>
        <w:jc w:val="left"/>
      </w:pPr>
      <w:r>
        <w:rPr>
          <w:rFonts w:ascii="Calibri" w:hAnsi="Calibri"/>
          <w:b w:val="0"/>
          <w:color w:val="606060"/>
          <w:sz w:val="22"/>
        </w:rPr>
        <w:t>CBP provides quarterly reporting on enrolled contractors. Metrics include:</w:t>
      </w:r>
    </w:p>
    <w:p>
      <w:pPr>
        <w:spacing w:before="0" w:after="60"/>
        <w:jc w:val="left"/>
      </w:pPr>
    </w:p>
    <w:tbl>
      <w:tblPr>
        <w:tblW w:type="auto" w:w="0"/>
        <w:tblLayout w:type="fixed"/>
        <w:tblLook w:firstColumn="1" w:firstRow="1" w:lastColumn="0" w:lastRow="0" w:noHBand="0" w:noVBand="1" w:val="04A0"/>
      </w:tblPr>
      <w:tblGrid>
        <w:gridCol w:w="3200"/>
        <w:gridCol w:w="6160"/>
      </w:tblGrid>
      <w:tr>
        <w:tc>
          <w:tcPr>
            <w:tcW w:type="dxa" w:w="4680"/>
            <w:shd w:val="clear" w:color="auto" w:fill="1B2A4A"/>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color w:val="FFFFFF"/>
                <w:sz w:val="20"/>
              </w:rPr>
              <w:t>Metric</w:t>
            </w:r>
          </w:p>
        </w:tc>
        <w:tc>
          <w:tcPr>
            <w:tcW w:type="dxa" w:w="4680"/>
            <w:shd w:val="clear" w:color="auto" w:fill="1B2A4A"/>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color w:val="FFFFFF"/>
                <w:sz w:val="20"/>
              </w:rPr>
              <w:t>What it measures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320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color w:val="B8860B"/>
                <w:sz w:val="20"/>
              </w:rPr>
              <w:t>Contractors enrolled</w:t>
            </w:r>
          </w:p>
        </w:tc>
        <w:tc>
          <w:tcPr>
            <w:tcW w:type="dxa" w:w="616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val="0"/>
                <w:color w:val="606060"/>
                <w:sz w:val="20"/>
              </w:rPr>
              <w:t>Active enrolled contractors by county and trade</w:t>
            </w:r>
          </w:p>
        </w:tc>
      </w:tr>
      <w:tr>
        <w:tc>
          <w:tcPr>
            <w:tcW w:type="dxa" w:w="320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color w:val="B8860B"/>
                <w:sz w:val="20"/>
              </w:rPr>
              <w:t>Bid opportunities identified</w:t>
            </w:r>
          </w:p>
        </w:tc>
        <w:tc>
          <w:tcPr>
            <w:tcW w:type="dxa" w:w="616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val="0"/>
                <w:color w:val="606060"/>
                <w:sz w:val="20"/>
              </w:rPr>
              <w:t>Public solicitations matched to enrolled contractors per week</w:t>
            </w:r>
          </w:p>
        </w:tc>
      </w:tr>
      <w:tr>
        <w:tc>
          <w:tcPr>
            <w:tcW w:type="dxa" w:w="320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color w:val="B8860B"/>
                <w:sz w:val="20"/>
              </w:rPr>
              <w:t>Bids submitted</w:t>
            </w:r>
          </w:p>
        </w:tc>
        <w:tc>
          <w:tcPr>
            <w:tcW w:type="dxa" w:w="616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val="0"/>
                <w:color w:val="606060"/>
                <w:sz w:val="20"/>
              </w:rPr>
              <w:t>Bid packages completed and submitted by enrolled contractors</w:t>
            </w:r>
          </w:p>
        </w:tc>
      </w:tr>
      <w:tr>
        <w:tc>
          <w:tcPr>
            <w:tcW w:type="dxa" w:w="320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color w:val="B8860B"/>
                <w:sz w:val="20"/>
              </w:rPr>
              <w:t>Contract value won</w:t>
            </w:r>
          </w:p>
        </w:tc>
        <w:tc>
          <w:tcPr>
            <w:tcW w:type="dxa" w:w="616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val="0"/>
                <w:color w:val="606060"/>
                <w:sz w:val="20"/>
              </w:rPr>
              <w:t>Dollar value of public contracts awarded to enrolled contractors</w:t>
            </w:r>
          </w:p>
        </w:tc>
      </w:tr>
      <w:tr>
        <w:tc>
          <w:tcPr>
            <w:tcW w:type="dxa" w:w="320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color w:val="B8860B"/>
                <w:sz w:val="20"/>
              </w:rPr>
              <w:t>First-time bidders</w:t>
            </w:r>
          </w:p>
        </w:tc>
        <w:tc>
          <w:tcPr>
            <w:tcW w:type="dxa" w:w="616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val="0"/>
                <w:color w:val="606060"/>
                <w:sz w:val="20"/>
              </w:rPr>
              <w:t>% of enrolled contractors submitting a public bid for the first time</w:t>
            </w:r>
          </w:p>
        </w:tc>
      </w:tr>
      <w:tr>
        <w:tc>
          <w:tcPr>
            <w:tcW w:type="dxa" w:w="320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color w:val="B8860B"/>
                <w:sz w:val="20"/>
              </w:rPr>
              <w:t>Local capture rate</w:t>
            </w:r>
          </w:p>
        </w:tc>
        <w:tc>
          <w:tcPr>
            <w:tcW w:type="dxa" w:w="6160"/>
            <w:shd w:val="clear" w:color="auto" w:fill="FFFFFF"/>
            <w:tcBdr>
              <w:top w:val="single" w:sz="4" w:color="D0D0D0"/>
              <w:left w:val="single" w:sz="4" w:color="D0D0D0"/>
              <w:bottom w:val="single" w:sz="4" w:color="D0D0D0"/>
              <w:right w:val="single" w:sz="4" w:color="D0D0D0"/>
            </w:tcBdr>
            <w:tcMar>
              <w:top w:w="80" w:type="dxa"/>
              <w:left w:w="120" w:type="dxa"/>
              <w:bottom w:w="80" w:type="dxa"/>
              <w:right w:w="120" w:type="dxa"/>
            </w:tcMar>
          </w:tcPr>
          <w:p>
            <w:r>
              <w:rPr>
                <w:rFonts w:ascii="Calibri" w:hAnsi="Calibri"/>
                <w:b w:val="0"/>
                <w:color w:val="606060"/>
                <w:sz w:val="20"/>
              </w:rPr>
              <w:t>Local vs. out-of-region contractor win rate on matched solicitations</w:t>
            </w:r>
          </w:p>
        </w:tc>
      </w:tr>
    </w:tbl>
    <w:p>
      <w:pPr>
        <w:spacing w:before="0" w:after="60"/>
        <w:jc w:val="left"/>
      </w:pPr>
    </w:p>
    <w:p>
      <w:pPr>
        <w:spacing w:before="280" w:after="80"/>
        <w:jc w:val="left"/>
        <w:pBdr>
          <w:bottom w:val="single" w:sz="6" w:space="4" w:color="1B2A4A"/>
        </w:pBdr>
      </w:pPr>
      <w:r>
        <w:rPr>
          <w:rFonts w:ascii="Calibri" w:hAnsi="Calibri"/>
          <w:b/>
          <w:color w:val="1B2A4A"/>
          <w:sz w:val="32"/>
        </w:rPr>
        <w:t>Why CBP — Why Now</w:t>
      </w:r>
    </w:p>
    <w:p>
      <w:pPr>
        <w:spacing w:before="120" w:after="40"/>
        <w:jc w:val="left"/>
      </w:pPr>
      <w:r>
        <w:rPr>
          <w:rFonts w:ascii="Calibri" w:hAnsi="Calibri"/>
          <w:b/>
          <w:color w:val="B8860B"/>
          <w:sz w:val="22"/>
        </w:rPr>
        <w:t>LOCAL OPERATOR</w:t>
      </w:r>
    </w:p>
    <w:p>
      <w:pPr>
        <w:spacing w:before="0" w:after="100"/>
        <w:jc w:val="left"/>
      </w:pPr>
      <w:r>
        <w:rPr>
          <w:rFonts w:ascii="Calibri" w:hAnsi="Calibri"/>
          <w:b w:val="0"/>
          <w:color w:val="606060"/>
          <w:sz w:val="22"/>
        </w:rPr>
        <w:t>CBP is operated by David K. Duncan through ISCS, based on the Gulf Coast. This is not a national SaaS product — it’s a local platform built for Gulf Coast contractors and the agencies that serve them.</w:t>
      </w:r>
    </w:p>
    <w:p>
      <w:pPr>
        <w:spacing w:before="120" w:after="40"/>
        <w:jc w:val="left"/>
      </w:pPr>
      <w:r>
        <w:rPr>
          <w:rFonts w:ascii="Calibri" w:hAnsi="Calibri"/>
          <w:b/>
          <w:color w:val="B8860B"/>
          <w:sz w:val="22"/>
        </w:rPr>
        <w:t>LIVE PLATFORM</w:t>
      </w:r>
    </w:p>
    <w:p>
      <w:pPr>
        <w:spacing w:before="0" w:after="100"/>
        <w:jc w:val="left"/>
      </w:pPr>
      <w:r>
        <w:rPr>
          <w:rFonts w:ascii="Calibri" w:hAnsi="Calibri"/>
          <w:b w:val="0"/>
          <w:color w:val="606060"/>
          <w:sz w:val="22"/>
        </w:rPr>
        <w:t>A Gulf Coast pilot is underway. CBP is not a concept — it’s operational. Enrolled contractors are already receiving weekly alerts and submitting packages.</w:t>
      </w:r>
    </w:p>
    <w:p>
      <w:pPr>
        <w:spacing w:before="120" w:after="40"/>
        <w:jc w:val="left"/>
      </w:pPr>
      <w:r>
        <w:rPr>
          <w:rFonts w:ascii="Calibri" w:hAnsi="Calibri"/>
          <w:b/>
          <w:color w:val="B8860B"/>
          <w:sz w:val="22"/>
        </w:rPr>
        <w:t>POST-HELENE OPPORTUNITY</w:t>
      </w:r>
    </w:p>
    <w:p>
      <w:pPr>
        <w:spacing w:before="0" w:after="100"/>
        <w:jc w:val="left"/>
      </w:pPr>
      <w:r>
        <w:rPr>
          <w:rFonts w:ascii="Calibri" w:hAnsi="Calibri"/>
          <w:b w:val="0"/>
          <w:color w:val="606060"/>
          <w:sz w:val="22"/>
        </w:rPr>
        <w:t>Post-Hurricane Helene elevated bid volume across the Gulf Coast creates a concentrated window of opportunity for local contractors. Program sponsors that act now can put local firms in position to capture a meaningful share of that volume.</w:t>
      </w:r>
    </w:p>
    <w:p>
      <w:pPr>
        <w:spacing w:before="120" w:after="40"/>
        <w:jc w:val="left"/>
      </w:pPr>
      <w:r>
        <w:rPr>
          <w:rFonts w:ascii="Calibri" w:hAnsi="Calibri"/>
          <w:b/>
          <w:color w:val="B8860B"/>
          <w:sz w:val="22"/>
        </w:rPr>
        <w:t>PROGRAM ECONOMICS</w:t>
      </w:r>
    </w:p>
    <w:p>
      <w:pPr>
        <w:spacing w:before="0" w:after="100"/>
        <w:jc w:val="left"/>
      </w:pPr>
      <w:r>
        <w:rPr>
          <w:rFonts w:ascii="Calibri" w:hAnsi="Calibri"/>
          <w:b w:val="0"/>
          <w:color w:val="606060"/>
          <w:sz w:val="22"/>
        </w:rPr>
        <w:t>$25/contractor/month. An EDA or municipality sponsoring 20 contractors invests $500/month to put 20 local firms in front of every relevant public solicitation in their area. A single contract won covers the annual program cost many times over.</w:t>
      </w:r>
    </w:p>
    <w:p>
      <w:pPr>
        <w:spacing w:before="280" w:after="80"/>
        <w:jc w:val="left"/>
        <w:pBdr>
          <w:bottom w:val="single" w:sz="6" w:space="4" w:color="1B2A4A"/>
        </w:pBdr>
      </w:pPr>
      <w:r>
        <w:rPr>
          <w:rFonts w:ascii="Calibri" w:hAnsi="Calibri"/>
          <w:b/>
          <w:color w:val="1B2A4A"/>
          <w:sz w:val="32"/>
        </w:rPr>
        <w:t>Current &amp; Target Partners</w:t>
      </w:r>
    </w:p>
    <w:p>
      <w:pPr>
        <w:pStyle w:val="ListBullet"/>
        <w:spacing w:before="0" w:after="40"/>
        <w:ind w:left="360"/>
      </w:pPr>
      <w:r>
        <w:rPr>
          <w:rFonts w:ascii="Calibri" w:hAnsi="Calibri"/>
          <w:b w:val="0"/>
          <w:color w:val="606060"/>
          <w:sz w:val="22"/>
        </w:rPr>
        <w:t>County Economic Development Agencies (EDAs) — Escambia, Santa Rosa, Okaloosa, Bay, Mobile</w:t>
      </w:r>
    </w:p>
    <w:p>
      <w:pPr>
        <w:pStyle w:val="ListBullet"/>
        <w:spacing w:before="0" w:after="40"/>
        <w:ind w:left="360"/>
      </w:pPr>
      <w:r>
        <w:rPr>
          <w:rFonts w:ascii="Calibri" w:hAnsi="Calibri"/>
          <w:b w:val="0"/>
          <w:color w:val="606060"/>
          <w:sz w:val="22"/>
        </w:rPr>
        <w:t>UWF Small Business Development Center (SBDC)</w:t>
      </w:r>
    </w:p>
    <w:p>
      <w:pPr>
        <w:pStyle w:val="ListBullet"/>
        <w:spacing w:before="0" w:after="40"/>
        <w:ind w:left="360"/>
      </w:pPr>
      <w:r>
        <w:rPr>
          <w:rFonts w:ascii="Calibri" w:hAnsi="Calibri"/>
          <w:b w:val="0"/>
          <w:color w:val="606060"/>
          <w:sz w:val="22"/>
        </w:rPr>
        <w:t>APEX Accelerators (formerly PTAC) — procurement technical assistance centers</w:t>
      </w:r>
    </w:p>
    <w:p>
      <w:pPr>
        <w:pStyle w:val="ListBullet"/>
        <w:spacing w:before="0" w:after="40"/>
        <w:ind w:left="360"/>
      </w:pPr>
      <w:r>
        <w:rPr>
          <w:rFonts w:ascii="Calibri" w:hAnsi="Calibri"/>
          <w:b w:val="0"/>
          <w:color w:val="606060"/>
          <w:sz w:val="22"/>
        </w:rPr>
        <w:t>Municipal governments and county commissions</w:t>
      </w:r>
    </w:p>
    <w:p>
      <w:pPr>
        <w:pStyle w:val="ListBullet"/>
        <w:spacing w:before="0" w:after="40"/>
        <w:ind w:left="360"/>
      </w:pPr>
      <w:r>
        <w:rPr>
          <w:rFonts w:ascii="Calibri" w:hAnsi="Calibri"/>
          <w:b w:val="0"/>
          <w:color w:val="606060"/>
          <w:sz w:val="22"/>
        </w:rPr>
        <w:t>State and regional contractor associations</w:t>
      </w:r>
    </w:p>
    <w:p>
      <w:pPr>
        <w:spacing w:before="280" w:after="80"/>
        <w:jc w:val="left"/>
        <w:pBdr>
          <w:bottom w:val="single" w:sz="6" w:space="4" w:color="1B2A4A"/>
        </w:pBdr>
      </w:pPr>
      <w:r>
        <w:rPr>
          <w:rFonts w:ascii="Calibri" w:hAnsi="Calibri"/>
          <w:b/>
          <w:color w:val="1B2A4A"/>
          <w:sz w:val="32"/>
        </w:rPr>
        <w:t>Contact</w:t>
      </w:r>
    </w:p>
    <w:p>
      <w:pPr>
        <w:spacing w:before="0" w:after="100"/>
        <w:jc w:val="left"/>
      </w:pPr>
      <w:r>
        <w:rPr>
          <w:rFonts w:ascii="Calibri" w:hAnsi="Calibri"/>
          <w:b w:val="0"/>
          <w:color w:val="606060"/>
          <w:sz w:val="22"/>
        </w:rPr>
        <w:t>To discuss a sponsored enrollment program for your jurisdiction or organization:</w:t>
      </w:r>
    </w:p>
    <w:p>
      <w:pPr>
        <w:spacing w:before="0" w:after="60"/>
        <w:jc w:val="left"/>
      </w:pPr>
    </w:p>
    <w:tbl>
      <w:tblPr>
        <w:tblW w:type="auto" w:w="0"/>
        <w:tblLayout w:type="fixed"/>
        <w:tblLook w:firstColumn="1" w:firstRow="1" w:lastColumn="0" w:lastRow="0" w:noHBand="0" w:noVBand="1" w:val="04A0"/>
      </w:tblPr>
      <w:tblGrid>
        <w:gridCol w:w="9360"/>
      </w:tblGrid>
      <w:tr>
        <w:tc>
          <w:tcPr>
            <w:tcW w:type="dxa" w:w="9360"/>
            <w:shd w:val="clear" w:color="auto" w:fill="1B2A4A"/>
            <w:tcMar>
              <w:top w:w="280" w:type="dxa"/>
              <w:left w:w="360" w:type="dxa"/>
              <w:bottom w:w="280" w:type="dxa"/>
              <w:right w:w="360" w:type="dxa"/>
            </w:tcMar>
          </w:tcPr>
          <w:p/>
          <w:p>
            <w:pPr>
              <w:spacing w:before="120" w:after="120"/>
              <w:jc w:val="center"/>
            </w:pPr>
            <w:r>
              <w:rPr>
                <w:rFonts w:ascii="Calibri" w:hAnsi="Calibri"/>
                <w:b/>
                <w:color w:val="FFFFFF"/>
                <w:sz w:val="36"/>
              </w:rPr>
              <w:t>Let’s talk.</w:t>
            </w:r>
          </w:p>
          <w:p>
            <w:pPr>
              <w:spacing w:before="80" w:after="80"/>
              <w:jc w:val="center"/>
            </w:pPr>
            <w:r>
              <w:rPr>
                <w:rFonts w:ascii="Calibri" w:hAnsi="Calibri"/>
                <w:b w:val="0"/>
                <w:color w:val="FFFFFF"/>
                <w:sz w:val="24"/>
              </w:rPr>
              <w:t>davidduncan@contractorbidprep.com</w:t>
            </w:r>
          </w:p>
          <w:p>
            <w:pPr>
              <w:spacing w:before="80" w:after="120"/>
              <w:jc w:val="center"/>
            </w:pPr>
            <w:r>
              <w:rPr>
                <w:rFonts w:ascii="Calibri" w:hAnsi="Calibri"/>
                <w:b w:val="0"/>
                <w:color w:val="FFFFFF"/>
                <w:sz w:val="24"/>
              </w:rPr>
              <w:t>contractorbidprep.com</w:t>
            </w:r>
          </w:p>
        </w:tc>
      </w:tr>
    </w:tbl>
    <w:p>
      <w:pPr>
        <w:spacing w:before="0" w:after="120"/>
        <w:jc w:val="left"/>
      </w:pPr>
    </w:p>
    <w:p>
      <w:pPr>
        <w:spacing w:before="200" w:after="0"/>
        <w:jc w:val="center"/>
      </w:pPr>
      <w:r>
        <w:rPr>
          <w:rFonts w:ascii="Calibri" w:hAnsi="Calibri"/>
          <w:b w:val="0"/>
          <w:color w:val="9CA3AF"/>
          <w:sz w:val="16"/>
        </w:rPr>
        <w:t>© 2026 Contractor Bid Prep — a DBA of ISCS  |  contractorbidprep.com  |  davidduncan@contractorbidprep.com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