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4F3D" w14:textId="36A92B51" w:rsidR="008F5100" w:rsidRPr="00B2205C" w:rsidRDefault="00B220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 - </w:t>
      </w:r>
      <w:r w:rsidR="00324C81" w:rsidRPr="00324C81">
        <w:rPr>
          <w:sz w:val="28"/>
          <w:szCs w:val="28"/>
          <w:lang w:val="en-US"/>
        </w:rPr>
        <w:t>Synthetic medical images from dual generative adversarial networks</w:t>
      </w:r>
    </w:p>
    <w:sectPr w:rsidR="008F5100" w:rsidRPr="00B2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18"/>
    <w:rsid w:val="00244F18"/>
    <w:rsid w:val="00324C81"/>
    <w:rsid w:val="008F5100"/>
    <w:rsid w:val="00B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093"/>
  <w15:chartTrackingRefBased/>
  <w15:docId w15:val="{68990D64-2FD6-46A0-8907-AE0F3E9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3</cp:revision>
  <dcterms:created xsi:type="dcterms:W3CDTF">2020-09-10T03:57:00Z</dcterms:created>
  <dcterms:modified xsi:type="dcterms:W3CDTF">2020-09-10T03:57:00Z</dcterms:modified>
</cp:coreProperties>
</file>