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p>
      <w:pPr>
        <w:pStyle w:val="Heading1"/>
        <w:spacing w:before="320" w:after="100"/>
      </w:pPr>
      <w:r>
        <w:rPr>
          <w:rFonts w:ascii="Calibri" w:hAnsi="Calibri"/>
          <w:b/>
          <w:bCs/>
          <w:color w:val="1f2d5a"/>
          <w:sz w:val="36"/>
          <w:szCs w:val="36"/>
        </w:rPr>
        <w:t xml:space="preserve">Section 56 — Phase 3 Vendor Onboarding &amp; Integration Protocol</w:t>
      </w:r>
    </w:p>
    <w:p>
      <w:pPr>
        <w:spacing w:after="40"/>
      </w:pPr>
    </w:p>
    <w:p>
      <w:pPr>
        <w:pStyle w:val="Heading2"/>
        <w:spacing w:before="200" w:after="80"/>
      </w:pPr>
      <w:r>
        <w:rPr>
          <w:rFonts w:ascii="Calibri" w:hAnsi="Calibri"/>
          <w:b/>
          <w:bCs/>
          <w:color w:val="2e75b6"/>
          <w:sz w:val="28"/>
          <w:szCs w:val="28"/>
        </w:rPr>
        <w:t xml:space="preserve">56.1 Overview &amp; Scope</w:t>
      </w:r>
    </w:p>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p>
      <w:pPr>
        <w:spacing w:after="40"/>
      </w:pPr>
    </w:p>
    <w:p>
      <w:pPr>
        <w:pStyle w:val="Heading2"/>
        <w:spacing w:before="200" w:after="80"/>
      </w:pPr>
      <w:r>
        <w:rPr>
          <w:rFonts w:ascii="Calibri" w:hAnsi="Calibri"/>
          <w:b/>
          <w:bCs/>
          <w:color w:val="2e75b6"/>
          <w:sz w:val="28"/>
          <w:szCs w:val="28"/>
        </w:rPr>
        <w:t xml:space="preserve">56.2 Vendor Onboarding Checklist P3-ONB-CHK-01–12</w:t>
      </w:r>
    </w:p>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p>
      <w:pPr>
        <w:spacing w:after="40"/>
      </w:pPr>
    </w:p>
    <w:p>
      <w:pPr>
        <w:pStyle w:val="Heading2"/>
        <w:spacing w:before="200" w:after="80"/>
      </w:pPr>
      <w:r>
        <w:rPr>
          <w:rFonts w:ascii="Calibri" w:hAnsi="Calibri"/>
          <w:b/>
          <w:bCs/>
          <w:color w:val="2e75b6"/>
          <w:sz w:val="28"/>
          <w:szCs w:val="28"/>
        </w:rPr>
        <w:t xml:space="preserve">56.3 Integration Protocol by Workstream</w:t>
      </w:r>
    </w:p>
    <w:p>
      <w:pPr>
        <w:ind w:left="400"/>
        <w:spacing w:after="80"/>
      </w:pPr>
      <w:r>
        <w:rPr>
          <w:rFonts w:ascii="Calibri" w:hAnsi="Calibri"/>
          <w:sz w:val="24"/>
          <w:szCs w:val="24"/>
        </w:rPr>
        <w:t xml:space="preserve">Workstream A — GAP-01 Biophilic Design Enhancement &amp; GAP-02 Design Freeze Gate AI (WS-A Vendor)</w:t>
      </w:r>
    </w:p>
    <w:p>
      <w:pPr>
        <w:ind w:left="600" w:hanging="200"/>
        <w:spacing w:after="60"/>
      </w:pPr>
      <w:r>
        <w:rPr>
          <w:rFonts w:ascii="Calibri" w:hAnsi="Calibri"/>
          <w:sz w:val="22"/>
          <w:szCs w:val="22"/>
        </w:rPr>
        <w:t xml:space="preserve">• Integration method: REST API (JSON payload, OAuth 2.0) + MQTT sensor stream for real-time biophilic data ingestion</w:t>
      </w:r>
    </w:p>
    <w:p>
      <w:pPr>
        <w:ind w:left="600" w:hanging="200"/>
        <w:spacing w:after="60"/>
      </w:pPr>
      <w:r>
        <w:rPr>
          <w:rFonts w:ascii="Calibri" w:hAnsi="Calibri"/>
          <w:sz w:val="22"/>
          <w:szCs w:val="22"/>
        </w:rPr>
        <w:t xml:space="preserve">• DAPH API Gateway (Nexus) routes: /api/v3/gap01/biophilic-score · /api/v3/gap02/freeze-gate-check</w:t>
      </w:r>
    </w:p>
    <w:p>
      <w:pPr>
        <w:ind w:left="600" w:hanging="200"/>
        <w:spacing w:after="60"/>
      </w:pPr>
      <w:r>
        <w:rPr>
          <w:rFonts w:ascii="Calibri" w:hAnsi="Calibri"/>
          <w:sz w:val="22"/>
          <w:szCs w:val="22"/>
        </w:rPr>
        <w:t xml:space="preserve">• Latency SLA: API response ≤ 500 ms (p95) under 50 concurrent requests</w:t>
      </w:r>
    </w:p>
    <w:p>
      <w:pPr>
        <w:ind w:left="600" w:hanging="200"/>
        <w:spacing w:after="60"/>
      </w:pPr>
      <w:r>
        <w:rPr>
          <w:rFonts w:ascii="Calibri" w:hAnsi="Calibri"/>
          <w:sz w:val="22"/>
          <w:szCs w:val="22"/>
        </w:rPr>
        <w:t xml:space="preserve">• Data schema: Signal defines biophilic sensor schema v3.1; vendor must comply within P3-M1 Wk 4</w:t>
      </w:r>
    </w:p>
    <w:p>
      <w:pPr>
        <w:ind w:left="600" w:hanging="200"/>
        <w:spacing w:after="60"/>
      </w:pPr>
      <w:r>
        <w:rPr>
          <w:rFonts w:ascii="Calibri" w:hAnsi="Calibri"/>
          <w:sz w:val="22"/>
          <w:szCs w:val="22"/>
        </w:rPr>
        <w:t xml:space="preserve">• Acceptance criteria: GAP-01 accuracy ≥ 90% (500-image blind test) · GAP-02 gate accuracy ≥ 95% (200-scenario milestone test)</w:t>
      </w:r>
    </w:p>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p>
      <w:pPr>
        <w:spacing w:after="40"/>
      </w:pPr>
    </w:p>
    <w:p>
      <w:pPr>
        <w:ind w:left="400"/>
        <w:spacing w:after="80"/>
      </w:pPr>
      <w:r>
        <w:rPr>
          <w:rFonts w:ascii="Calibri" w:hAnsi="Calibri"/>
          <w:sz w:val="24"/>
          <w:szCs w:val="24"/>
        </w:rPr>
        <w:t xml:space="preserve">Workstream B — GAP-03 Sensory Commissioning Full Automation &amp; GAP-04 POE Analytics (WS-B Vendor)</w:t>
      </w:r>
    </w:p>
    <w:p>
      <w:pPr>
        <w:ind w:left="600" w:hanging="200"/>
        <w:spacing w:after="60"/>
      </w:pPr>
      <w:r>
        <w:rPr>
          <w:rFonts w:ascii="Calibri" w:hAnsi="Calibri"/>
          <w:sz w:val="22"/>
          <w:szCs w:val="22"/>
        </w:rPr>
        <w:t xml:space="preserve">• Integration method: RTSP sensor feed (commissioning data) + nightly batch ETL pipeline (PostgreSQL → DAPH Data Lake)</w:t>
      </w:r>
    </w:p>
    <w:p>
      <w:pPr>
        <w:ind w:left="600" w:hanging="200"/>
        <w:spacing w:after="60"/>
      </w:pPr>
      <w:r>
        <w:rPr>
          <w:rFonts w:ascii="Calibri" w:hAnsi="Calibri"/>
          <w:sz w:val="22"/>
          <w:szCs w:val="22"/>
        </w:rPr>
        <w:t xml:space="preserve">• DAPH API Gateway routes: /api/v3/gap03/sensory-report · /api/v3/gap04/poe-analytics</w:t>
      </w:r>
    </w:p>
    <w:p>
      <w:pPr>
        <w:ind w:left="600" w:hanging="200"/>
        <w:spacing w:after="60"/>
      </w:pPr>
      <w:r>
        <w:rPr>
          <w:rFonts w:ascii="Calibri" w:hAnsi="Calibri"/>
          <w:sz w:val="22"/>
          <w:szCs w:val="22"/>
        </w:rPr>
        <w:t xml:space="preserve">• Batch window: nightly 01:00–03:00 ICT; Aria monitors pipeline; alert threshold &gt; 5% data drop</w:t>
      </w:r>
    </w:p>
    <w:p>
      <w:pPr>
        <w:ind w:left="600" w:hanging="200"/>
        <w:spacing w:after="60"/>
      </w:pPr>
      <w:r>
        <w:rPr>
          <w:rFonts w:ascii="Calibri" w:hAnsi="Calibri"/>
          <w:sz w:val="22"/>
          <w:szCs w:val="22"/>
        </w:rPr>
        <w:t xml:space="preserve">• Data schema: Aria defines sensory schema v2.0 and POE survey schema v1.5; vendor compliance verified at smoke test</w:t>
      </w:r>
    </w:p>
    <w:p>
      <w:pPr>
        <w:ind w:left="600" w:hanging="200"/>
        <w:spacing w:after="60"/>
      </w:pPr>
      <w:r>
        <w:rPr>
          <w:rFonts w:ascii="Calibri" w:hAnsi="Calibri"/>
          <w:sz w:val="22"/>
          <w:szCs w:val="22"/>
        </w:rPr>
        <w:t xml:space="preserve">• Acceptance criteria: GAP-03 recall ≥ 92% (48-hour commissioning run) · GAP-04 completeness ≥ 95% (30-room POE survey)</w:t>
      </w:r>
    </w:p>
    <w:p>
      <w:pPr>
        <w:ind w:left="600" w:hanging="200"/>
        <w:spacing w:after="60"/>
      </w:pPr>
      <w:r>
        <w:rPr>
          <w:rFonts w:ascii="Calibri" w:hAnsi="Calibri"/>
          <w:sz w:val="22"/>
          <w:szCs w:val="22"/>
        </w:rPr>
        <w:t xml:space="preserve">• Fallback: Manual commissioning checklist (Aria escalates to Shore for on-site verification if sensor feed drops &gt; 10 min)</w:t>
      </w:r>
    </w:p>
    <w:p>
      <w:pPr>
        <w:spacing w:after="40"/>
      </w:pPr>
    </w:p>
    <w:p>
      <w:pPr>
        <w:ind w:left="400"/>
        <w:spacing w:after="80"/>
      </w:pPr>
      <w:r>
        <w:rPr>
          <w:rFonts w:ascii="Calibri" w:hAnsi="Calibri"/>
          <w:sz w:val="24"/>
          <w:szCs w:val="24"/>
        </w:rPr>
        <w:t xml:space="preserve">Workstream C — GAP-13 Client Experience Intelligence, GAP-14 ESG Reporting &amp; GAP-15 Drift Monitoring (WS-C Vendor)</w:t>
      </w:r>
    </w:p>
    <w:p>
      <w:pPr>
        <w:ind w:left="600" w:hanging="200"/>
        <w:spacing w:after="60"/>
      </w:pPr>
      <w:r>
        <w:rPr>
          <w:rFonts w:ascii="Calibri" w:hAnsi="Calibri"/>
          <w:sz w:val="22"/>
          <w:szCs w:val="22"/>
        </w:rPr>
        <w:t xml:space="preserve">• Integration method: Webhook (NPS events, real-time) + ESG data lake batch (weekly) + real-time drift stream (Kafka topic)</w:t>
      </w:r>
    </w:p>
    <w:p>
      <w:pPr>
        <w:ind w:left="600" w:hanging="200"/>
        <w:spacing w:after="60"/>
      </w:pPr>
      <w:r>
        <w:rPr>
          <w:rFonts w:ascii="Calibri" w:hAnsi="Calibri"/>
          <w:sz w:val="22"/>
          <w:szCs w:val="22"/>
        </w:rPr>
        <w:t xml:space="preserve">• DAPH API Gateway routes: /api/v3/gap13/nps-score · /api/v3/gap14/esg-coverage · /api/v3/gap15/drift-alert</w:t>
      </w:r>
    </w:p>
    <w:p>
      <w:pPr>
        <w:ind w:left="600" w:hanging="200"/>
        <w:spacing w:after="60"/>
      </w:pPr>
      <w:r>
        <w:rPr>
          <w:rFonts w:ascii="Calibri" w:hAnsi="Calibri"/>
          <w:sz w:val="22"/>
          <w:szCs w:val="22"/>
        </w:rPr>
        <w:t xml:space="preserve">• Real-time requirement: GAP-15 drift alert must propagate to Vega dashboard within ≤ 1 hour of detection</w:t>
      </w:r>
    </w:p>
    <w:p>
      <w:pPr>
        <w:ind w:left="600" w:hanging="200"/>
        <w:spacing w:after="60"/>
      </w:pPr>
      <w:r>
        <w:rPr>
          <w:rFonts w:ascii="Calibri" w:hAnsi="Calibri"/>
          <w:sz w:val="22"/>
          <w:szCs w:val="22"/>
        </w:rPr>
        <w:t xml:space="preserve">• Agent coverage: GAP-13 NPS scoring covers all 28 MONOLITH agents (Core agent coordination)</w:t>
      </w:r>
    </w:p>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p>
      <w:pPr>
        <w:ind w:left="600" w:hanging="200"/>
        <w:spacing w:after="60"/>
      </w:pPr>
      <w:r>
        <w:rPr>
          <w:rFonts w:ascii="Calibri" w:hAnsi="Calibri"/>
          <w:sz w:val="22"/>
          <w:szCs w:val="22"/>
        </w:rPr>
        <w:t xml:space="preserve">• Fallback: Vega activates manual drift-review protocol if Kafka stream delay &gt; 2 hours; Guardian flags compliance risk</w:t>
      </w:r>
    </w:p>
    <w:p>
      <w:pPr>
        <w:spacing w:after="40"/>
      </w:pPr>
    </w:p>
    <w:p>
      <w:pPr>
        <w:pStyle w:val="Heading2"/>
        <w:spacing w:before="200" w:after="80"/>
      </w:pPr>
      <w:r>
        <w:rPr>
          <w:rFonts w:ascii="Calibri" w:hAnsi="Calibri"/>
          <w:b/>
          <w:bCs/>
          <w:color w:val="2e75b6"/>
          <w:sz w:val="28"/>
          <w:szCs w:val="28"/>
        </w:rPr>
        <w:t xml:space="preserve">56.4 SLA Acceptance Testing Matrix</w:t>
      </w:r>
    </w:p>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p>
      <w:pPr>
        <w:spacing w:after="40"/>
      </w:pPr>
    </w:p>
    <w:p>
      <w:pPr>
        <w:pStyle w:val="Heading2"/>
        <w:spacing w:before="200" w:after="80"/>
      </w:pPr>
      <w:r>
        <w:rPr>
          <w:rFonts w:ascii="Calibri" w:hAnsi="Calibri"/>
          <w:b/>
          <w:bCs/>
          <w:color w:val="2e75b6"/>
          <w:sz w:val="28"/>
          <w:szCs w:val="28"/>
        </w:rPr>
        <w:t xml:space="preserve">56.5 90-Day Hypercare &amp; Escalation Framework</w:t>
      </w:r>
    </w:p>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p>
      <w:pPr>
        <w:spacing w:after="40"/>
      </w:pPr>
    </w:p>
    <w:p>
      <w:pPr>
        <w:ind w:left="400"/>
        <w:spacing w:after="80"/>
      </w:pPr>
      <w:r>
        <w:rPr>
          <w:rFonts w:ascii="Calibri" w:hAnsi="Calibri"/>
          <w:sz w:val="24"/>
          <w:szCs w:val="24"/>
        </w:rPr>
        <w:t xml:space="preserve">Escalation Path (all workstreams):</w:t>
      </w:r>
    </w:p>
    <w:p>
      <w:pPr>
        <w:ind w:left="600" w:hanging="200"/>
        <w:spacing w:after="60"/>
      </w:pPr>
      <w:r>
        <w:rPr>
          <w:rFonts w:ascii="Calibri" w:hAnsi="Calibri"/>
          <w:sz w:val="22"/>
          <w:szCs w:val="22"/>
        </w:rPr>
        <w:t xml:space="preserve">• L1 — Vendor TAM: Initial triage and resolution (P1 ≤ 2h, P2 ≤ 8h, P3 ≤ 24h during intensive hypercare)</w:t>
      </w:r>
    </w:p>
    <w:p>
      <w:pPr>
        <w:ind w:left="600" w:hanging="200"/>
        <w:spacing w:after="60"/>
      </w:pPr>
      <w:r>
        <w:rPr>
          <w:rFonts w:ascii="Calibri" w:hAnsi="Calibri"/>
          <w:sz w:val="22"/>
          <w:szCs w:val="22"/>
        </w:rPr>
        <w:t xml:space="preserve">• L2 — MONOLITH Workstream Lead (Signal / Aria / Core): Technical escalation if L1 unresolved within SLA</w:t>
      </w:r>
    </w:p>
    <w:p>
      <w:pPr>
        <w:ind w:left="600" w:hanging="200"/>
        <w:spacing w:after="60"/>
      </w:pPr>
      <w:r>
        <w:rPr>
          <w:rFonts w:ascii="Calibri" w:hAnsi="Calibri"/>
          <w:sz w:val="22"/>
          <w:szCs w:val="22"/>
        </w:rPr>
        <w:t xml:space="preserve">• L3 — MONOLITH Tech Lead: Cross-workstream impact or systemic integration failure</w:t>
      </w:r>
    </w:p>
    <w:p>
      <w:pPr>
        <w:ind w:left="600" w:hanging="200"/>
        <w:spacing w:after="60"/>
      </w:pPr>
      <w:r>
        <w:rPr>
          <w:rFonts w:ascii="Calibri" w:hAnsi="Calibri"/>
          <w:sz w:val="22"/>
          <w:szCs w:val="22"/>
        </w:rPr>
        <w:t xml:space="preserve">• L4 — Phase 3 Programme Director: Contract breach, SLA miss &gt; 3 consecutive incidents, or P3 milestone at risk</w:t>
      </w:r>
    </w:p>
    <w:p>
      <w:pPr>
        <w:ind w:left="600" w:hanging="200"/>
        <w:spacing w:after="60"/>
      </w:pPr>
      <w:r>
        <w:rPr>
          <w:rFonts w:ascii="Calibri" w:hAnsi="Calibri"/>
          <w:sz w:val="22"/>
          <w:szCs w:val="22"/>
        </w:rPr>
        <w:t xml:space="preserve">• Guardian agent: Invoked for any security or PDPA-related incident; independent of L1–L4 escalation ladder</w:t>
      </w:r>
    </w:p>
    <w:p>
      <w:pPr>
        <w:ind w:left="600" w:hanging="200"/>
        <w:spacing w:after="60"/>
      </w:pPr>
      <w:r>
        <w:rPr>
          <w:rFonts w:ascii="Calibri" w:hAnsi="Calibri"/>
          <w:sz w:val="22"/>
          <w:szCs w:val="22"/>
        </w:rPr>
        <w:t xml:space="preserve">• Ledger agent: Records all P1/P2 incidents, resolutions, and SLA performance data in real-time for SC reporting</w:t>
      </w:r>
    </w:p>
    <w:p>
      <w:pPr>
        <w:spacing w:after="40"/>
      </w:pPr>
    </w:p>
    <w:p>
      <w:pPr>
        <w:pStyle w:val="Heading2"/>
        <w:spacing w:before="200" w:after="80"/>
      </w:pPr>
      <w:r>
        <w:rPr>
          <w:rFonts w:ascii="Calibri" w:hAnsi="Calibri"/>
          <w:b/>
          <w:bCs/>
          <w:color w:val="2e75b6"/>
          <w:sz w:val="28"/>
          <w:szCs w:val="28"/>
        </w:rPr>
        <w:t xml:space="preserve">56.6 Phase Gate: P3-M2 Completion Criteria</w:t>
      </w:r>
    </w:p>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p>
      <w:pPr>
        <w:ind w:left="600" w:hanging="200"/>
        <w:spacing w:after="60"/>
      </w:pPr>
      <w:r>
        <w:rPr>
          <w:rFonts w:ascii="Calibri" w:hAnsi="Calibri"/>
          <w:sz w:val="22"/>
          <w:szCs w:val="22"/>
        </w:rPr>
        <w:t xml:space="preserve">• P3-ONB-CHK-01–12: All twelve onboarding checklist items confirmed complete</w:t>
      </w:r>
    </w:p>
    <w:p>
      <w:pPr>
        <w:ind w:left="600" w:hanging="200"/>
        <w:spacing w:after="60"/>
      </w:pPr>
      <w:r>
        <w:rPr>
          <w:rFonts w:ascii="Calibri" w:hAnsi="Calibri"/>
          <w:sz w:val="22"/>
          <w:szCs w:val="22"/>
        </w:rPr>
        <w:t xml:space="preserve">• SLA acceptance: All 7 GAP acceptance tests passed (per 56.4 matrix); no outstanding remediation windows open</w:t>
      </w:r>
    </w:p>
    <w:p>
      <w:pPr>
        <w:ind w:left="600" w:hanging="200"/>
        <w:spacing w:after="60"/>
      </w:pPr>
      <w:r>
        <w:rPr>
          <w:rFonts w:ascii="Calibri" w:hAnsi="Calibri"/>
          <w:sz w:val="22"/>
          <w:szCs w:val="22"/>
        </w:rPr>
        <w:t xml:space="preserve">• Security: Guardian pen-test sign-off complete (P3-ONB-CHK-10); zero critical vulnerabilities open</w:t>
      </w:r>
    </w:p>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p>
      <w:pPr>
        <w:ind w:left="600" w:hanging="200"/>
        <w:spacing w:after="60"/>
      </w:pPr>
      <w:r>
        <w:rPr>
          <w:rFonts w:ascii="Calibri" w:hAnsi="Calibri"/>
          <w:sz w:val="22"/>
          <w:szCs w:val="22"/>
        </w:rPr>
        <w:t xml:space="preserve">• Zero P1 incidents: No unresolved P1 incidents at gate date across all three workstreams</w:t>
      </w:r>
    </w:p>
    <w:p>
      <w:pPr>
        <w:ind w:left="600" w:hanging="200"/>
        <w:spacing w:after="60"/>
      </w:pPr>
      <w:r>
        <w:rPr>
          <w:rFonts w:ascii="Calibri" w:hAnsi="Calibri"/>
          <w:sz w:val="22"/>
          <w:szCs w:val="22"/>
        </w:rPr>
        <w:t xml:space="preserve">• Data pipelines stable: 72-hour clean run of all WS-A/B/C data pipelines with &lt; 1% data drop rate</w:t>
      </w:r>
    </w:p>
    <w:p>
      <w:pPr>
        <w:ind w:left="600" w:hanging="200"/>
        <w:spacing w:after="60"/>
      </w:pPr>
      <w:r>
        <w:rPr>
          <w:rFonts w:ascii="Calibri" w:hAnsi="Calibri"/>
          <w:sz w:val="22"/>
          <w:szCs w:val="22"/>
        </w:rPr>
        <w:t xml:space="preserve">• SC documentation: Onboarding completion report (MONOLITH-S56-P3ONB-001) signed off and lodged with Ledger</w:t>
      </w:r>
    </w:p>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p>
      <w:pPr>
        <w:spacing w:after="40"/>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