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p>
      <w:pPr>
        <w:pStyle w:val="Heading1"/>
        <w:spacing w:before="320" w:after="100"/>
      </w:pPr>
      <w:r>
        <w:rPr>
          <w:rFonts w:ascii="Calibri" w:hAnsi="Calibri"/>
          <w:b/>
          <w:bCs/>
          <w:color w:val="1f2d5a"/>
          <w:sz w:val="36"/>
          <w:szCs w:val="36"/>
        </w:rPr>
        <w:t xml:space="preserve">Section 56 — Phase 3 Vendor Onboarding &amp; Integration Protocol</w:t>
      </w:r>
    </w:p>
    <w:p>
      <w:pPr>
        <w:spacing w:after="40"/>
      </w:pPr>
    </w:p>
    <w:p>
      <w:pPr>
        <w:pStyle w:val="Heading2"/>
        <w:spacing w:before="200" w:after="80"/>
      </w:pPr>
      <w:r>
        <w:rPr>
          <w:rFonts w:ascii="Calibri" w:hAnsi="Calibri"/>
          <w:b/>
          <w:bCs/>
          <w:color w:val="2e75b6"/>
          <w:sz w:val="28"/>
          <w:szCs w:val="28"/>
        </w:rPr>
        <w:t xml:space="preserve">56.1 Overview &amp; Scope</w:t>
      </w:r>
    </w:p>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p>
      <w:pPr>
        <w:spacing w:after="40"/>
      </w:pPr>
    </w:p>
    <w:p>
      <w:pPr>
        <w:pStyle w:val="Heading2"/>
        <w:spacing w:before="200" w:after="80"/>
      </w:pPr>
      <w:r>
        <w:rPr>
          <w:rFonts w:ascii="Calibri" w:hAnsi="Calibri"/>
          <w:b/>
          <w:bCs/>
          <w:color w:val="2e75b6"/>
          <w:sz w:val="28"/>
          <w:szCs w:val="28"/>
        </w:rPr>
        <w:t xml:space="preserve">56.2 Vendor Onboarding Checklist P3-ONB-CHK-01–12</w:t>
      </w:r>
    </w:p>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p>
      <w:pPr>
        <w:spacing w:after="40"/>
      </w:pPr>
    </w:p>
    <w:p>
      <w:pPr>
        <w:pStyle w:val="Heading2"/>
        <w:spacing w:before="200" w:after="80"/>
      </w:pPr>
      <w:r>
        <w:rPr>
          <w:rFonts w:ascii="Calibri" w:hAnsi="Calibri"/>
          <w:b/>
          <w:bCs/>
          <w:color w:val="2e75b6"/>
          <w:sz w:val="28"/>
          <w:szCs w:val="28"/>
        </w:rPr>
        <w:t xml:space="preserve">56.3 Integration Protocol by Workstream</w:t>
      </w:r>
    </w:p>
    <w:p>
      <w:pPr>
        <w:ind w:left="400"/>
        <w:spacing w:after="80"/>
      </w:pPr>
      <w:r>
        <w:rPr>
          <w:rFonts w:ascii="Calibri" w:hAnsi="Calibri"/>
          <w:sz w:val="24"/>
          <w:szCs w:val="24"/>
        </w:rPr>
        <w:t xml:space="preserve">Workstream A — GAP-01 Biophilic Design Enhancement &amp; GAP-02 Design Freeze Gate AI (WS-A Vendor)</w:t>
      </w:r>
    </w:p>
    <w:p>
      <w:pPr>
        <w:ind w:left="600" w:hanging="200"/>
        <w:spacing w:after="60"/>
      </w:pPr>
      <w:r>
        <w:rPr>
          <w:rFonts w:ascii="Calibri" w:hAnsi="Calibri"/>
          <w:sz w:val="22"/>
          <w:szCs w:val="22"/>
        </w:rPr>
        <w:t xml:space="preserve">• Integration method: REST API (JSON payload, OAuth 2.0) + MQTT sensor stream for real-time biophilic data ingestion</w:t>
      </w:r>
    </w:p>
    <w:p>
      <w:pPr>
        <w:ind w:left="600" w:hanging="200"/>
        <w:spacing w:after="60"/>
      </w:pPr>
      <w:r>
        <w:rPr>
          <w:rFonts w:ascii="Calibri" w:hAnsi="Calibri"/>
          <w:sz w:val="22"/>
          <w:szCs w:val="22"/>
        </w:rPr>
        <w:t xml:space="preserve">• DAPH API Gateway (Nexus) routes: /api/v3/gap01/biophilic-score · /api/v3/gap02/freeze-gate-check</w:t>
      </w:r>
    </w:p>
    <w:p>
      <w:pPr>
        <w:ind w:left="600" w:hanging="200"/>
        <w:spacing w:after="60"/>
      </w:pPr>
      <w:r>
        <w:rPr>
          <w:rFonts w:ascii="Calibri" w:hAnsi="Calibri"/>
          <w:sz w:val="22"/>
          <w:szCs w:val="22"/>
        </w:rPr>
        <w:t xml:space="preserve">• Latency SLA: API response ≤ 500 ms (p95) under 50 concurrent requests</w:t>
      </w:r>
    </w:p>
    <w:p>
      <w:pPr>
        <w:ind w:left="600" w:hanging="200"/>
        <w:spacing w:after="60"/>
      </w:pPr>
      <w:r>
        <w:rPr>
          <w:rFonts w:ascii="Calibri" w:hAnsi="Calibri"/>
          <w:sz w:val="22"/>
          <w:szCs w:val="22"/>
        </w:rPr>
        <w:t xml:space="preserve">• Data schema: Signal defines biophilic sensor schema v3.1; vendor must comply within P3-M1 Wk 4</w:t>
      </w:r>
    </w:p>
    <w:p>
      <w:pPr>
        <w:ind w:left="600" w:hanging="200"/>
        <w:spacing w:after="60"/>
      </w:pPr>
      <w:r>
        <w:rPr>
          <w:rFonts w:ascii="Calibri" w:hAnsi="Calibri"/>
          <w:sz w:val="22"/>
          <w:szCs w:val="22"/>
        </w:rPr>
        <w:t xml:space="preserve">• Acceptance criteria: GAP-01 accuracy ≥ 90% (500-image blind test) · GAP-02 gate accuracy ≥ 95% (200-scenario milestone test)</w:t>
      </w:r>
    </w:p>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p>
      <w:pPr>
        <w:spacing w:after="40"/>
      </w:pPr>
    </w:p>
    <w:p>
      <w:pPr>
        <w:ind w:left="400"/>
        <w:spacing w:after="80"/>
      </w:pPr>
      <w:r>
        <w:rPr>
          <w:rFonts w:ascii="Calibri" w:hAnsi="Calibri"/>
          <w:sz w:val="24"/>
          <w:szCs w:val="24"/>
        </w:rPr>
        <w:t xml:space="preserve">Workstream B — GAP-03 Sensory Commissioning Full Automation &amp; GAP-04 POE Analytics (WS-B Vendor)</w:t>
      </w:r>
    </w:p>
    <w:p>
      <w:pPr>
        <w:ind w:left="600" w:hanging="200"/>
        <w:spacing w:after="60"/>
      </w:pPr>
      <w:r>
        <w:rPr>
          <w:rFonts w:ascii="Calibri" w:hAnsi="Calibri"/>
          <w:sz w:val="22"/>
          <w:szCs w:val="22"/>
        </w:rPr>
        <w:t xml:space="preserve">• Integration method: RTSP sensor feed (commissioning data) + nightly batch ETL pipeline (PostgreSQL → DAPH Data Lake)</w:t>
      </w:r>
    </w:p>
    <w:p>
      <w:pPr>
        <w:ind w:left="600" w:hanging="200"/>
        <w:spacing w:after="60"/>
      </w:pPr>
      <w:r>
        <w:rPr>
          <w:rFonts w:ascii="Calibri" w:hAnsi="Calibri"/>
          <w:sz w:val="22"/>
          <w:szCs w:val="22"/>
        </w:rPr>
        <w:t xml:space="preserve">• DAPH API Gateway routes: /api/v3/gap03/sensory-report · /api/v3/gap04/poe-analytics</w:t>
      </w:r>
    </w:p>
    <w:p>
      <w:pPr>
        <w:ind w:left="600" w:hanging="200"/>
        <w:spacing w:after="60"/>
      </w:pPr>
      <w:r>
        <w:rPr>
          <w:rFonts w:ascii="Calibri" w:hAnsi="Calibri"/>
          <w:sz w:val="22"/>
          <w:szCs w:val="22"/>
        </w:rPr>
        <w:t xml:space="preserve">• Batch window: nightly 01:00–03:00 ICT; Aria monitors pipeline; alert threshold &gt; 5% data drop</w:t>
      </w:r>
    </w:p>
    <w:p>
      <w:pPr>
        <w:ind w:left="600" w:hanging="200"/>
        <w:spacing w:after="60"/>
      </w:pPr>
      <w:r>
        <w:rPr>
          <w:rFonts w:ascii="Calibri" w:hAnsi="Calibri"/>
          <w:sz w:val="22"/>
          <w:szCs w:val="22"/>
        </w:rPr>
        <w:t xml:space="preserve">• Data schema: Aria defines sensory schema v2.0 and POE survey schema v1.5; vendor compliance verified at smoke test</w:t>
      </w:r>
    </w:p>
    <w:p>
      <w:pPr>
        <w:ind w:left="600" w:hanging="200"/>
        <w:spacing w:after="60"/>
      </w:pPr>
      <w:r>
        <w:rPr>
          <w:rFonts w:ascii="Calibri" w:hAnsi="Calibri"/>
          <w:sz w:val="22"/>
          <w:szCs w:val="22"/>
        </w:rPr>
        <w:t xml:space="preserve">• Acceptance criteria: GAP-03 recall ≥ 92% (48-hour commissioning run) · GAP-04 completeness ≥ 95% (30-room POE survey)</w:t>
      </w:r>
    </w:p>
    <w:p>
      <w:pPr>
        <w:ind w:left="600" w:hanging="200"/>
        <w:spacing w:after="60"/>
      </w:pPr>
      <w:r>
        <w:rPr>
          <w:rFonts w:ascii="Calibri" w:hAnsi="Calibri"/>
          <w:sz w:val="22"/>
          <w:szCs w:val="22"/>
        </w:rPr>
        <w:t xml:space="preserve">• Fallback: Manual commissioning checklist (Aria escalates to Shore for on-site verification if sensor feed drops &gt; 10 min)</w:t>
      </w:r>
    </w:p>
    <w:p>
      <w:pPr>
        <w:spacing w:after="40"/>
      </w:pPr>
    </w:p>
    <w:p>
      <w:pPr>
        <w:ind w:left="400"/>
        <w:spacing w:after="80"/>
      </w:pPr>
      <w:r>
        <w:rPr>
          <w:rFonts w:ascii="Calibri" w:hAnsi="Calibri"/>
          <w:sz w:val="24"/>
          <w:szCs w:val="24"/>
        </w:rPr>
        <w:t xml:space="preserve">Workstream C — GAP-13 Client Experience Intelligence, GAP-14 ESG Reporting &amp; GAP-15 Drift Monitoring (WS-C Vendor)</w:t>
      </w:r>
    </w:p>
    <w:p>
      <w:pPr>
        <w:ind w:left="600" w:hanging="200"/>
        <w:spacing w:after="60"/>
      </w:pPr>
      <w:r>
        <w:rPr>
          <w:rFonts w:ascii="Calibri" w:hAnsi="Calibri"/>
          <w:sz w:val="22"/>
          <w:szCs w:val="22"/>
        </w:rPr>
        <w:t xml:space="preserve">• Integration method: Webhook (NPS events, real-time) + ESG data lake batch (weekly) + real-time drift stream (Kafka topic)</w:t>
      </w:r>
    </w:p>
    <w:p>
      <w:pPr>
        <w:ind w:left="600" w:hanging="200"/>
        <w:spacing w:after="60"/>
      </w:pPr>
      <w:r>
        <w:rPr>
          <w:rFonts w:ascii="Calibri" w:hAnsi="Calibri"/>
          <w:sz w:val="22"/>
          <w:szCs w:val="22"/>
        </w:rPr>
        <w:t xml:space="preserve">• DAPH API Gateway routes: /api/v3/gap13/nps-score · /api/v3/gap14/esg-coverage · /api/v3/gap15/drift-alert</w:t>
      </w:r>
    </w:p>
    <w:p>
      <w:pPr>
        <w:ind w:left="600" w:hanging="200"/>
        <w:spacing w:after="60"/>
      </w:pPr>
      <w:r>
        <w:rPr>
          <w:rFonts w:ascii="Calibri" w:hAnsi="Calibri"/>
          <w:sz w:val="22"/>
          <w:szCs w:val="22"/>
        </w:rPr>
        <w:t xml:space="preserve">• Real-time requirement: GAP-15 drift alert must propagate to Vega dashboard within ≤ 1 hour of detection</w:t>
      </w:r>
    </w:p>
    <w:p>
      <w:pPr>
        <w:ind w:left="600" w:hanging="200"/>
        <w:spacing w:after="60"/>
      </w:pPr>
      <w:r>
        <w:rPr>
          <w:rFonts w:ascii="Calibri" w:hAnsi="Calibri"/>
          <w:sz w:val="22"/>
          <w:szCs w:val="22"/>
        </w:rPr>
        <w:t xml:space="preserve">• Agent coverage: GAP-13 NPS scoring covers all 28 MONOLITH agents (Core agent coordination)</w:t>
      </w:r>
    </w:p>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p>
      <w:pPr>
        <w:ind w:left="600" w:hanging="200"/>
        <w:spacing w:after="60"/>
      </w:pPr>
      <w:r>
        <w:rPr>
          <w:rFonts w:ascii="Calibri" w:hAnsi="Calibri"/>
          <w:sz w:val="22"/>
          <w:szCs w:val="22"/>
        </w:rPr>
        <w:t xml:space="preserve">• Fallback: Vega activates manual drift-review protocol if Kafka stream delay &gt; 2 hours; Guardian flags compliance risk</w:t>
      </w:r>
    </w:p>
    <w:p>
      <w:pPr>
        <w:spacing w:after="40"/>
      </w:pPr>
    </w:p>
    <w:p>
      <w:pPr>
        <w:pStyle w:val="Heading2"/>
        <w:spacing w:before="200" w:after="80"/>
      </w:pPr>
      <w:r>
        <w:rPr>
          <w:rFonts w:ascii="Calibri" w:hAnsi="Calibri"/>
          <w:b/>
          <w:bCs/>
          <w:color w:val="2e75b6"/>
          <w:sz w:val="28"/>
          <w:szCs w:val="28"/>
        </w:rPr>
        <w:t xml:space="preserve">56.4 SLA Acceptance Testing Matrix</w:t>
      </w:r>
    </w:p>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p>
      <w:pPr>
        <w:spacing w:after="40"/>
      </w:pPr>
    </w:p>
    <w:p>
      <w:pPr>
        <w:pStyle w:val="Heading2"/>
        <w:spacing w:before="200" w:after="80"/>
      </w:pPr>
      <w:r>
        <w:rPr>
          <w:rFonts w:ascii="Calibri" w:hAnsi="Calibri"/>
          <w:b/>
          <w:bCs/>
          <w:color w:val="2e75b6"/>
          <w:sz w:val="28"/>
          <w:szCs w:val="28"/>
        </w:rPr>
        <w:t xml:space="preserve">56.5 90-Day Hypercare &amp; Escalation Framework</w:t>
      </w:r>
    </w:p>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p>
      <w:pPr>
        <w:spacing w:after="40"/>
      </w:pPr>
    </w:p>
    <w:p>
      <w:pPr>
        <w:ind w:left="400"/>
        <w:spacing w:after="80"/>
      </w:pPr>
      <w:r>
        <w:rPr>
          <w:rFonts w:ascii="Calibri" w:hAnsi="Calibri"/>
          <w:sz w:val="24"/>
          <w:szCs w:val="24"/>
        </w:rPr>
        <w:t xml:space="preserve">Escalation Path (all workstreams):</w:t>
      </w:r>
    </w:p>
    <w:p>
      <w:pPr>
        <w:ind w:left="600" w:hanging="200"/>
        <w:spacing w:after="60"/>
      </w:pPr>
      <w:r>
        <w:rPr>
          <w:rFonts w:ascii="Calibri" w:hAnsi="Calibri"/>
          <w:sz w:val="22"/>
          <w:szCs w:val="22"/>
        </w:rPr>
        <w:t xml:space="preserve">• L1 — Vendor TAM: Initial triage and resolution (P1 ≤ 2h, P2 ≤ 8h, P3 ≤ 24h during intensive hypercare)</w:t>
      </w:r>
    </w:p>
    <w:p>
      <w:pPr>
        <w:ind w:left="600" w:hanging="200"/>
        <w:spacing w:after="60"/>
      </w:pPr>
      <w:r>
        <w:rPr>
          <w:rFonts w:ascii="Calibri" w:hAnsi="Calibri"/>
          <w:sz w:val="22"/>
          <w:szCs w:val="22"/>
        </w:rPr>
        <w:t xml:space="preserve">• L2 — MONOLITH Workstream Lead (Signal / Aria / Core): Technical escalation if L1 unresolved within SLA</w:t>
      </w:r>
    </w:p>
    <w:p>
      <w:pPr>
        <w:ind w:left="600" w:hanging="200"/>
        <w:spacing w:after="60"/>
      </w:pPr>
      <w:r>
        <w:rPr>
          <w:rFonts w:ascii="Calibri" w:hAnsi="Calibri"/>
          <w:sz w:val="22"/>
          <w:szCs w:val="22"/>
        </w:rPr>
        <w:t xml:space="preserve">• L3 — MONOLITH Tech Lead: Cross-workstream impact or systemic integration failure</w:t>
      </w:r>
    </w:p>
    <w:p>
      <w:pPr>
        <w:ind w:left="600" w:hanging="200"/>
        <w:spacing w:after="60"/>
      </w:pPr>
      <w:r>
        <w:rPr>
          <w:rFonts w:ascii="Calibri" w:hAnsi="Calibri"/>
          <w:sz w:val="22"/>
          <w:szCs w:val="22"/>
        </w:rPr>
        <w:t xml:space="preserve">• L4 — Phase 3 Programme Director: Contract breach, SLA miss &gt; 3 consecutive incidents, or P3 milestone at risk</w:t>
      </w:r>
    </w:p>
    <w:p>
      <w:pPr>
        <w:ind w:left="600" w:hanging="200"/>
        <w:spacing w:after="60"/>
      </w:pPr>
      <w:r>
        <w:rPr>
          <w:rFonts w:ascii="Calibri" w:hAnsi="Calibri"/>
          <w:sz w:val="22"/>
          <w:szCs w:val="22"/>
        </w:rPr>
        <w:t xml:space="preserve">• Guardian agent: Invoked for any security or PDPA-related incident; independent of L1–L4 escalation ladder</w:t>
      </w:r>
    </w:p>
    <w:p>
      <w:pPr>
        <w:ind w:left="600" w:hanging="200"/>
        <w:spacing w:after="60"/>
      </w:pPr>
      <w:r>
        <w:rPr>
          <w:rFonts w:ascii="Calibri" w:hAnsi="Calibri"/>
          <w:sz w:val="22"/>
          <w:szCs w:val="22"/>
        </w:rPr>
        <w:t xml:space="preserve">• Ledger agent: Records all P1/P2 incidents, resolutions, and SLA performance data in real-time for SC reporting</w:t>
      </w:r>
    </w:p>
    <w:p>
      <w:pPr>
        <w:spacing w:after="40"/>
      </w:pPr>
    </w:p>
    <w:p>
      <w:pPr>
        <w:pStyle w:val="Heading2"/>
        <w:spacing w:before="200" w:after="80"/>
      </w:pPr>
      <w:r>
        <w:rPr>
          <w:rFonts w:ascii="Calibri" w:hAnsi="Calibri"/>
          <w:b/>
          <w:bCs/>
          <w:color w:val="2e75b6"/>
          <w:sz w:val="28"/>
          <w:szCs w:val="28"/>
        </w:rPr>
        <w:t xml:space="preserve">56.6 Phase Gate: P3-M2 Completion Criteria</w:t>
      </w:r>
    </w:p>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p>
      <w:pPr>
        <w:ind w:left="600" w:hanging="200"/>
        <w:spacing w:after="60"/>
      </w:pPr>
      <w:r>
        <w:rPr>
          <w:rFonts w:ascii="Calibri" w:hAnsi="Calibri"/>
          <w:sz w:val="22"/>
          <w:szCs w:val="22"/>
        </w:rPr>
        <w:t xml:space="preserve">• P3-ONB-CHK-01–12: All twelve onboarding checklist items confirmed complete</w:t>
      </w:r>
    </w:p>
    <w:p>
      <w:pPr>
        <w:ind w:left="600" w:hanging="200"/>
        <w:spacing w:after="60"/>
      </w:pPr>
      <w:r>
        <w:rPr>
          <w:rFonts w:ascii="Calibri" w:hAnsi="Calibri"/>
          <w:sz w:val="22"/>
          <w:szCs w:val="22"/>
        </w:rPr>
        <w:t xml:space="preserve">• SLA acceptance: All 7 GAP acceptance tests passed (per 56.4 matrix); no outstanding remediation windows open</w:t>
      </w:r>
    </w:p>
    <w:p>
      <w:pPr>
        <w:ind w:left="600" w:hanging="200"/>
        <w:spacing w:after="60"/>
      </w:pPr>
      <w:r>
        <w:rPr>
          <w:rFonts w:ascii="Calibri" w:hAnsi="Calibri"/>
          <w:sz w:val="22"/>
          <w:szCs w:val="22"/>
        </w:rPr>
        <w:t xml:space="preserve">• Security: Guardian pen-test sign-off complete (P3-ONB-CHK-10); zero critical vulnerabilities open</w:t>
      </w:r>
    </w:p>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p>
      <w:pPr>
        <w:ind w:left="600" w:hanging="200"/>
        <w:spacing w:after="60"/>
      </w:pPr>
      <w:r>
        <w:rPr>
          <w:rFonts w:ascii="Calibri" w:hAnsi="Calibri"/>
          <w:sz w:val="22"/>
          <w:szCs w:val="22"/>
        </w:rPr>
        <w:t xml:space="preserve">• Zero P1 incidents: No unresolved P1 incidents at gate date across all three workstreams</w:t>
      </w:r>
    </w:p>
    <w:p>
      <w:pPr>
        <w:ind w:left="600" w:hanging="200"/>
        <w:spacing w:after="60"/>
      </w:pPr>
      <w:r>
        <w:rPr>
          <w:rFonts w:ascii="Calibri" w:hAnsi="Calibri"/>
          <w:sz w:val="22"/>
          <w:szCs w:val="22"/>
        </w:rPr>
        <w:t xml:space="preserve">• Data pipelines stable: 72-hour clean run of all WS-A/B/C data pipelines with &lt; 1% data drop rate</w:t>
      </w:r>
    </w:p>
    <w:p>
      <w:pPr>
        <w:ind w:left="600" w:hanging="200"/>
        <w:spacing w:after="60"/>
      </w:pPr>
      <w:r>
        <w:rPr>
          <w:rFonts w:ascii="Calibri" w:hAnsi="Calibri"/>
          <w:sz w:val="22"/>
          <w:szCs w:val="22"/>
        </w:rPr>
        <w:t xml:space="preserve">• SC documentation: Onboarding completion report (MONOLITH-S56-P3ONB-001) signed off and lodged with Ledger</w:t>
      </w:r>
    </w:p>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p>
      <w:pPr>
        <w:spacing w:after="40"/>
      </w:pPr>
    </w:p>
    <w:p>
      <w:pPr>
        <w:pStyle w:val="Heading1"/>
        <w:spacing w:before="320" w:after="100"/>
      </w:pPr>
      <w:r>
        <w:rPr>
          <w:rFonts w:ascii="Calibri" w:hAnsi="Calibri"/>
          <w:b/>
          <w:bCs/>
          <w:color w:val="1f2d5a"/>
          <w:sz w:val="36"/>
          <w:szCs w:val="36"/>
        </w:rPr>
        <w:t xml:space="preserve">Section 57 — Phase 3 Go-Live Operations Plan</w:t>
      </w:r>
    </w:p>
    <w:p>
      <w:pPr>
        <w:spacing w:after="40"/>
      </w:pPr>
    </w:p>
    <w:p>
      <w:pPr>
        <w:pStyle w:val="Heading2"/>
        <w:spacing w:before="200" w:after="80"/>
      </w:pPr>
      <w:r>
        <w:rPr>
          <w:rFonts w:ascii="Calibri" w:hAnsi="Calibri"/>
          <w:b/>
          <w:bCs/>
          <w:color w:val="2e75b6"/>
          <w:sz w:val="28"/>
          <w:szCs w:val="28"/>
        </w:rPr>
        <w:t xml:space="preserve">57.1 Overview &amp; Scope</w:t>
      </w:r>
    </w:p>
    <w:p>
      <w:pPr>
        <w:ind w:left="400"/>
        <w:spacing w:after="80"/>
      </w:pPr>
      <w:r>
        <w:rPr>
          <w:rFonts w:ascii="Calibri" w:hAnsi="Calibri"/>
          <w:sz w:val="24"/>
          <w:szCs w:val="24"/>
        </w:rPr>
        <w:t xml:space="preserve">This section documents the Phase 3 Go-Live Operations Plan (MONOLITH-S57-P3GOLIVE-001 v1.0), governing the cutover execution, BAU transition, and post-go-live monitoring for all seven Phase 3 GAPs following successful completion of vendor onboarding (S56). Phase 3 Go-Live marks the achievement of the programme's 92% automation coverage target across all 28 MONOLITH agents, completing the three-phase journey from baseline 56% (pre-programme) through Phase 1 (68%), Phase 2 (80%), and Phase 3 (92%). This plan mirrors MONOLITH-S53-GOLIVE-001 (Phase 2 Go-Live, S53) and extends it to Phase 3 scope covering GAP-01, GAP-02, GAP-03, GAP-04, GAP-13, GAP-14, and GAP-15.</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MONOLITH-S57-P3GOLIVE-001 v1.0</w:t>
      </w:r>
    </w:p>
    <w:p>
      <w:pPr>
        <w:ind w:left="400"/>
        <w:spacing w:after="60"/>
      </w:pPr>
      <w:r>
        <w:rPr>
          <w:rFonts w:ascii="Calibri" w:hAnsi="Calibri"/>
          <w:b/>
          <w:bCs/>
          <w:sz w:val="22"/>
          <w:szCs w:val="22"/>
        </w:rPr>
        <w:t xml:space="preserve">Parent documents: </w:t>
      </w:r>
      <w:r>
        <w:rPr>
          <w:rFonts w:ascii="Calibri" w:hAnsi="Calibri"/>
          <w:sz w:val="22"/>
          <w:szCs w:val="22"/>
        </w:rPr>
        <w:t xml:space="preserve">S56 (Phase 3 Vendor Onboarding) · S54 (Phase 3 PDD) · S53 (Phase 2 Go-Live)</w:t>
      </w:r>
    </w:p>
    <w:p>
      <w:pPr>
        <w:ind w:left="400"/>
        <w:spacing w:after="60"/>
      </w:pPr>
      <w:r>
        <w:rPr>
          <w:rFonts w:ascii="Calibri" w:hAnsi="Calibri"/>
          <w:b/>
          <w:bCs/>
          <w:sz w:val="22"/>
          <w:szCs w:val="22"/>
        </w:rPr>
        <w:t xml:space="preserve">Programme milestone: </w:t>
      </w:r>
      <w:r>
        <w:rPr>
          <w:rFonts w:ascii="Calibri" w:hAnsi="Calibri"/>
          <w:sz w:val="22"/>
          <w:szCs w:val="22"/>
        </w:rPr>
        <w:t xml:space="preserve">P3-M4 — Phase 3 Go-Live &amp; Programme Closure Gate</w:t>
      </w:r>
    </w:p>
    <w:p>
      <w:pPr>
        <w:ind w:left="400"/>
        <w:spacing w:after="60"/>
      </w:pPr>
      <w:r>
        <w:rPr>
          <w:rFonts w:ascii="Calibri" w:hAnsi="Calibri"/>
          <w:b/>
          <w:bCs/>
          <w:sz w:val="22"/>
          <w:szCs w:val="22"/>
        </w:rPr>
        <w:t xml:space="preserve">Coverage target: </w:t>
      </w:r>
      <w:r>
        <w:rPr>
          <w:rFonts w:ascii="Calibri" w:hAnsi="Calibri"/>
          <w:sz w:val="22"/>
          <w:szCs w:val="22"/>
        </w:rPr>
        <w:t xml:space="preserve">92% automation coverage (28/28 agents); up from 80% at Phase 2 Go-Live</w:t>
      </w:r>
    </w:p>
    <w:p>
      <w:pPr>
        <w:ind w:left="400"/>
        <w:spacing w:after="60"/>
      </w:pPr>
      <w:r>
        <w:rPr>
          <w:rFonts w:ascii="Calibri" w:hAnsi="Calibri"/>
          <w:b/>
          <w:bCs/>
          <w:sz w:val="22"/>
          <w:szCs w:val="22"/>
        </w:rPr>
        <w:t xml:space="preserve">Trigger condition: </w:t>
      </w:r>
      <w:r>
        <w:rPr>
          <w:rFonts w:ascii="Calibri" w:hAnsi="Calibri"/>
          <w:sz w:val="22"/>
          <w:szCs w:val="22"/>
        </w:rPr>
        <w:t xml:space="preserve">P3-ONB-CHK-01–12 complete (S56); all 7 GAP SLA acceptance tests passed; P3-GL-CHK-08 Go/No-Go SC approval</w:t>
      </w:r>
    </w:p>
    <w:p>
      <w:pPr>
        <w:ind w:left="400"/>
        <w:spacing w:after="60"/>
      </w:pPr>
      <w:r>
        <w:rPr>
          <w:rFonts w:ascii="Calibri" w:hAnsi="Calibri"/>
          <w:b/>
          <w:bCs/>
          <w:sz w:val="22"/>
          <w:szCs w:val="22"/>
        </w:rPr>
        <w:t xml:space="preserve">Go-Live window: </w:t>
      </w:r>
      <w:r>
        <w:rPr>
          <w:rFonts w:ascii="Calibri" w:hAnsi="Calibri"/>
          <w:sz w:val="22"/>
          <w:szCs w:val="22"/>
        </w:rPr>
        <w:t xml:space="preserve">P3-M4 — maintenance window 23:00–03:00 ICT (Sunday night); 4-hour cutover</w:t>
      </w:r>
    </w:p>
    <w:p>
      <w:pPr>
        <w:ind w:left="400"/>
        <w:spacing w:after="60"/>
      </w:pPr>
      <w:r>
        <w:rPr>
          <w:rFonts w:ascii="Calibri" w:hAnsi="Calibri"/>
          <w:b/>
          <w:bCs/>
          <w:sz w:val="22"/>
          <w:szCs w:val="22"/>
        </w:rPr>
        <w:t xml:space="preserve">MONOLITH agents: </w:t>
      </w:r>
      <w:r>
        <w:rPr>
          <w:rFonts w:ascii="Calibri" w:hAnsi="Calibri"/>
          <w:sz w:val="22"/>
          <w:szCs w:val="22"/>
        </w:rPr>
        <w:t xml:space="preserve">All 28 agents — Nexus (gateway), Guardian (compliance), Ledger (audit), Signal/Aria/Core (WS leads), Vega (monitoring)</w:t>
      </w:r>
    </w:p>
    <w:p>
      <w:pPr>
        <w:ind w:left="400"/>
        <w:spacing w:after="60"/>
      </w:pPr>
      <w:r>
        <w:rPr>
          <w:rFonts w:ascii="Calibri" w:hAnsi="Calibri"/>
          <w:b/>
          <w:bCs/>
          <w:sz w:val="22"/>
          <w:szCs w:val="22"/>
        </w:rPr>
        <w:t xml:space="preserve">Phase 2 precedent: </w:t>
      </w:r>
      <w:r>
        <w:rPr>
          <w:rFonts w:ascii="Calibri" w:hAnsi="Calibri"/>
          <w:sz w:val="22"/>
          <w:szCs w:val="22"/>
        </w:rPr>
        <w:t xml:space="preserve">S53 MONOLITH-S53-GOLIVE-001; GL-CHK-10 SC approval confirmed; 80% coverage achieved</w:t>
      </w:r>
    </w:p>
    <w:p>
      <w:pPr>
        <w:spacing w:after="40"/>
      </w:pPr>
    </w:p>
    <w:p>
      <w:pPr>
        <w:pStyle w:val="Heading2"/>
        <w:spacing w:before="200" w:after="80"/>
      </w:pPr>
      <w:r>
        <w:rPr>
          <w:rFonts w:ascii="Calibri" w:hAnsi="Calibri"/>
          <w:b/>
          <w:bCs/>
          <w:color w:val="2e75b6"/>
          <w:sz w:val="28"/>
          <w:szCs w:val="28"/>
        </w:rPr>
        <w:t xml:space="preserve">57.2 Phase 3 Cutover Schedule (T-5 Days to T+72 Hours)</w:t>
      </w:r>
    </w:p>
    <w:p>
      <w:pPr>
        <w:ind w:left="400"/>
        <w:spacing w:after="80"/>
      </w:pPr>
      <w:r>
        <w:rPr>
          <w:rFonts w:ascii="Calibri" w:hAnsi="Calibri"/>
          <w:sz w:val="24"/>
          <w:szCs w:val="24"/>
        </w:rPr>
        <w:t xml:space="preserve">The Phase 3 cutover follows the same T-timeline framework as Phase 2 (S53), adapted for three workstreams and seven GAPs. All times are ICT (UTC+7). The cutover lead is the Phase 3 Programme Director supported by all three Workstream Leads (Signal, Aria, Core) and vendor TAMs.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Time Point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Activity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Success Criterion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Final system freeze — no configuration changes to WS-A/B/C integrations; vendor change freeze activated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Change freeze confirmed by all 3 vendors; Nexus freeze log created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migration validation — seed data verified for GAP-01/02/03/04/13/14/15 baseline models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critical data discrepancies; Ledger sign-off</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T-3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running start — Phase 3 systems active alongside Phase 2 BAU; output comparison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divergence rate &lt; 5%; no P1 alerts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 full rollback procedure executed in staging; timing verified ≤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completes in staging within 2h; documented P3-GL-CHK-05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T-1 day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review — P3-GL-CHK-01–09 verified; SC Chair final confirmation (P3-GL-CHK-08)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P3-GL-CHK-01–09 PASS; SC Chair sign-off recorded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window opens — MONOLITH maintenance mode activated; user access suspended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mode confirmed; Guardian audit log opened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WS-A cutover — GAP-01/02 production traffic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health check pass; GAP-01/02 production endpoints responding</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WS-B cutover — GAP-03/04 production pipeline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Pipeline health check pass; first batch run queued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WS-C cutover — GAP-13/14/15 webhook + Kafka streams switched to Phase 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GAP-15 drift stream live; NPS webhook test events confirmed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(01:00)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system health check — all 28 agents, all 7 GAP endpoints, Vega dashboard green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All WS Leads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28 agents responding; 0 P1 incidents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window closes — user access restored; Phase 3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complete; P3-M4 Go-Live declared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First post-go-live health check — GAP-01–04/13–15 SLA metrics reviewed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SLA metrics within ±5% of acceptance test results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Day-1 stand-up — all 3 vendor TAMs, all WS Leads; P1/P2 incident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unresolved P1 incidents; daily hypercare cadence established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T+72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post-go-live review — SC briefing; coverage achievement confirmed; hypercare status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confirmed; zero P1 open; SC acceptance of P3-M4 milestone</w:t>
            </w:r>
          </w:p>
        </w:tc>
      </w:tr>
    </w:tbl>
    <w:p>
      <w:pPr>
        <w:spacing w:after="40"/>
      </w:pPr>
    </w:p>
    <w:p>
      <w:pPr>
        <w:pStyle w:val="Heading2"/>
        <w:spacing w:before="200" w:after="80"/>
      </w:pPr>
      <w:r>
        <w:rPr>
          <w:rFonts w:ascii="Calibri" w:hAnsi="Calibri"/>
          <w:b/>
          <w:bCs/>
          <w:color w:val="2e75b6"/>
          <w:sz w:val="28"/>
          <w:szCs w:val="28"/>
        </w:rPr>
        <w:t xml:space="preserve">57.3 BAU Transition Plan — 92% Coverage Achievement</w:t>
      </w:r>
    </w:p>
    <w:p>
      <w:pPr>
        <w:ind w:left="400"/>
        <w:spacing w:after="80"/>
      </w:pPr>
      <w:r>
        <w:rPr>
          <w:rFonts w:ascii="Calibri" w:hAnsi="Calibri"/>
          <w:sz w:val="24"/>
          <w:szCs w:val="24"/>
        </w:rPr>
        <w:t xml:space="preserve">Following Go-Live (T+0), the programme enters a structured 90-day BAU transition mirroring the Phase 2 transition framework (S53). The target is stable 92% automation coverage across all 28 MONOLITH agents, with all SLA groups meeting their contracted targets and no outstanding programme remediation items.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BAU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Coverage KPI</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Key Activities</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1 — Stabilisation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1–30 (P3-M4 post-GL)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 (stabilising to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incident review; hypercare intensive; SLA tuning per GAP if &lt; target; Vega dashboard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 + All WS Leads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2 — Optimisation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31–60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GAP model retraining if GAP-01/03/13 below target; hypercare active phase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 Leads + Vendor TAMs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3 — Consolidation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61–90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update; SLA performance report to Ledger; hypercare transition to standard support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Ledger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Maintain ≥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 ITIL standard support; Vega continuous monitoring; annual GAP review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Ongoing — WS Leads + Vega</w:t>
            </w:r>
          </w:p>
        </w:tc>
      </w:tr>
    </w:tbl>
    <w:p>
      <w:pPr>
        <w:spacing w:after="40"/>
      </w:pPr>
    </w:p>
    <w:p>
      <w:pPr>
        <w:ind w:left="400"/>
        <w:spacing w:after="80"/>
      </w:pPr>
      <w:r>
        <w:rPr>
          <w:rFonts w:ascii="Calibri" w:hAnsi="Calibri"/>
          <w:sz w:val="24"/>
          <w:szCs w:val="24"/>
        </w:rPr>
        <w:t xml:space="preserve">92% Coverage Breakdown by Workstream and SLA Group:</w:t>
      </w:r>
    </w:p>
    <w:p>
      <w:pPr>
        <w:ind w:left="600" w:hanging="200"/>
        <w:spacing w:after="60"/>
      </w:pPr>
      <w:r>
        <w:rPr>
          <w:rFonts w:ascii="Calibri" w:hAnsi="Calibri"/>
          <w:sz w:val="22"/>
          <w:szCs w:val="22"/>
        </w:rPr>
        <w:t xml:space="preserve">• WS-A (GAP-01/02): Signal agent — Biophilic scoring active for all MONOLITH projects; Design Freeze Gate automated across all applicable milestones</w:t>
      </w:r>
    </w:p>
    <w:p>
      <w:pPr>
        <w:ind w:left="600" w:hanging="200"/>
        <w:spacing w:after="60"/>
      </w:pPr>
      <w:r>
        <w:rPr>
          <w:rFonts w:ascii="Calibri" w:hAnsi="Calibri"/>
          <w:sz w:val="22"/>
          <w:szCs w:val="22"/>
        </w:rPr>
        <w:t xml:space="preserve">• WS-B (GAP-03/04): Aria agent — Sensory commissioning reports auto-generated for all completed rooms; POE analytics live for all occupied spaces</w:t>
      </w:r>
    </w:p>
    <w:p>
      <w:pPr>
        <w:ind w:left="600" w:hanging="200"/>
        <w:spacing w:after="60"/>
      </w:pPr>
      <w:r>
        <w:rPr>
          <w:rFonts w:ascii="Calibri" w:hAnsi="Calibri"/>
          <w:sz w:val="22"/>
          <w:szCs w:val="22"/>
        </w:rPr>
        <w:t xml:space="preserve">• WS-C (GAP-13): Core agent — NPS accuracy ≥ 80% maintained across all 28 agents; Kelly/Signal/Aria/Blaze/Nova at Group A target (≥ 95%)</w:t>
      </w:r>
    </w:p>
    <w:p>
      <w:pPr>
        <w:ind w:left="600" w:hanging="200"/>
        <w:spacing w:after="60"/>
      </w:pPr>
      <w:r>
        <w:rPr>
          <w:rFonts w:ascii="Calibri" w:hAnsi="Calibri"/>
          <w:sz w:val="22"/>
          <w:szCs w:val="22"/>
        </w:rPr>
        <w:t xml:space="preserve">• WS-C (GAP-14): Ledger agent — ESG coverage ≥ 80% across all active material procurement events; quarterly ESG report auto-generated</w:t>
      </w:r>
    </w:p>
    <w:p>
      <w:pPr>
        <w:ind w:left="600" w:hanging="200"/>
        <w:spacing w:after="60"/>
      </w:pPr>
      <w:r>
        <w:rPr>
          <w:rFonts w:ascii="Calibri" w:hAnsi="Calibri"/>
          <w:sz w:val="22"/>
          <w:szCs w:val="22"/>
        </w:rPr>
        <w:t xml:space="preserve">• WS-C (GAP-15): Vega agent — Drift monitoring live for all 28 agents; alert latency ≤ 1h; model retraining triggered within 24h of confirmed drift</w:t>
      </w:r>
    </w:p>
    <w:p>
      <w:pPr>
        <w:ind w:left="600" w:hanging="200"/>
        <w:spacing w:after="60"/>
      </w:pPr>
      <w:r>
        <w:rPr>
          <w:rFonts w:ascii="Calibri" w:hAnsi="Calibri"/>
          <w:sz w:val="22"/>
          <w:szCs w:val="22"/>
        </w:rPr>
        <w:t xml:space="preserve">• Programme total: Phase 1 (68%) + Phase 2 (80%) + Phase 3 (92%) — THB 18.2M over three phases</w:t>
      </w:r>
    </w:p>
    <w:p>
      <w:pPr>
        <w:spacing w:after="40"/>
      </w:pPr>
    </w:p>
    <w:p>
      <w:pPr>
        <w:pStyle w:val="Heading2"/>
        <w:spacing w:before="200" w:after="80"/>
      </w:pPr>
      <w:r>
        <w:rPr>
          <w:rFonts w:ascii="Calibri" w:hAnsi="Calibri"/>
          <w:b/>
          <w:bCs/>
          <w:color w:val="2e75b6"/>
          <w:sz w:val="28"/>
          <w:szCs w:val="28"/>
        </w:rPr>
        <w:t xml:space="preserve">57.4 Phase 3 Readiness Gate Criteria (P3-GL-CHK-01–10)</w:t>
      </w:r>
    </w:p>
    <w:p>
      <w:pPr>
        <w:ind w:left="400"/>
        <w:spacing w:after="80"/>
      </w:pPr>
      <w:r>
        <w:rPr>
          <w:rFonts w:ascii="Calibri" w:hAnsi="Calibri"/>
          <w:sz w:val="24"/>
          <w:szCs w:val="24"/>
        </w:rPr>
        <w:t xml:space="preserve">The Phase 3 Go-Live readiness gate (P3-GL-CHK-01–10) must be fully satisfied before the Go/No-Go meeting (P3-GL-CHK-08) and SC final approval (P3-GL-CHK-10). This checklist mirrors GL-CHK-01–10 from S53 (Phase 2 Go-Live) and is mandatory for the P3-M4 milestone gate. P3-GL-CHK-08 and P3-GL-CHK-10 are hard SC gates.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Readiness Criterion</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Evidence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P3-ONB-CHK-01–12 fully complete — all vendors onboarded, SLA tests passed (S56)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S56 completion report signed by Programme Director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7 GAP SLA acceptance tests passed — no remediation windows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test result certificates per GAP (per S56 §56.4)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clean data pipeline run — WS-A/B/C all pipelines &lt; 1% data drop</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pipeline monitoring report (72h window)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complete — zero critical vulnerabilities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 pen-test sign-off certificate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procedure rehearsed — staging rollback ≤ 2 hours; documented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report with timestamps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Phase 3 cutover plan approved — cutover schedule (§57.2) distributed to all stakeholders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Signed cutover plan; stakeholder distribution list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criteria — all 3 vendor TAMs assigned; authorized LINE groups and delivery verified; escalation ladder active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confirmation (per S56 §56.5)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held — P3-GL-CHK-01–07 reviewed; SC Chair present; formal decision recorded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minutes with formal Go decision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baseline confirmed — pre-go-live agent coverage audit validates 92% target achievable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audit report — all 28 agents; 7 GAPs active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final approval — Phase 3 Go-Live authorised; P3-M4 milestone formally approved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resolution MONOLITH-SC-P3GL-001 signed and lodged with Ledger</w:t>
            </w:r>
          </w:p>
        </w:tc>
      </w:tr>
    </w:tbl>
    <w:p>
      <w:pPr>
        <w:spacing w:after="40"/>
      </w:pPr>
    </w:p>
    <w:p>
      <w:pPr>
        <w:ind w:left="400"/>
        <w:spacing w:after="80"/>
      </w:pPr>
      <w:r>
        <w:rPr>
          <w:rFonts w:ascii="Calibri" w:hAnsi="Calibri"/>
          <w:sz w:val="24"/>
          <w:szCs w:val="24"/>
        </w:rPr>
        <w:t xml:space="preserve">Note: P3-GL-CHK-10 (SC Chair final approval) mirrors GL-CHK-10 from S53, which triggered Phase 3 programme initiation. P3-GL-CHK-10 completes the Phase 3 delivery cycle and authorises transition to BAU operations. Any failure at P3-GL-CHK-08 (Go/No-Go) triggers a 5-working-day remediation window before re-assessment.</w:t>
      </w:r>
    </w:p>
    <w:p>
      <w:pPr>
        <w:spacing w:after="40"/>
      </w:pPr>
    </w:p>
    <w:p>
      <w:pPr>
        <w:pStyle w:val="Heading2"/>
        <w:spacing w:before="200" w:after="80"/>
      </w:pPr>
      <w:r>
        <w:rPr>
          <w:rFonts w:ascii="Calibri" w:hAnsi="Calibri"/>
          <w:b/>
          <w:bCs/>
          <w:color w:val="2e75b6"/>
          <w:sz w:val="28"/>
          <w:szCs w:val="28"/>
        </w:rPr>
        <w:t xml:space="preserve">57.5 Post-Go-Live Monitoring &amp; Programme Milestone P3-M4</w:t>
      </w:r>
    </w:p>
    <w:p>
      <w:pPr>
        <w:ind w:left="400"/>
        <w:spacing w:after="80"/>
      </w:pPr>
      <w:r>
        <w:rPr>
          <w:rFonts w:ascii="Calibri" w:hAnsi="Calibri"/>
          <w:sz w:val="24"/>
          <w:szCs w:val="24"/>
        </w:rPr>
        <w:t xml:space="preserve">Following Phase 3 Go-Live and 72-hour review, the programme enters the P3-M4 milestone completion phase. P3-M4 represents the final programme delivery milestone of the three-phase MONOLITH/DAPH Decor AI Agent Programme. Completion of P3-M4 triggers formal programme closure activities and transition to MONOLITH BAU governance under the SC.</w:t>
      </w:r>
    </w:p>
    <w:p>
      <w:pPr>
        <w:ind w:left="600" w:hanging="200"/>
        <w:spacing w:after="60"/>
      </w:pPr>
      <w:r>
        <w:rPr>
          <w:rFonts w:ascii="Calibri" w:hAnsi="Calibri"/>
          <w:sz w:val="22"/>
          <w:szCs w:val="22"/>
        </w:rPr>
        <w:t xml:space="preserve">• Vega agent: Continuous 24/7 monitoring of all 28 agents; daily SLA scorecards to Programme Director; weekly dashboard to SC</w:t>
      </w:r>
    </w:p>
    <w:p>
      <w:pPr>
        <w:ind w:left="600" w:hanging="200"/>
        <w:spacing w:after="60"/>
      </w:pPr>
      <w:r>
        <w:rPr>
          <w:rFonts w:ascii="Calibri" w:hAnsi="Calibri"/>
          <w:sz w:val="22"/>
          <w:szCs w:val="22"/>
        </w:rPr>
        <w:t xml:space="preserve">• Nexus agent: API gateway health monitoring; rate limiting and capacity management for production Phase 3 load</w:t>
      </w:r>
    </w:p>
    <w:p>
      <w:pPr>
        <w:ind w:left="600" w:hanging="200"/>
        <w:spacing w:after="60"/>
      </w:pPr>
      <w:r>
        <w:rPr>
          <w:rFonts w:ascii="Calibri" w:hAnsi="Calibri"/>
          <w:sz w:val="22"/>
          <w:szCs w:val="22"/>
        </w:rPr>
        <w:t xml:space="preserve">• Guardian agent: Ongoing PDPA and security compliance monitoring; monthly security posture report to SC</w:t>
      </w:r>
    </w:p>
    <w:p>
      <w:pPr>
        <w:ind w:left="600" w:hanging="200"/>
        <w:spacing w:after="60"/>
      </w:pPr>
      <w:r>
        <w:rPr>
          <w:rFonts w:ascii="Calibri" w:hAnsi="Calibri"/>
          <w:sz w:val="22"/>
          <w:szCs w:val="22"/>
        </w:rPr>
        <w:t xml:space="preserve">• Ledger agent: Contract performance tracking — monthly SLA reports per vendor; payment milestone management per MSA</w:t>
      </w:r>
    </w:p>
    <w:p>
      <w:pPr>
        <w:ind w:left="600" w:hanging="200"/>
        <w:spacing w:after="60"/>
      </w:pPr>
      <w:r>
        <w:rPr>
          <w:rFonts w:ascii="Calibri" w:hAnsi="Calibri"/>
          <w:sz w:val="22"/>
          <w:szCs w:val="22"/>
        </w:rPr>
        <w:t xml:space="preserve">• Core agent: GAP-13/14/15 BAU performance monitoring; NPS accuracy trending; ESG quarterly report generation</w:t>
      </w:r>
    </w:p>
    <w:p>
      <w:pPr>
        <w:ind w:left="600" w:hanging="200"/>
        <w:spacing w:after="60"/>
      </w:pPr>
      <w:r>
        <w:rPr>
          <w:rFonts w:ascii="Calibri" w:hAnsi="Calibri"/>
          <w:sz w:val="22"/>
          <w:szCs w:val="22"/>
        </w:rPr>
        <w:t xml:space="preserve">• Signal agent: GAP-01/02 BAU accuracy monitoring; biophilic scoring quality review; design freeze gate accuracy trending</w:t>
      </w:r>
    </w:p>
    <w:p>
      <w:pPr>
        <w:ind w:left="600" w:hanging="200"/>
        <w:spacing w:after="60"/>
      </w:pPr>
      <w:r>
        <w:rPr>
          <w:rFonts w:ascii="Calibri" w:hAnsi="Calibri"/>
          <w:sz w:val="22"/>
          <w:szCs w:val="22"/>
        </w:rPr>
        <w:t xml:space="preserve">• Aria agent: GAP-03/04 commissioning completion rates; POE survey completion monitoring; sensory data quality review</w:t>
      </w:r>
    </w:p>
    <w:p>
      <w:pPr>
        <w:spacing w:after="40"/>
      </w:pPr>
    </w:p>
    <w:p>
      <w:pPr>
        <w:ind w:left="400"/>
        <w:spacing w:after="80"/>
      </w:pPr>
      <w:r>
        <w:rPr>
          <w:rFonts w:ascii="Calibri" w:hAnsi="Calibri"/>
          <w:sz w:val="24"/>
          <w:szCs w:val="24"/>
        </w:rPr>
        <w:t xml:space="preserve">P3-M4 Milestone Completion Criteria:</w:t>
      </w:r>
    </w:p>
    <w:p>
      <w:pPr>
        <w:ind w:left="600" w:hanging="200"/>
        <w:spacing w:after="60"/>
      </w:pPr>
      <w:r>
        <w:rPr>
          <w:rFonts w:ascii="Calibri" w:hAnsi="Calibri"/>
          <w:sz w:val="22"/>
          <w:szCs w:val="22"/>
        </w:rPr>
        <w:t xml:space="preserve">• T+72h post-go-live review complete; SC acceptance of P3-M4 milestone confirmed</w:t>
      </w:r>
    </w:p>
    <w:p>
      <w:pPr>
        <w:ind w:left="600" w:hanging="200"/>
        <w:spacing w:after="60"/>
      </w:pPr>
      <w:r>
        <w:rPr>
          <w:rFonts w:ascii="Calibri" w:hAnsi="Calibri"/>
          <w:sz w:val="22"/>
          <w:szCs w:val="22"/>
        </w:rPr>
        <w:t xml:space="preserve">• All P3-GL-CHK-01–10 verified and signed off; documented in Ledger</w:t>
      </w:r>
    </w:p>
    <w:p>
      <w:pPr>
        <w:ind w:left="600" w:hanging="200"/>
        <w:spacing w:after="60"/>
      </w:pPr>
      <w:r>
        <w:rPr>
          <w:rFonts w:ascii="Calibri" w:hAnsi="Calibri"/>
          <w:sz w:val="22"/>
          <w:szCs w:val="22"/>
        </w:rPr>
        <w:t xml:space="preserve">• 92% coverage confirmed across all 28 agents; Vega coverage report accepted by SC</w:t>
      </w:r>
    </w:p>
    <w:p>
      <w:pPr>
        <w:ind w:left="600" w:hanging="200"/>
        <w:spacing w:after="60"/>
      </w:pPr>
      <w:r>
        <w:rPr>
          <w:rFonts w:ascii="Calibri" w:hAnsi="Calibri"/>
          <w:sz w:val="22"/>
          <w:szCs w:val="22"/>
        </w:rPr>
        <w:t xml:space="preserve">• No unresolved P1 incidents at P3-M4 gate date</w:t>
      </w:r>
    </w:p>
    <w:p>
      <w:pPr>
        <w:ind w:left="600" w:hanging="200"/>
        <w:spacing w:after="60"/>
      </w:pPr>
      <w:r>
        <w:rPr>
          <w:rFonts w:ascii="Calibri" w:hAnsi="Calibri"/>
          <w:sz w:val="22"/>
          <w:szCs w:val="22"/>
        </w:rPr>
        <w:t xml:space="preserve">• Hypercare active for all 3 vendors; transition to BAU support schedule confirmed</w:t>
      </w:r>
    </w:p>
    <w:p>
      <w:pPr>
        <w:ind w:left="600" w:hanging="200"/>
        <w:spacing w:after="60"/>
      </w:pPr>
      <w:r>
        <w:rPr>
          <w:rFonts w:ascii="Calibri" w:hAnsi="Calibri"/>
          <w:sz w:val="22"/>
          <w:szCs w:val="22"/>
        </w:rPr>
        <w:t xml:space="preserve">• Programme financial reconciliation: THB 18.2M total actuals vs. budget; Ledger variance report &lt; 5%</w:t>
      </w:r>
    </w:p>
    <w:p>
      <w:pPr>
        <w:ind w:left="600" w:hanging="200"/>
        <w:spacing w:after="60"/>
      </w:pPr>
      <w:r>
        <w:rPr>
          <w:rFonts w:ascii="Calibri" w:hAnsi="Calibri"/>
          <w:sz w:val="22"/>
          <w:szCs w:val="22"/>
        </w:rPr>
        <w:t xml:space="preserve">• Phase 3 Programme Closure Report (MONOLITH-S57-P3GOLIVE-001) signed by Programme Director and SC Chair</w:t>
      </w:r>
    </w:p>
    <w:p>
      <w:pPr>
        <w:spacing w:after="40"/>
      </w:pPr>
    </w:p>
    <w:p>
      <w:pPr>
        <w:ind w:left="400"/>
        <w:spacing w:after="60"/>
      </w:pPr>
      <w:r>
        <w:rPr>
          <w:rFonts w:ascii="Calibri" w:hAnsi="Calibri"/>
          <w:b/>
          <w:bCs/>
          <w:sz w:val="22"/>
          <w:szCs w:val="22"/>
        </w:rPr>
        <w:t xml:space="preserve">P3-M4 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Programme closure: </w:t>
      </w:r>
      <w:r>
        <w:rPr>
          <w:rFonts w:ascii="Calibri" w:hAnsi="Calibri"/>
          <w:sz w:val="22"/>
          <w:szCs w:val="22"/>
        </w:rPr>
        <w:t xml:space="preserve">Post-P3-M4: MONOLITH BAU Governance Charter activated; quarterly SC review cycle; annual GAP effectiveness review</w:t>
      </w:r>
    </w:p>
    <w:p>
      <w:pPr>
        <w:ind w:left="400"/>
        <w:spacing w:after="60"/>
      </w:pPr>
      <w:r>
        <w:rPr>
          <w:rFonts w:ascii="Calibri" w:hAnsi="Calibri"/>
          <w:b/>
          <w:bCs/>
          <w:sz w:val="22"/>
          <w:szCs w:val="22"/>
        </w:rPr>
        <w:t xml:space="preserve">Coverage trajectory: </w:t>
      </w:r>
      <w:r>
        <w:rPr>
          <w:rFonts w:ascii="Calibri" w:hAnsi="Calibri"/>
          <w:sz w:val="22"/>
          <w:szCs w:val="22"/>
        </w:rPr>
        <w:t xml:space="preserve">Baseline 56% → Phase 1 68% (THB 5.2M) → Phase 2 80% (THB 6.0M) → Phase 3 92% (THB 7.0M) → Programme total THB 18.2M</w:t>
      </w:r>
    </w:p>
    <w:p>
      <w:pPr>
        <w:ind w:left="400"/>
        <w:spacing w:after="60"/>
      </w:pPr>
      <w:r>
        <w:rPr>
          <w:rFonts w:ascii="Calibri" w:hAnsi="Calibri"/>
          <w:b/>
          <w:bCs/>
          <w:sz w:val="22"/>
          <w:szCs w:val="22"/>
        </w:rPr>
        <w:t xml:space="preserve">Related documents: </w:t>
      </w:r>
      <w:r>
        <w:rPr>
          <w:rFonts w:ascii="Calibri" w:hAnsi="Calibri"/>
          <w:sz w:val="22"/>
          <w:szCs w:val="22"/>
        </w:rPr>
        <w:t xml:space="preserve">S56 (Phase 3 Vendor Onboarding) · S55 (Phase 3 RFP) · S54 (Phase 3 PDD) · S53 (Phase 2 Go-Live, GL-CHK-10) · MONOLITH-S57-P3GOLIVE-001 v1.0</w:t>
      </w:r>
    </w:p>
    <w:p>
      <w:pPr>
        <w:spacing w:after="40"/>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