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Cambria Bold" w:hAnsi="Cambria Bold"/>
          <w:sz w:val="32"/>
          <w:szCs w:val="32"/>
          <w:rtl w:val="0"/>
        </w:rPr>
        <w:t xml:space="preserve">AIME DPIA </w:t>
      </w:r>
      <w:r>
        <w:rPr>
          <w:rFonts w:ascii="Cambria Bold" w:hAnsi="Cambria Bold" w:hint="default"/>
          <w:sz w:val="32"/>
          <w:szCs w:val="32"/>
          <w:rtl w:val="0"/>
        </w:rPr>
        <w:t xml:space="preserve">– </w:t>
      </w:r>
      <w:r>
        <w:rPr>
          <w:rFonts w:ascii="Cambria Bold" w:hAnsi="Cambria Bold"/>
          <w:sz w:val="32"/>
          <w:szCs w:val="32"/>
          <w:rtl w:val="0"/>
          <w:lang w:val="en-US"/>
        </w:rPr>
        <w:t>Security Technology Overview</w:t>
      </w:r>
      <w:r>
        <w:rPr>
          <w:rFonts w:ascii="Cambria Bold" w:cs="Cambria Bold" w:hAnsi="Cambria Bold" w:eastAsia="Cambria Bold"/>
          <w:sz w:val="32"/>
          <w:szCs w:val="32"/>
        </w:rPr>
        <w:br w:type="textWrapping"/>
      </w:r>
      <w:r>
        <w:rPr>
          <w:rFonts w:ascii="Cambria Bold" w:hAnsi="Cambria Bold"/>
          <w:sz w:val="32"/>
          <w:szCs w:val="32"/>
          <w:rtl w:val="0"/>
          <w:lang w:val="en-US"/>
        </w:rPr>
        <w:t>Current State, Planned Controls, and Key Risks</w:t>
      </w:r>
    </w:p>
    <w:p>
      <w:pPr>
        <w:pStyle w:val="Body"/>
        <w:jc w:val="center"/>
      </w:pPr>
      <w:r>
        <w:rPr>
          <w:sz w:val="20"/>
          <w:szCs w:val="20"/>
          <w:rtl w:val="0"/>
          <w:lang w:val="de-DE"/>
        </w:rPr>
        <w:t>Version: 1.0    Date: 2026-01-29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This document responds to DPIA Question 1: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What is the current state of technology being used (e.g., SIEM, Vulnerability Management, PAM, Firewalls, IDS/IPS, Encryption, Endpoint Protection, DLP, web/email security tools)? Are there any concerns over this type of processing or security flaws?</w:t>
      </w:r>
      <w:r>
        <w:rPr>
          <w:rtl w:val="0"/>
        </w:rPr>
        <w:t xml:space="preserve">” </w:t>
      </w:r>
      <w:r>
        <w:rPr>
          <w:rtl w:val="0"/>
          <w:lang w:val="en-US"/>
        </w:rPr>
        <w:t>It includes both the current deployment and planned AWS/Cloudflare migration controls.</w:t>
      </w:r>
    </w:p>
    <w:p>
      <w:pPr>
        <w:pStyle w:val="Body"/>
      </w:pPr>
      <w:r>
        <w:rPr>
          <w:rFonts w:ascii="Cambria Bold" w:hAnsi="Cambria Bold"/>
          <w:sz w:val="26"/>
          <w:szCs w:val="26"/>
          <w:rtl w:val="0"/>
          <w:lang w:val="en-US"/>
        </w:rPr>
        <w:t>A. System context (summary)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AIME is an internal workplace web application for 90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day goal setting (OKRs/OKRTs) and execution visibility.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AIME integrates with Jira (REST API), Snowflake (KPI data), and Microsoft identity (SSO).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AIME includes an AI assistant that drafts OKRs, answers questions, and proposes actions. All write actions are presented as user Accept/Reject controls (no autonomous execution).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 infrastructure change: migrate application runtime to AWS (EC2) and database to AWS RDS (PostgreSQL), with Cloudflare as the WAF/perimeter.</w:t>
      </w:r>
    </w:p>
    <w:p>
      <w:pPr>
        <w:pStyle w:val="Body"/>
      </w:pPr>
    </w:p>
    <w:p>
      <w:pPr>
        <w:pStyle w:val="Body"/>
      </w:pPr>
      <w:r>
        <w:rPr>
          <w:rFonts w:ascii="Cambria Bold" w:hAnsi="Cambria Bold"/>
          <w:sz w:val="26"/>
          <w:szCs w:val="26"/>
          <w:rtl w:val="0"/>
        </w:rPr>
        <w:t xml:space="preserve">B. </w:t>
      </w:r>
      <w:r>
        <w:rPr>
          <w:rFonts w:ascii="Cambria Bold" w:hAnsi="Cambria Bold"/>
          <w:sz w:val="26"/>
          <w:szCs w:val="26"/>
          <w:rtl w:val="0"/>
          <w:lang w:val="en-US"/>
        </w:rPr>
        <w:t>S</w:t>
      </w:r>
      <w:r>
        <w:rPr>
          <w:rFonts w:ascii="Cambria Bold" w:hAnsi="Cambria Bold"/>
          <w:sz w:val="26"/>
          <w:szCs w:val="26"/>
          <w:rtl w:val="0"/>
          <w:lang w:val="en-US"/>
        </w:rPr>
        <w:t>tate of technology controls (</w:t>
      </w:r>
      <w:r>
        <w:rPr>
          <w:rFonts w:ascii="Cambria Bold" w:hAnsi="Cambria Bold"/>
          <w:sz w:val="26"/>
          <w:szCs w:val="26"/>
          <w:rtl w:val="0"/>
          <w:lang w:val="en-US"/>
        </w:rPr>
        <w:t xml:space="preserve">current </w:t>
      </w:r>
      <w:r>
        <w:rPr>
          <w:rFonts w:ascii="Cambria Bold" w:hAnsi="Cambria Bold"/>
          <w:sz w:val="26"/>
          <w:szCs w:val="26"/>
          <w:rtl w:val="0"/>
          <w:lang w:val="en-US"/>
        </w:rPr>
        <w:t>and planned)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1) SIEM (Security Information and Event Management)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Current: AIME has application/runtime logs and will implement application-level audit logs for key events (AI interactions, Jira API access, Snowflake access).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Planned: Retain AIME audit logs for 1 month. Export/forward logs to the organisation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existing log analytics/SIEM tooling if required for correlation and alerting.</w:t>
      </w:r>
    </w:p>
    <w:p>
      <w:pPr>
        <w:pStyle w:val="List Bullet"/>
      </w:pPr>
    </w:p>
    <w:p>
      <w:pPr>
        <w:pStyle w:val="Body"/>
        <w:rPr>
          <w:rFonts w:ascii="Cambria Bold" w:cs="Cambria Bold" w:hAnsi="Cambria Bold" w:eastAsia="Cambria Bold"/>
        </w:rPr>
      </w:pPr>
      <w:r>
        <w:rPr>
          <w:rFonts w:ascii="Cambria Bold" w:hAnsi="Cambria Bold"/>
          <w:rtl w:val="0"/>
          <w:lang w:val="en-US"/>
        </w:rPr>
        <w:t>2) Vulnerability Management (dependency / code security)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Current: npm audit, npm audit fix being used to avoid vulnerable libraries and update to latest libraries </w:t>
      </w:r>
    </w:p>
    <w:p>
      <w:pPr>
        <w:pStyle w:val="List Bullet"/>
      </w:pP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</w:t>
      </w:r>
      <w:r>
        <w:rPr>
          <w:rtl w:val="0"/>
          <w:lang w:val="en-US"/>
        </w:rPr>
        <w:t>: The organisation uses Snyk for vulnerability management. AIME can integrate Snyk into the Next.js codebase and CI pipeline to scan open-source dependencies for known vulnerabilities (CVEs) and support timely patching.</w:t>
      </w:r>
    </w:p>
    <w:p>
      <w:pPr>
        <w:pStyle w:val="List Bullet"/>
      </w:pPr>
    </w:p>
    <w:p>
      <w:pPr>
        <w:pStyle w:val="Body"/>
      </w:pPr>
      <w:r>
        <w:rPr>
          <w:rFonts w:ascii="Cambria Bold" w:hAnsi="Cambria Bold"/>
          <w:rtl w:val="0"/>
          <w:lang w:val="en-US"/>
        </w:rPr>
        <w:t>3) PAM (Privileged Access Management)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Current: Production access is restricted to a minimal set of administrators (currently a single named administrator</w:t>
      </w:r>
      <w:r>
        <w:rPr>
          <w:rtl w:val="0"/>
          <w:lang w:val="en-US"/>
        </w:rPr>
        <w:t xml:space="preserve"> - Lakshitha</w:t>
      </w:r>
      <w:r>
        <w:rPr>
          <w:rtl w:val="0"/>
          <w:lang w:val="en-US"/>
        </w:rPr>
        <w:t>). No shared privileged accounts are used.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Planned: After migrating to AWS, privileged access to EC2/RDS and related cloud resources will fall under the organisation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Infrastructure/Security team governance and organisation-wide approved best practices (least privilege, controlled access, auditability, periodic access reviews, and break-glass procedures where required).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4) Firewalls (network access controls)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Current: </w:t>
      </w:r>
      <w:r>
        <w:rPr>
          <w:rtl w:val="0"/>
          <w:lang w:val="en-US"/>
        </w:rPr>
        <w:t>Vercel hosting provides basic web application firewall</w:t>
      </w:r>
    </w:p>
    <w:p>
      <w:pPr>
        <w:pStyle w:val="List Bullet"/>
      </w:pPr>
      <w:r>
        <w:rPr>
          <w:rtl w:val="0"/>
        </w:rPr>
        <w:tab/>
        <w:t xml:space="preserve">System is currently in a prototyping phase and the URLs are only shared among few </w:t>
        <w:tab/>
        <w:tab/>
        <w:tab/>
        <w:t>known users for testing only.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 (AWS</w:t>
      </w:r>
      <w:r>
        <w:rPr>
          <w:rtl w:val="0"/>
          <w:lang w:val="en-US"/>
        </w:rPr>
        <w:t xml:space="preserve"> + CloudFlare</w:t>
      </w:r>
      <w:r>
        <w:rPr>
          <w:rtl w:val="0"/>
          <w:lang w:val="en-US"/>
        </w:rPr>
        <w:t>): Use AWS Security Groups and network segmentation (e.g., private subnets for RDS, restricted inbound access, and limiting administrative access paths).</w:t>
      </w:r>
      <w:r>
        <w:rPr>
          <w:rtl w:val="0"/>
          <w:lang w:val="en-US"/>
        </w:rPr>
        <w:t xml:space="preserve"> CloudFlare will host the DNS records and also act as the Web Application Firewall.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5) IDS/IPS (Intrusion Detection System / Intrusion Prevention System)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Current: Basic protections depend on hosting provider security controls and application-level logging/monitoring.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Planned: Cloudflare WAF provides web-layer prevention controls (blocks malicious requests, bots, and common exploit patterns). Additional detection/prevention can be aligned with organisational cloud security standards (AWS-native or approved third-party controls).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6) Encryption (in transit and at rest)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 transit: TLS/HTTPS is used between client browsers and the application; integrations with Jira/Snowflake/identity/AI providers use TLS.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User, OKRT, Group data in the DB are not encrypted</w:t>
      </w:r>
    </w:p>
    <w:p>
      <w:pPr>
        <w:pStyle w:val="List Bullet"/>
      </w:pPr>
    </w:p>
    <w:p>
      <w:pPr>
        <w:pStyle w:val="Body"/>
      </w:pPr>
      <w:r>
        <w:rPr>
          <w:rFonts w:ascii="Cambria Bold" w:hAnsi="Cambria Bold"/>
          <w:rtl w:val="0"/>
          <w:lang w:val="en-US"/>
        </w:rPr>
        <w:t>7) Endpoint Protection (anti-malware / EDR)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Organisation-wide: Endpoint protection is managed at the corporate IT level (e.g., SentinelOne Endpoint Detection and Response).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The web app is also intended to be used on personal mobile devices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8) DLP (Data Loss Prevention)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Current: AIME enforces role-based access control (RBAC) to limit who can view</w:t>
      </w:r>
      <w:r>
        <w:rPr>
          <w:rtl w:val="0"/>
          <w:lang w:val="en-US"/>
        </w:rPr>
        <w:t>/execute.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OKRs will remain private unless owner explicitly shares them within groups, where they become visible to group membership.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When accessing JIRA via RestAPI, only what is visible to the user in JIRA UI will be available via RestAPI.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Planned: Users need to be notified not to include data that can be classified as special category data in GDPR (such as data related to health) when creating OKRs and commenting.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9) Web/Email Security Tools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Planned: </w:t>
      </w:r>
      <w:r>
        <w:rPr>
          <w:rtl w:val="0"/>
          <w:lang w:val="en-US"/>
        </w:rPr>
        <w:t>AIME may send automated notification emails (e.g., reminders or alerts). Emails will be designed to minimise data exposure by avoiding sensitive content and including only high-level notifications with secure links back to AIME, where access is controlled by SSO and role-based permissions. Outbound email will use organisation-approved mail infrastructure to reduce spoofing/phishing risk. Email delivery will be rate-limited to prevent flooding, and notification preferences will be available for non-essential messages. AIME will maintain minimal audit logs of notification events (recipient, type, timestamp) without storing unnecessary email body content.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Planned: Cloudflare WAF adds web-layer protection in front of the application.</w:t>
      </w:r>
    </w:p>
    <w:p>
      <w:pPr>
        <w:pStyle w:val="Body"/>
      </w:pPr>
    </w:p>
    <w:p>
      <w:pPr>
        <w:pStyle w:val="Body"/>
      </w:pPr>
      <w:r>
        <w:rPr>
          <w:rFonts w:ascii="Cambria Bold" w:hAnsi="Cambria Bold"/>
          <w:sz w:val="26"/>
          <w:szCs w:val="26"/>
          <w:rtl w:val="0"/>
          <w:lang w:val="en-US"/>
        </w:rPr>
        <w:t>C. Key concerns and mitigations (summary)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Workplace visibility risk: OKRs + KPIs + Jira activity can resemble monitoring if overscoped. Mitigation: strict RBAC, least privilege, auditable access, and clear non-intended use (not for performance evaluation).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Prompt Injection</w:t>
      </w:r>
      <w:r>
        <w:rPr>
          <w:rtl w:val="0"/>
          <w:lang w:val="en-US"/>
        </w:rPr>
        <w:t xml:space="preserve">: </w:t>
      </w:r>
      <w:r>
        <w:rPr>
          <w:rtl w:val="0"/>
        </w:rPr>
        <w:t xml:space="preserve">AIME reduces prompt-injection risk by </w:t>
      </w:r>
      <w:r>
        <w:rPr>
          <w:rFonts w:ascii="Cambria Bold" w:hAnsi="Cambria Bold"/>
          <w:rtl w:val="0"/>
          <w:lang w:val="en-US"/>
        </w:rPr>
        <w:t>strictly separating user input from trusted instructions and data</w:t>
      </w:r>
      <w:r>
        <w:rPr>
          <w:rtl w:val="0"/>
        </w:rPr>
        <w:t xml:space="preserve">. The AI interaction starts from a </w:t>
      </w:r>
      <w:r>
        <w:rPr>
          <w:rFonts w:ascii="Cambria Bold" w:hAnsi="Cambria Bold"/>
          <w:rtl w:val="0"/>
          <w:lang w:val="en-US"/>
        </w:rPr>
        <w:t>baseline system prompt</w:t>
      </w:r>
      <w:r>
        <w:rPr>
          <w:rtl w:val="0"/>
        </w:rPr>
        <w:t xml:space="preserve">, and any additional context (OKR/KPI/Jira data or tool schemas) is </w:t>
      </w:r>
      <w:r>
        <w:rPr>
          <w:rFonts w:ascii="Cambria Bold" w:hAnsi="Cambria Bold"/>
          <w:rtl w:val="0"/>
          <w:lang w:val="en-US"/>
        </w:rPr>
        <w:t>augmented</w:t>
      </w:r>
      <w:r>
        <w:rPr>
          <w:rtl w:val="0"/>
        </w:rPr>
        <w:t xml:space="preserve"> based on detected intent. User messages are always sent as </w:t>
      </w:r>
      <w:r>
        <w:rPr>
          <w:rFonts w:ascii="Cambria Bold" w:hAnsi="Cambria Bold"/>
          <w:rtl w:val="0"/>
          <w:lang w:val="en-US"/>
        </w:rPr>
        <w:t xml:space="preserve">Role: </w:t>
      </w:r>
      <w:r>
        <w:rPr>
          <w:rFonts w:ascii="Cambria Bold" w:hAnsi="Cambria Bold" w:hint="default"/>
          <w:rtl w:val="0"/>
          <w:lang w:val="en-US"/>
        </w:rPr>
        <w:t>“</w:t>
      </w:r>
      <w:r>
        <w:rPr>
          <w:rFonts w:ascii="Cambria Bold" w:hAnsi="Cambria Bold"/>
          <w:rtl w:val="0"/>
          <w:lang w:val="en-US"/>
        </w:rPr>
        <w:t>User</w:t>
      </w:r>
      <w:r>
        <w:rPr>
          <w:rFonts w:ascii="Cambria Bold" w:hAnsi="Cambria Bold" w:hint="default"/>
          <w:rtl w:val="0"/>
          <w:lang w:val="en-US"/>
        </w:rPr>
        <w:t>”</w:t>
      </w:r>
      <w:r>
        <w:rPr>
          <w:rtl w:val="0"/>
        </w:rPr>
        <w:t xml:space="preserve"> and are not merged into system instructions. When business data is provided to the model, it is inserted as </w:t>
      </w:r>
      <w:r>
        <w:rPr>
          <w:rFonts w:ascii="Cambria Bold" w:hAnsi="Cambria Bold"/>
          <w:rtl w:val="0"/>
          <w:lang w:val="en-US"/>
        </w:rPr>
        <w:t>structured JSON</w:t>
      </w:r>
      <w:r>
        <w:rPr>
          <w:rtl w:val="0"/>
        </w:rPr>
        <w:t xml:space="preserve"> within clearly delimited tags (e.g., </w:t>
      </w:r>
      <w:r>
        <w:rPr>
          <w:rFonts w:ascii="Courier" w:hAnsi="Courier"/>
          <w:sz w:val="26"/>
          <w:szCs w:val="26"/>
          <w:rtl w:val="0"/>
          <w:lang w:val="en-US"/>
        </w:rPr>
        <w:t>&lt;OKR_DATA&gt;</w:t>
      </w:r>
      <w:r>
        <w:rPr>
          <w:rFonts w:ascii="Courier" w:hAnsi="Courier" w:hint="default"/>
          <w:sz w:val="26"/>
          <w:szCs w:val="26"/>
          <w:rtl w:val="0"/>
          <w:lang w:val="en-US"/>
        </w:rPr>
        <w:t>…</w:t>
      </w:r>
      <w:r>
        <w:rPr>
          <w:rFonts w:ascii="Courier" w:hAnsi="Courier"/>
          <w:sz w:val="26"/>
          <w:szCs w:val="26"/>
          <w:rtl w:val="0"/>
          <w:lang w:val="en-US"/>
        </w:rPr>
        <w:t>&lt;/OKR_DATA&gt;</w:t>
      </w:r>
      <w:r>
        <w:rPr>
          <w:rtl w:val="0"/>
        </w:rPr>
        <w:t xml:space="preserve">), and the model is instructed to treat it as </w:t>
      </w:r>
      <w:r>
        <w:rPr>
          <w:rFonts w:ascii="Cambria Bold" w:hAnsi="Cambria Bold"/>
          <w:rtl w:val="0"/>
          <w:lang w:val="en-US"/>
        </w:rPr>
        <w:t>data only</w:t>
      </w:r>
      <w:r>
        <w:rPr>
          <w:rtl w:val="0"/>
        </w:rPr>
        <w:t xml:space="preserve"> (not instructions).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O</w:t>
      </w:r>
      <w:r>
        <w:rPr>
          <w:rtl w:val="0"/>
          <w:lang w:val="en-US"/>
        </w:rPr>
        <w:t>ver-retrieval: Mitigation:</w:t>
      </w:r>
      <w:r>
        <w:rPr>
          <w:rtl w:val="0"/>
          <w:lang w:val="en-US"/>
        </w:rPr>
        <w:t xml:space="preserve"> </w:t>
      </w:r>
      <w:r>
        <w:rPr>
          <w:rtl w:val="0"/>
        </w:rPr>
        <w:t>AIME</w:t>
      </w:r>
      <w:r>
        <w:rPr>
          <w:rtl w:val="0"/>
        </w:rPr>
        <w:t>’</w:t>
      </w:r>
      <w:r>
        <w:rPr>
          <w:rtl w:val="0"/>
        </w:rPr>
        <w:t xml:space="preserve">s AI assistant has </w:t>
      </w:r>
      <w:r>
        <w:rPr>
          <w:rFonts w:ascii="Cambria Bold" w:hAnsi="Cambria Bold"/>
          <w:rtl w:val="0"/>
          <w:lang w:val="en-US"/>
        </w:rPr>
        <w:t>no direct database access</w:t>
      </w:r>
      <w:r>
        <w:rPr>
          <w:rtl w:val="0"/>
        </w:rPr>
        <w:t xml:space="preserve">. It can only access data through </w:t>
      </w:r>
      <w:r>
        <w:rPr>
          <w:rFonts w:ascii="Cambria Bold" w:hAnsi="Cambria Bold"/>
          <w:rtl w:val="0"/>
          <w:lang w:val="en-US"/>
        </w:rPr>
        <w:t>server-side APIs</w:t>
      </w:r>
      <w:r>
        <w:rPr>
          <w:rtl w:val="0"/>
        </w:rPr>
        <w:t xml:space="preserve"> that enforce </w:t>
      </w:r>
      <w:r>
        <w:rPr>
          <w:rFonts w:ascii="Cambria Bold" w:hAnsi="Cambria Bold"/>
          <w:rtl w:val="0"/>
          <w:lang w:val="en-US"/>
        </w:rPr>
        <w:t>authorization based on the currently authenticated user</w:t>
      </w:r>
      <w:r>
        <w:rPr>
          <w:rtl w:val="0"/>
        </w:rPr>
        <w:t xml:space="preserve"> (RBAC and organisational scope). Each retrieval endpoint performs a permission check and returns </w:t>
      </w:r>
      <w:r>
        <w:rPr>
          <w:rFonts w:ascii="Cambria Bold" w:hAnsi="Cambria Bold"/>
          <w:rtl w:val="0"/>
          <w:lang w:val="en-US"/>
        </w:rPr>
        <w:t>HTTP 403 (Forbidden)</w:t>
      </w:r>
      <w:r>
        <w:rPr>
          <w:rtl w:val="0"/>
        </w:rPr>
        <w:t xml:space="preserve"> when access is not permitted.</w:t>
      </w:r>
      <w:r>
        <w:rPr>
          <w:rtl w:val="0"/>
          <w:lang w:val="en-US"/>
        </w:rPr>
        <w:t xml:space="preserve">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Integration risk (Jira/Snowflake): Mitigation: least-privilege OAuth scopes/read-only </w:t>
      </w:r>
      <w:r>
        <w:rPr>
          <w:rtl w:val="0"/>
          <w:lang w:val="en-US"/>
        </w:rPr>
        <w:t>access for SnowFlake.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