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pPr>
      <w:r>
        <w:rPr>
          <w:rFonts w:ascii="Cambria Bold" w:hAnsi="Cambria Bold"/>
          <w:sz w:val="36"/>
          <w:szCs w:val="36"/>
          <w:rtl w:val="0"/>
          <w:lang w:val="en-US"/>
        </w:rPr>
        <w:t>AIME Privacy Policy</w:t>
      </w:r>
    </w:p>
    <w:p>
      <w:pPr>
        <w:pStyle w:val="Body"/>
        <w:jc w:val="center"/>
      </w:pPr>
      <w:r>
        <w:rPr>
          <w:sz w:val="20"/>
          <w:szCs w:val="20"/>
          <w:rtl w:val="0"/>
          <w:lang w:val="en-US"/>
        </w:rPr>
        <w:t>Last updated: 2026-01-29  (Draft)</w:t>
      </w:r>
    </w:p>
    <w:p>
      <w:pPr>
        <w:pStyle w:val="Body"/>
      </w:pPr>
    </w:p>
    <w:p>
      <w:pPr>
        <w:pStyle w:val="Body"/>
      </w:pPr>
      <w:r>
        <w:rPr>
          <w:rtl w:val="0"/>
          <w:lang w:val="en-US"/>
        </w:rPr>
        <w:t xml:space="preserve">This Privacy Policy explains how </w:t>
      </w:r>
      <w:r>
        <w:rPr>
          <w:rtl w:val="0"/>
          <w:lang w:val="en-US"/>
        </w:rPr>
        <w:t xml:space="preserve">AIME web application </w:t>
      </w:r>
      <w:r>
        <w:rPr>
          <w:rtl w:val="0"/>
          <w:lang w:val="en-US"/>
        </w:rPr>
        <w:t>collects, uses, shares, and protects personal data when you use AIME, our internal workplace goal-setting and execution-visibility application.</w:t>
      </w:r>
    </w:p>
    <w:p>
      <w:pPr>
        <w:pStyle w:val="Body"/>
      </w:pPr>
      <w:r>
        <w:rPr>
          <w:rFonts w:ascii="Cambria Bold" w:hAnsi="Cambria Bold"/>
          <w:sz w:val="26"/>
          <w:szCs w:val="26"/>
          <w:rtl w:val="0"/>
          <w:lang w:val="en-US"/>
        </w:rPr>
        <w:t>1. Who this policy applies to</w:t>
      </w:r>
    </w:p>
    <w:p>
      <w:pPr>
        <w:pStyle w:val="Body"/>
      </w:pPr>
      <w:r>
        <w:rPr>
          <w:rtl w:val="0"/>
          <w:lang w:val="en-US"/>
        </w:rPr>
        <w:t>AIME is intended for internal use by Intervest staff (and, where applicable, affiliated group companies). This policy applies to authorised users who access AIME.</w:t>
      </w:r>
    </w:p>
    <w:p>
      <w:pPr>
        <w:pStyle w:val="Body"/>
      </w:pPr>
      <w:r>
        <w:rPr>
          <w:rFonts w:ascii="Cambria Bold" w:hAnsi="Cambria Bold"/>
          <w:sz w:val="26"/>
          <w:szCs w:val="26"/>
          <w:rtl w:val="0"/>
          <w:lang w:val="en-US"/>
        </w:rPr>
        <w:t>2. Controller and contact details</w:t>
      </w:r>
    </w:p>
    <w:p>
      <w:pPr>
        <w:pStyle w:val="Body"/>
      </w:pPr>
      <w:r>
        <w:rPr>
          <w:rtl w:val="0"/>
          <w:lang w:val="en-US"/>
        </w:rPr>
        <w:t>Intervest is the controller for personal data processed in AIME.</w:t>
      </w:r>
    </w:p>
    <w:p>
      <w:pPr>
        <w:pStyle w:val="List Bullet"/>
        <w:numPr>
          <w:ilvl w:val="0"/>
          <w:numId w:val="2"/>
        </w:numPr>
      </w:pPr>
      <w:r>
        <w:rPr>
          <w:rtl w:val="0"/>
          <w:lang w:val="en-US"/>
        </w:rPr>
        <w:t>Intervest (Pvt) Ltd</w:t>
      </w:r>
    </w:p>
    <w:p>
      <w:pPr>
        <w:pStyle w:val="List Bullet"/>
        <w:numPr>
          <w:ilvl w:val="0"/>
          <w:numId w:val="2"/>
        </w:numPr>
      </w:pPr>
      <w:r>
        <w:rPr>
          <w:rtl w:val="0"/>
          <w:lang w:val="en-US"/>
        </w:rPr>
        <w:t>Data Protection Officer, Risk &amp; Compliance Department</w:t>
      </w:r>
    </w:p>
    <w:p>
      <w:pPr>
        <w:pStyle w:val="List Bullet"/>
        <w:numPr>
          <w:ilvl w:val="0"/>
          <w:numId w:val="2"/>
        </w:numPr>
      </w:pPr>
      <w:r>
        <w:rPr>
          <w:rtl w:val="0"/>
          <w:lang w:val="en-US"/>
        </w:rPr>
        <w:t>Level 23, 324 Havelock Road, Colombo 006, Sri Lanka</w:t>
      </w:r>
    </w:p>
    <w:p>
      <w:pPr>
        <w:pStyle w:val="List Bullet"/>
        <w:numPr>
          <w:ilvl w:val="0"/>
          <w:numId w:val="2"/>
        </w:numPr>
      </w:pPr>
      <w:r>
        <w:rPr>
          <w:rtl w:val="0"/>
          <w:lang w:val="en-US"/>
        </w:rPr>
        <w:t>Email: info@intervest.lk</w:t>
      </w:r>
    </w:p>
    <w:p>
      <w:pPr>
        <w:pStyle w:val="List Bullet"/>
        <w:numPr>
          <w:ilvl w:val="0"/>
          <w:numId w:val="2"/>
        </w:numPr>
      </w:pPr>
      <w:r>
        <w:rPr>
          <w:rtl w:val="0"/>
          <w:lang w:val="en-US"/>
        </w:rPr>
        <w:t>Phone: +94 112 081 880</w:t>
      </w:r>
    </w:p>
    <w:p>
      <w:pPr>
        <w:pStyle w:val="Body"/>
      </w:pPr>
      <w:r>
        <w:rPr>
          <w:rtl w:val="0"/>
          <w:lang w:val="en-US"/>
        </w:rPr>
        <w:t>If your local entity is a joint controller for certain processing, we will provide a supplemental notice where required.</w:t>
      </w:r>
    </w:p>
    <w:p>
      <w:pPr>
        <w:pStyle w:val="Body"/>
      </w:pPr>
      <w:r>
        <w:rPr>
          <w:rFonts w:ascii="Cambria Bold" w:hAnsi="Cambria Bold"/>
          <w:sz w:val="26"/>
          <w:szCs w:val="26"/>
          <w:rtl w:val="0"/>
          <w:lang w:val="en-US"/>
        </w:rPr>
        <w:t>3. What data AIME processes</w:t>
      </w:r>
    </w:p>
    <w:p>
      <w:pPr>
        <w:pStyle w:val="Body"/>
      </w:pPr>
      <w:r>
        <w:rPr>
          <w:rtl w:val="0"/>
          <w:lang w:val="en-US"/>
        </w:rPr>
        <w:t>AIME may process the following categories of personal data:</w:t>
      </w:r>
    </w:p>
    <w:p>
      <w:pPr>
        <w:pStyle w:val="List Bullet"/>
        <w:numPr>
          <w:ilvl w:val="2"/>
          <w:numId w:val="2"/>
        </w:numPr>
      </w:pPr>
      <w:r>
        <w:rPr>
          <w:rtl w:val="0"/>
          <w:lang w:val="en-US"/>
        </w:rPr>
        <w:t>Account and identity data: name, work email</w:t>
      </w:r>
      <w:r>
        <w:rPr>
          <w:rtl w:val="0"/>
          <w:lang w:val="en-US"/>
        </w:rPr>
        <w:t xml:space="preserve">   </w:t>
      </w:r>
      <w:r>
        <w:rPr>
          <w:rtl w:val="0"/>
          <w:lang w:val="en-US"/>
        </w:rPr>
        <w:t>/ login identifier, employee identifier (if used), authentication/session identifiers.</w:t>
      </w:r>
    </w:p>
    <w:p>
      <w:pPr>
        <w:pStyle w:val="List Bullet"/>
        <w:numPr>
          <w:ilvl w:val="0"/>
          <w:numId w:val="2"/>
        </w:numPr>
      </w:pPr>
      <w:r>
        <w:rPr>
          <w:rtl w:val="0"/>
          <w:lang w:val="en-US"/>
        </w:rPr>
        <w:t>Organisation data: department/team, role (User/Leader/Owner/Admin), reporting line and organisational structure attributes needed for role-based access control (RBAC).</w:t>
      </w:r>
    </w:p>
    <w:p>
      <w:pPr>
        <w:pStyle w:val="List Bullet"/>
        <w:numPr>
          <w:ilvl w:val="0"/>
          <w:numId w:val="2"/>
        </w:numPr>
      </w:pPr>
      <w:r>
        <w:rPr>
          <w:rtl w:val="0"/>
          <w:lang w:val="en-US"/>
        </w:rPr>
        <w:t>Goal and collaboration data: objectives, key results, tasks/initiatives, time blocks, progress updates, comments, and related timestamps and ownership.</w:t>
      </w:r>
    </w:p>
    <w:p>
      <w:pPr>
        <w:pStyle w:val="List Bullet"/>
        <w:numPr>
          <w:ilvl w:val="0"/>
          <w:numId w:val="2"/>
        </w:numPr>
      </w:pPr>
      <w:r>
        <w:rPr>
          <w:rtl w:val="0"/>
          <w:lang w:val="en-US"/>
        </w:rPr>
        <w:t>Usage and technical data: IP address, device/browser information, login events, and diagnostic logs (to secure and operate the service).</w:t>
      </w:r>
    </w:p>
    <w:p>
      <w:pPr>
        <w:pStyle w:val="List Bullet"/>
        <w:numPr>
          <w:ilvl w:val="0"/>
          <w:numId w:val="2"/>
        </w:numPr>
      </w:pPr>
      <w:r>
        <w:rPr>
          <w:rtl w:val="0"/>
          <w:lang w:val="en-US"/>
        </w:rPr>
        <w:t>Integration references (where enabled): identifiers and metadata from Jira and KPI systems (e.g., issue keys, assignee identifiers, KPI identifiers), scoped by permissions.</w:t>
      </w:r>
    </w:p>
    <w:p>
      <w:pPr>
        <w:pStyle w:val="Body"/>
      </w:pPr>
      <w:r>
        <w:rPr>
          <w:rFonts w:ascii="Cambria Bold" w:hAnsi="Cambria Bold"/>
          <w:sz w:val="26"/>
          <w:szCs w:val="26"/>
          <w:rtl w:val="0"/>
          <w:lang w:val="en-US"/>
        </w:rPr>
        <w:t>4. Special category data and sensitive information</w:t>
      </w:r>
    </w:p>
    <w:p>
      <w:pPr>
        <w:pStyle w:val="Body"/>
      </w:pPr>
      <w:r>
        <w:rPr>
          <w:rtl w:val="0"/>
          <w:lang w:val="en-US"/>
        </w:rPr>
        <w:t>AIME is not designed for recording special category data (e.g., health information, biometrics, religious or political beliefs, trade union membership, sexual orientation). Users should not enter such information into AIME free</w:t>
      </w:r>
      <w:r>
        <w:rPr>
          <w:rtl w:val="0"/>
        </w:rPr>
        <w:t>‑</w:t>
      </w:r>
      <w:r>
        <w:rPr>
          <w:rtl w:val="0"/>
          <w:lang w:val="en-US"/>
        </w:rPr>
        <w:t>text fields (e.g., comments) or into Jira tickets via AIME. If such data is incidentally included, we will minimise processing, restrict access, and handle it in line with applicable law.</w:t>
      </w:r>
    </w:p>
    <w:p>
      <w:pPr>
        <w:pStyle w:val="Body"/>
      </w:pPr>
      <w:r>
        <w:rPr>
          <w:rFonts w:ascii="Cambria Bold" w:hAnsi="Cambria Bold"/>
          <w:sz w:val="26"/>
          <w:szCs w:val="26"/>
          <w:rtl w:val="0"/>
          <w:lang w:val="en-US"/>
        </w:rPr>
        <w:t>5. How we collect data</w:t>
      </w:r>
    </w:p>
    <w:p>
      <w:pPr>
        <w:pStyle w:val="List Bullet"/>
        <w:numPr>
          <w:ilvl w:val="0"/>
          <w:numId w:val="2"/>
        </w:numPr>
      </w:pPr>
      <w:r>
        <w:rPr>
          <w:rtl w:val="0"/>
          <w:lang w:val="en-US"/>
        </w:rPr>
        <w:t>Directly from you when you create or update goals, tasks, comments, and time blocks.</w:t>
      </w:r>
    </w:p>
    <w:p>
      <w:pPr>
        <w:pStyle w:val="List Bullet"/>
        <w:numPr>
          <w:ilvl w:val="0"/>
          <w:numId w:val="2"/>
        </w:numPr>
      </w:pPr>
      <w:r>
        <w:rPr>
          <w:rtl w:val="0"/>
          <w:lang w:val="en-US"/>
        </w:rPr>
        <w:t>From enterprise systems you already use, when you connect AIME (e.g., Microsoft SSO for identity; Jira for ticket information; Snowflake or KPI sources for reporting), scoped by permissions.</w:t>
      </w:r>
    </w:p>
    <w:p>
      <w:pPr>
        <w:pStyle w:val="List Bullet"/>
        <w:numPr>
          <w:ilvl w:val="0"/>
          <w:numId w:val="2"/>
        </w:numPr>
      </w:pPr>
      <w:r>
        <w:rPr>
          <w:rtl w:val="0"/>
          <w:lang w:val="en-US"/>
        </w:rPr>
        <w:t>Automatically through system operation (security logs and technical telemetry).</w:t>
      </w:r>
    </w:p>
    <w:p>
      <w:pPr>
        <w:pStyle w:val="Body"/>
      </w:pPr>
      <w:r>
        <w:rPr>
          <w:rFonts w:ascii="Cambria Bold" w:hAnsi="Cambria Bold"/>
          <w:sz w:val="26"/>
          <w:szCs w:val="26"/>
          <w:rtl w:val="0"/>
          <w:lang w:val="en-US"/>
        </w:rPr>
        <w:t>6. Purposes of processing</w:t>
      </w:r>
    </w:p>
    <w:p>
      <w:pPr>
        <w:pStyle w:val="Body"/>
      </w:pPr>
      <w:r>
        <w:rPr>
          <w:rtl w:val="0"/>
          <w:lang w:val="it-IT"/>
        </w:rPr>
        <w:t>We process personal data in AIME to:</w:t>
      </w:r>
    </w:p>
    <w:p>
      <w:pPr>
        <w:pStyle w:val="List Bullet"/>
        <w:numPr>
          <w:ilvl w:val="0"/>
          <w:numId w:val="2"/>
        </w:numPr>
      </w:pPr>
      <w:r>
        <w:rPr>
          <w:rtl w:val="0"/>
          <w:lang w:val="en-US"/>
        </w:rPr>
        <w:t>Provide AIME</w:t>
      </w:r>
      <w:r>
        <w:rPr>
          <w:rtl w:val="0"/>
          <w:lang w:val="en-US"/>
        </w:rPr>
        <w:t>’</w:t>
      </w:r>
      <w:r>
        <w:rPr>
          <w:rtl w:val="0"/>
          <w:lang w:val="en-US"/>
        </w:rPr>
        <w:t>s functionality for 90</w:t>
      </w:r>
      <w:r>
        <w:rPr>
          <w:rtl w:val="0"/>
          <w:lang w:val="en-US"/>
        </w:rPr>
        <w:t>‑</w:t>
      </w:r>
      <w:r>
        <w:rPr>
          <w:rtl w:val="0"/>
          <w:lang w:val="en-US"/>
        </w:rPr>
        <w:t>day goal planning, tracking, dashboards, and collaboration.</w:t>
      </w:r>
    </w:p>
    <w:p>
      <w:pPr>
        <w:pStyle w:val="List Bullet"/>
        <w:numPr>
          <w:ilvl w:val="0"/>
          <w:numId w:val="2"/>
        </w:numPr>
      </w:pPr>
      <w:r>
        <w:rPr>
          <w:rtl w:val="0"/>
          <w:lang w:val="en-US"/>
        </w:rPr>
        <w:t>Enforce security and access control (authentication, RBAC, fraud/abuse prevention).</w:t>
      </w:r>
    </w:p>
    <w:p>
      <w:pPr>
        <w:pStyle w:val="List Bullet"/>
        <w:numPr>
          <w:ilvl w:val="0"/>
          <w:numId w:val="2"/>
        </w:numPr>
      </w:pPr>
      <w:r>
        <w:rPr>
          <w:rtl w:val="0"/>
          <w:lang w:val="en-US"/>
        </w:rPr>
        <w:t>Integrate with workplace systems (e.g., Jira for work items and Snowflake/KPI sources for reporting), where enabled.</w:t>
      </w:r>
    </w:p>
    <w:p>
      <w:pPr>
        <w:pStyle w:val="List Bullet"/>
        <w:numPr>
          <w:ilvl w:val="0"/>
          <w:numId w:val="2"/>
        </w:numPr>
      </w:pPr>
      <w:r>
        <w:rPr>
          <w:rtl w:val="0"/>
          <w:lang w:val="en-US"/>
        </w:rPr>
        <w:t>Provide an AI-assisted interface to draft OKRs, answer questions, and propose actions to save time (with user Accept/Reject controls).</w:t>
      </w:r>
    </w:p>
    <w:p>
      <w:pPr>
        <w:pStyle w:val="List Bullet"/>
        <w:numPr>
          <w:ilvl w:val="0"/>
          <w:numId w:val="2"/>
        </w:numPr>
      </w:pPr>
      <w:r>
        <w:rPr>
          <w:rtl w:val="0"/>
          <w:lang w:val="en-US"/>
        </w:rPr>
        <w:t>Operate, troubleshoot, and improve AIME (including defect handling and service reliability).</w:t>
      </w:r>
    </w:p>
    <w:p>
      <w:pPr>
        <w:pStyle w:val="Body"/>
      </w:pPr>
      <w:r>
        <w:rPr>
          <w:rFonts w:ascii="Cambria Bold" w:hAnsi="Cambria Bold"/>
          <w:sz w:val="26"/>
          <w:szCs w:val="26"/>
          <w:rtl w:val="0"/>
          <w:lang w:val="en-US"/>
        </w:rPr>
        <w:t>7. Lawful bases (EU/UK)</w:t>
      </w:r>
    </w:p>
    <w:p>
      <w:pPr>
        <w:pStyle w:val="Body"/>
      </w:pPr>
      <w:r>
        <w:rPr>
          <w:rtl w:val="0"/>
          <w:lang w:val="en-US"/>
        </w:rPr>
        <w:t>Where EU/UK data protection laws apply (e.g., GDPR / UK GDPR), we rely on one or more lawful bases, depending on the processing context:</w:t>
      </w:r>
    </w:p>
    <w:p>
      <w:pPr>
        <w:pStyle w:val="List Bullet"/>
        <w:numPr>
          <w:ilvl w:val="0"/>
          <w:numId w:val="2"/>
        </w:numPr>
      </w:pPr>
      <w:r>
        <w:rPr>
          <w:rtl w:val="0"/>
          <w:lang w:val="en-US"/>
        </w:rPr>
        <w:t>Performance of a contract / workplace administration (Art. 6(1)(b)): operating internal tools that staff use as part of their work.</w:t>
      </w:r>
    </w:p>
    <w:p>
      <w:pPr>
        <w:pStyle w:val="List Bullet"/>
        <w:numPr>
          <w:ilvl w:val="0"/>
          <w:numId w:val="2"/>
        </w:numPr>
      </w:pPr>
      <w:r>
        <w:rPr>
          <w:rtl w:val="0"/>
          <w:lang w:val="en-US"/>
        </w:rPr>
        <w:t>Legitimate interests (Art. 6(1)(f)): operating, securing, and improving AIME, and providing execution visibility and coordination across teams, balanced against user rights and expectations.</w:t>
      </w:r>
    </w:p>
    <w:p>
      <w:pPr>
        <w:pStyle w:val="List Bullet"/>
        <w:numPr>
          <w:ilvl w:val="0"/>
          <w:numId w:val="2"/>
        </w:numPr>
      </w:pPr>
      <w:r>
        <w:rPr>
          <w:rtl w:val="0"/>
          <w:lang w:val="en-US"/>
        </w:rPr>
        <w:t>Legal obligation (Art. 6(1)(c)) where applicable: responding to data subject rights requests or compliance obligations that apply to Intervest.</w:t>
      </w:r>
    </w:p>
    <w:p>
      <w:pPr>
        <w:pStyle w:val="Body"/>
      </w:pPr>
      <w:r>
        <w:rPr>
          <w:rtl w:val="0"/>
          <w:lang w:val="en-US"/>
        </w:rPr>
        <w:t>If we ever need to rely on consent, we will request it explicitly and you may withdraw it at any time.</w:t>
      </w:r>
    </w:p>
    <w:p>
      <w:pPr>
        <w:pStyle w:val="Body"/>
      </w:pPr>
      <w:r>
        <w:rPr>
          <w:rFonts w:ascii="Cambria Bold" w:hAnsi="Cambria Bold"/>
          <w:sz w:val="26"/>
          <w:szCs w:val="26"/>
          <w:rtl w:val="0"/>
          <w:lang w:val="en-US"/>
        </w:rPr>
        <w:t>8. AI features and human oversight</w:t>
      </w:r>
    </w:p>
    <w:p>
      <w:pPr>
        <w:pStyle w:val="Body"/>
      </w:pPr>
      <w:r>
        <w:rPr>
          <w:rtl w:val="0"/>
          <w:lang w:val="en-US"/>
        </w:rPr>
        <w:t>AIME includes an AI assistant to help users draft OKRs, summarise information, and interact with AIME and connected systems using natural language.</w:t>
      </w:r>
    </w:p>
    <w:p>
      <w:pPr>
        <w:pStyle w:val="List Bullet"/>
        <w:numPr>
          <w:ilvl w:val="0"/>
          <w:numId w:val="2"/>
        </w:numPr>
      </w:pPr>
      <w:r>
        <w:rPr>
          <w:rtl w:val="0"/>
          <w:lang w:val="en-US"/>
        </w:rPr>
        <w:t>Human-in-the-loop: The AI assistant may propose changes (e.g., create/update OKRs or Jira tickets), but actions are only executed after explicit user approval (Accept/Reject).</w:t>
      </w:r>
    </w:p>
    <w:p>
      <w:pPr>
        <w:pStyle w:val="List Bullet"/>
        <w:numPr>
          <w:ilvl w:val="0"/>
          <w:numId w:val="2"/>
        </w:numPr>
      </w:pPr>
      <w:r>
        <w:rPr>
          <w:rtl w:val="0"/>
          <w:lang w:val="en-US"/>
        </w:rPr>
        <w:t>Data minimisation for AI: The assistant is designed to retrieve and send only the data required to answer a user</w:t>
      </w:r>
      <w:r>
        <w:rPr>
          <w:rtl w:val="0"/>
          <w:lang w:val="en-US"/>
        </w:rPr>
        <w:t>’</w:t>
      </w:r>
      <w:r>
        <w:rPr>
          <w:rtl w:val="0"/>
          <w:lang w:val="en-US"/>
        </w:rPr>
        <w:t>s request, and it does not have direct database access.</w:t>
      </w:r>
    </w:p>
    <w:p>
      <w:pPr>
        <w:pStyle w:val="List Bullet"/>
        <w:numPr>
          <w:ilvl w:val="0"/>
          <w:numId w:val="2"/>
        </w:numPr>
      </w:pPr>
      <w:r>
        <w:rPr>
          <w:rtl w:val="0"/>
          <w:lang w:val="en-US"/>
        </w:rPr>
        <w:t>No autonomous decision-making: AIME is not intended to make automated decisions about individuals (e.g., hiring, disciplinary action, or performance evaluation).</w:t>
      </w:r>
    </w:p>
    <w:p>
      <w:pPr>
        <w:pStyle w:val="List Bullet"/>
        <w:numPr>
          <w:ilvl w:val="0"/>
          <w:numId w:val="2"/>
        </w:numPr>
      </w:pPr>
      <w:r>
        <w:rPr>
          <w:rtl w:val="0"/>
          <w:lang w:val="en-US"/>
        </w:rPr>
        <w:t xml:space="preserve">AI-generated content: Where AIME displays AI-generated inspiration or text, it will be labelled (e.g., </w:t>
      </w:r>
      <w:r>
        <w:rPr>
          <w:rtl w:val="0"/>
          <w:lang w:val="en-US"/>
        </w:rPr>
        <w:t>“</w:t>
      </w:r>
      <w:r>
        <w:rPr>
          <w:rtl w:val="0"/>
          <w:lang w:val="en-US"/>
        </w:rPr>
        <w:t>Includes AI Generated Content</w:t>
      </w:r>
      <w:r>
        <w:rPr>
          <w:rtl w:val="0"/>
          <w:lang w:val="en-US"/>
        </w:rPr>
        <w:t>”</w:t>
      </w:r>
      <w:r>
        <w:rPr>
          <w:rtl w:val="0"/>
          <w:lang w:val="en-US"/>
        </w:rPr>
        <w:t>).</w:t>
      </w:r>
    </w:p>
    <w:p>
      <w:pPr>
        <w:pStyle w:val="Body"/>
      </w:pPr>
      <w:r>
        <w:rPr>
          <w:rFonts w:ascii="Cambria Bold" w:hAnsi="Cambria Bold"/>
          <w:sz w:val="26"/>
          <w:szCs w:val="26"/>
          <w:rtl w:val="0"/>
          <w:lang w:val="en-US"/>
        </w:rPr>
        <w:t>9. Sharing and processors</w:t>
      </w:r>
    </w:p>
    <w:p>
      <w:pPr>
        <w:pStyle w:val="Body"/>
      </w:pPr>
      <w:r>
        <w:rPr>
          <w:rtl w:val="0"/>
          <w:lang w:val="en-US"/>
        </w:rPr>
        <w:t>We may share personal data with authorised service providers (processors) to operate AIME, subject to contractual safeguards and access controls. Depending on configuration, this may include:</w:t>
      </w:r>
    </w:p>
    <w:p>
      <w:pPr>
        <w:pStyle w:val="List Bullet"/>
        <w:numPr>
          <w:ilvl w:val="0"/>
          <w:numId w:val="2"/>
        </w:numPr>
      </w:pPr>
      <w:r>
        <w:rPr>
          <w:rtl w:val="0"/>
          <w:lang w:val="en-US"/>
        </w:rPr>
        <w:t>Hosting and infrastructure providers (e.g., Vercel today; AWS planned).</w:t>
      </w:r>
    </w:p>
    <w:p>
      <w:pPr>
        <w:pStyle w:val="List Bullet"/>
        <w:numPr>
          <w:ilvl w:val="0"/>
          <w:numId w:val="2"/>
        </w:numPr>
      </w:pPr>
      <w:r>
        <w:rPr>
          <w:rtl w:val="0"/>
          <w:lang w:val="en-US"/>
        </w:rPr>
        <w:t>Database providers (e.g., Neon Postgres today; AWS RDS planned).</w:t>
      </w:r>
    </w:p>
    <w:p>
      <w:pPr>
        <w:pStyle w:val="List Bullet"/>
        <w:numPr>
          <w:ilvl w:val="0"/>
          <w:numId w:val="2"/>
        </w:numPr>
      </w:pPr>
      <w:r>
        <w:rPr>
          <w:rtl w:val="0"/>
          <w:lang w:val="en-US"/>
        </w:rPr>
        <w:t>AI inference provider (e.g., Amazon Bedrock and underlying model provider, if enabled).</w:t>
      </w:r>
    </w:p>
    <w:p>
      <w:pPr>
        <w:pStyle w:val="List Bullet"/>
        <w:numPr>
          <w:ilvl w:val="0"/>
          <w:numId w:val="2"/>
        </w:numPr>
      </w:pPr>
      <w:r>
        <w:rPr>
          <w:rtl w:val="0"/>
          <w:lang w:val="en-US"/>
        </w:rPr>
        <w:t>Enterprise systems and integrations (e.g., Atlassian Jira; Microsoft identity/SSO; Snowflake for KPI data), limited to what is required and authorised.</w:t>
      </w:r>
    </w:p>
    <w:p>
      <w:pPr>
        <w:pStyle w:val="List Bullet"/>
        <w:numPr>
          <w:ilvl w:val="0"/>
          <w:numId w:val="2"/>
        </w:numPr>
      </w:pPr>
      <w:r>
        <w:rPr>
          <w:rtl w:val="0"/>
          <w:lang w:val="en-US"/>
        </w:rPr>
        <w:t>Security, monitoring, and vulnerability management tools (e.g., Snyk), where adopted.</w:t>
      </w:r>
    </w:p>
    <w:p>
      <w:pPr>
        <w:pStyle w:val="Body"/>
      </w:pPr>
      <w:r>
        <w:rPr>
          <w:rtl w:val="0"/>
          <w:lang w:val="en-US"/>
        </w:rPr>
        <w:t>We do not sell personal data and we do not use AIME for advertising or cross-site tracking.</w:t>
      </w:r>
    </w:p>
    <w:p>
      <w:pPr>
        <w:pStyle w:val="Body"/>
      </w:pPr>
      <w:r>
        <w:rPr>
          <w:rFonts w:ascii="Cambria Bold" w:hAnsi="Cambria Bold"/>
          <w:sz w:val="26"/>
          <w:szCs w:val="26"/>
          <w:rtl w:val="0"/>
          <w:lang w:val="en-US"/>
        </w:rPr>
        <w:t>10. International transfers</w:t>
      </w:r>
    </w:p>
    <w:p>
      <w:pPr>
        <w:pStyle w:val="Body"/>
      </w:pPr>
      <w:r>
        <w:rPr>
          <w:rtl w:val="0"/>
          <w:lang w:val="en-US"/>
        </w:rPr>
        <w:t>If personal data is accessed or processed outside the country/region where it originated (for example, EU/EEA users</w:t>
      </w:r>
      <w:r>
        <w:rPr>
          <w:rtl w:val="1"/>
        </w:rPr>
        <w:t xml:space="preserve">’ </w:t>
      </w:r>
      <w:r>
        <w:rPr>
          <w:rtl w:val="0"/>
          <w:lang w:val="en-US"/>
        </w:rPr>
        <w:t>data processed in the UK or elsewhere), we will implement appropriate safeguards as required by applicable law. This may include contractual clauses, transfer impact assessments, and vendor controls.</w:t>
      </w:r>
    </w:p>
    <w:p>
      <w:pPr>
        <w:pStyle w:val="Body"/>
      </w:pPr>
      <w:r>
        <w:rPr>
          <w:rFonts w:ascii="Cambria Bold" w:hAnsi="Cambria Bold"/>
          <w:sz w:val="26"/>
          <w:szCs w:val="26"/>
          <w:rtl w:val="0"/>
          <w:lang w:val="fr-FR"/>
        </w:rPr>
        <w:t>11. Retention</w:t>
      </w:r>
    </w:p>
    <w:p>
      <w:pPr>
        <w:pStyle w:val="Body"/>
      </w:pPr>
      <w:r>
        <w:rPr>
          <w:rtl w:val="0"/>
          <w:lang w:val="en-US"/>
        </w:rPr>
        <w:t>We retain personal data only as long as necessary for the purposes described in this policy, including security, contractual, and legal requirements. Typical retention periods (subject to organisational policy) may include:</w:t>
      </w:r>
    </w:p>
    <w:p>
      <w:pPr>
        <w:pStyle w:val="List Bullet"/>
        <w:numPr>
          <w:ilvl w:val="0"/>
          <w:numId w:val="2"/>
        </w:numPr>
      </w:pPr>
      <w:r>
        <w:rPr>
          <w:rtl w:val="0"/>
          <w:lang w:val="en-US"/>
        </w:rPr>
        <w:t>Goals/OKRs and related metadata: retained for operational history and planning purposes, then archived or deleted in line with retention schedules</w:t>
      </w:r>
      <w:r>
        <w:rPr>
          <w:rtl w:val="0"/>
          <w:lang w:val="en-US"/>
        </w:rPr>
        <w:t xml:space="preserve"> (retained up to one year)</w:t>
      </w:r>
    </w:p>
    <w:p>
      <w:pPr>
        <w:pStyle w:val="List Bullet"/>
        <w:numPr>
          <w:ilvl w:val="0"/>
          <w:numId w:val="2"/>
        </w:numPr>
      </w:pPr>
      <w:r>
        <w:rPr>
          <w:rtl w:val="0"/>
          <w:lang w:val="en-US"/>
        </w:rPr>
        <w:t>Audit/security logs: retained for a limited period to support security monitoring and incident investigation (one month).</w:t>
      </w:r>
    </w:p>
    <w:p>
      <w:pPr>
        <w:pStyle w:val="List Bullet"/>
        <w:numPr>
          <w:ilvl w:val="0"/>
          <w:numId w:val="2"/>
        </w:numPr>
      </w:pPr>
      <w:r>
        <w:rPr>
          <w:rtl w:val="0"/>
          <w:lang w:val="en-US"/>
        </w:rPr>
        <w:t xml:space="preserve">Integration references (Jira/KPI): we avoid duplicating source-system data unnecessarily and </w:t>
      </w:r>
      <w:r>
        <w:rPr>
          <w:rtl w:val="0"/>
          <w:lang w:val="en-US"/>
        </w:rPr>
        <w:t>may occasionally cache them temporarily to improve application speed</w:t>
      </w:r>
      <w:r>
        <w:rPr>
          <w:rtl w:val="0"/>
          <w:lang w:val="en-US"/>
        </w:rPr>
        <w:t>.</w:t>
      </w:r>
    </w:p>
    <w:p>
      <w:pPr>
        <w:pStyle w:val="Body"/>
      </w:pPr>
      <w:r>
        <w:rPr>
          <w:rtl w:val="0"/>
          <w:lang w:val="en-US"/>
        </w:rPr>
        <w:t>Specific retention values will be documented in AIME</w:t>
      </w:r>
      <w:r>
        <w:rPr>
          <w:rtl w:val="1"/>
        </w:rPr>
        <w:t>’</w:t>
      </w:r>
      <w:r>
        <w:rPr>
          <w:rtl w:val="0"/>
          <w:lang w:val="en-US"/>
        </w:rPr>
        <w:t>s retention schedule and Record of Processing Activities (RoPA).</w:t>
      </w:r>
    </w:p>
    <w:p>
      <w:pPr>
        <w:pStyle w:val="Body"/>
      </w:pPr>
      <w:r>
        <w:rPr>
          <w:rFonts w:ascii="Cambria Bold" w:hAnsi="Cambria Bold"/>
          <w:sz w:val="26"/>
          <w:szCs w:val="26"/>
          <w:rtl w:val="0"/>
          <w:lang w:val="en-US"/>
        </w:rPr>
        <w:t>12. Security</w:t>
      </w:r>
    </w:p>
    <w:p>
      <w:pPr>
        <w:pStyle w:val="Body"/>
      </w:pPr>
      <w:r>
        <w:rPr>
          <w:rtl w:val="0"/>
          <w:lang w:val="en-US"/>
        </w:rPr>
        <w:t>We implement administrative, technical, and organisational measures to protect personal data, including:</w:t>
      </w:r>
    </w:p>
    <w:p>
      <w:pPr>
        <w:pStyle w:val="List Bullet"/>
        <w:numPr>
          <w:ilvl w:val="0"/>
          <w:numId w:val="2"/>
        </w:numPr>
      </w:pPr>
      <w:r>
        <w:rPr>
          <w:rtl w:val="0"/>
          <w:lang w:val="en-US"/>
        </w:rPr>
        <w:t>Authentication via Microsoft SSO and role-based access control (RBAC) aligned to organisational structure.</w:t>
      </w:r>
    </w:p>
    <w:p>
      <w:pPr>
        <w:pStyle w:val="List Bullet"/>
        <w:numPr>
          <w:ilvl w:val="0"/>
          <w:numId w:val="2"/>
        </w:numPr>
      </w:pPr>
      <w:r>
        <w:rPr>
          <w:rtl w:val="0"/>
          <w:lang w:val="en-US"/>
        </w:rPr>
        <w:t>Encryption in transit (TLS) and encryption at rest through managed service controls.</w:t>
      </w:r>
    </w:p>
    <w:p>
      <w:pPr>
        <w:pStyle w:val="List Bullet"/>
        <w:numPr>
          <w:ilvl w:val="0"/>
          <w:numId w:val="2"/>
        </w:numPr>
      </w:pPr>
      <w:r>
        <w:rPr>
          <w:rtl w:val="0"/>
          <w:lang w:val="en-US"/>
        </w:rPr>
        <w:t>Access logging/audit trails for key actions (including AI proposals and approvals, where configured).</w:t>
      </w:r>
    </w:p>
    <w:p>
      <w:pPr>
        <w:pStyle w:val="List Bullet"/>
        <w:numPr>
          <w:ilvl w:val="0"/>
          <w:numId w:val="2"/>
        </w:numPr>
      </w:pPr>
      <w:r>
        <w:rPr>
          <w:rtl w:val="0"/>
          <w:lang w:val="en-US"/>
        </w:rPr>
        <w:t>Least privilege access to integrations (scoped tokens) and secure secrets management.</w:t>
      </w:r>
    </w:p>
    <w:p>
      <w:pPr>
        <w:pStyle w:val="List Bullet"/>
        <w:numPr>
          <w:ilvl w:val="0"/>
          <w:numId w:val="2"/>
        </w:numPr>
      </w:pPr>
      <w:r>
        <w:rPr>
          <w:rtl w:val="0"/>
          <w:lang w:val="en-US"/>
        </w:rPr>
        <w:t>Vulnerability management (e.g., dependency scanning) and patching practices.</w:t>
      </w:r>
    </w:p>
    <w:p>
      <w:pPr>
        <w:pStyle w:val="Body"/>
      </w:pPr>
      <w:r>
        <w:rPr>
          <w:rFonts w:ascii="Cambria Bold" w:hAnsi="Cambria Bold"/>
          <w:sz w:val="26"/>
          <w:szCs w:val="26"/>
          <w:rtl w:val="0"/>
          <w:lang w:val="en-US"/>
        </w:rPr>
        <w:t>13. Your rights</w:t>
      </w:r>
    </w:p>
    <w:p>
      <w:pPr>
        <w:pStyle w:val="Body"/>
      </w:pPr>
      <w:r>
        <w:rPr>
          <w:rtl w:val="0"/>
          <w:lang w:val="en-US"/>
        </w:rPr>
        <w:t>Where applicable data protection laws grant you rights, including access, rectification, erasure, restriction, objection, and data portability. To exercise these rights, contact the Data Protection Officer using the details above. We will respond within legally required timeframes.</w:t>
      </w:r>
    </w:p>
    <w:p>
      <w:pPr>
        <w:pStyle w:val="Body"/>
      </w:pPr>
      <w:r>
        <w:rPr>
          <w:rFonts w:ascii="Cambria Bold" w:hAnsi="Cambria Bold"/>
          <w:sz w:val="26"/>
          <w:szCs w:val="26"/>
          <w:rtl w:val="0"/>
          <w:lang w:val="en-US"/>
        </w:rPr>
        <w:t>14. Cookies and similar technologies</w:t>
      </w:r>
    </w:p>
    <w:p>
      <w:pPr>
        <w:pStyle w:val="Body"/>
      </w:pPr>
      <w:r>
        <w:rPr>
          <w:rtl w:val="0"/>
          <w:lang w:val="en-US"/>
        </w:rPr>
        <w:t>AIME uses essential cookies for authentication/session security and, where applicable, Microsoft SSO. AIME does not use cookies for advertising or cross-site tracking. Please refer to the AIME Cookie Use Policy for details.</w:t>
      </w:r>
    </w:p>
    <w:p>
      <w:pPr>
        <w:pStyle w:val="Body"/>
      </w:pPr>
      <w:r>
        <w:rPr>
          <w:rFonts w:ascii="Cambria Bold" w:hAnsi="Cambria Bold"/>
          <w:sz w:val="26"/>
          <w:szCs w:val="26"/>
          <w:rtl w:val="0"/>
          <w:lang w:val="en-US"/>
        </w:rPr>
        <w:t>15. Updates to this policy</w:t>
      </w:r>
    </w:p>
    <w:p>
      <w:pPr>
        <w:pStyle w:val="Body"/>
      </w:pPr>
      <w:r>
        <w:rPr>
          <w:rtl w:val="0"/>
          <w:lang w:val="en-US"/>
        </w:rPr>
        <w:t xml:space="preserve">We may update this policy from time to time to reflect legal, operational, or technological changes. The updated version will be made available within AIME (or via the relevant internal policy repository) with a revised </w:t>
      </w:r>
      <w:r>
        <w:rPr>
          <w:rtl w:val="1"/>
          <w:lang w:val="ar-SA" w:bidi="ar-SA"/>
        </w:rPr>
        <w:t>“</w:t>
      </w:r>
      <w:r>
        <w:rPr>
          <w:rtl w:val="0"/>
          <w:lang w:val="en-US"/>
        </w:rPr>
        <w:t>Last updated</w:t>
      </w:r>
      <w:r>
        <w:rPr>
          <w:rtl w:val="0"/>
        </w:rPr>
        <w:t xml:space="preserve">” </w:t>
      </w:r>
      <w:r>
        <w:rPr>
          <w:rtl w:val="0"/>
        </w:rPr>
        <w:t>date.</w:t>
      </w:r>
    </w:p>
    <w:p>
      <w:pPr>
        <w:pStyle w:val="Body"/>
      </w:pPr>
      <w:r>
        <w:rPr>
          <w:rFonts w:ascii="Cambria Bold" w:hAnsi="Cambria Bold"/>
          <w:sz w:val="26"/>
          <w:szCs w:val="26"/>
          <w:rtl w:val="0"/>
          <w:lang w:val="en-US"/>
        </w:rPr>
        <w:t>16. Questions and complaints</w:t>
      </w:r>
    </w:p>
    <w:p>
      <w:pPr>
        <w:pStyle w:val="Body"/>
      </w:pPr>
      <w:r>
        <w:rPr>
          <w:rtl w:val="0"/>
          <w:lang w:val="en-US"/>
        </w:rPr>
        <w:t>If you have questions or concerns about this policy, or wish to exercise your data protection rights, please contact:</w:t>
      </w:r>
    </w:p>
    <w:p>
      <w:pPr>
        <w:pStyle w:val="List Bullet"/>
        <w:numPr>
          <w:ilvl w:val="0"/>
          <w:numId w:val="2"/>
        </w:numPr>
      </w:pPr>
      <w:r>
        <w:rPr>
          <w:rtl w:val="0"/>
          <w:lang w:val="en-US"/>
        </w:rPr>
        <w:t>Data Protection Officer, Risk &amp; Compliance Department</w:t>
      </w:r>
    </w:p>
    <w:p>
      <w:pPr>
        <w:pStyle w:val="List Bullet"/>
        <w:numPr>
          <w:ilvl w:val="0"/>
          <w:numId w:val="2"/>
        </w:numPr>
      </w:pPr>
      <w:r>
        <w:rPr>
          <w:rtl w:val="0"/>
          <w:lang w:val="en-US"/>
        </w:rPr>
        <w:t>Intervest (Pvt) Ltd, Level 23, 324 Havelock Road, Colombo 006, Sri Lanka</w:t>
      </w:r>
    </w:p>
    <w:p>
      <w:pPr>
        <w:pStyle w:val="List Bullet"/>
        <w:numPr>
          <w:ilvl w:val="0"/>
          <w:numId w:val="2"/>
        </w:numPr>
      </w:pPr>
      <w:r>
        <w:rPr>
          <w:rtl w:val="0"/>
          <w:lang w:val="en-US"/>
        </w:rPr>
        <w:t>Email: info@intervest.lk</w:t>
      </w:r>
    </w:p>
    <w:p>
      <w:pPr>
        <w:pStyle w:val="List Bullet"/>
        <w:numPr>
          <w:ilvl w:val="0"/>
          <w:numId w:val="2"/>
        </w:numPr>
      </w:pPr>
      <w:r>
        <w:rPr>
          <w:rtl w:val="0"/>
          <w:lang w:val="en-US"/>
        </w:rPr>
        <w:t>Phone: +94 112 081 880</w:t>
      </w:r>
    </w:p>
    <w:sectPr>
      <w:headerReference w:type="default" r:id="rId4"/>
      <w:footerReference w:type="default" r:id="rId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ambria 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