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AIME Data Retention Schedule (Draft)</w:t>
      </w:r>
    </w:p>
    <w:p/>
    <w:p>
      <w:r>
        <w:t xml:space="preserve">Purpose: Define default retention periods for AIME data types. Retention is based on necessity for service delivery, security, and legal/contractual obligations. Final periods are confirmed in the Privacy Notice and RoPA.</w:t>
      </w:r>
    </w:p>
    <w:p/>
    <w:p>
      <w:r>
        <w:t xml:space="preserve">Data Types and Retention</w:t>
      </w:r>
    </w:p>
    <w:p/>
    <w:p>
      <w:r>
        <w:t xml:space="preserve">1) OKR/Goal records and related metadata: Retain up to 1 year for operational history, then archive (read-only) or delete per policy.</w:t>
      </w:r>
    </w:p>
    <w:p>
      <w:r>
        <w:t xml:space="preserve">2) Comments, updates, and collaboration notes: Retain aligned to OKR/Goal records; archive/delete when the parent record is archived or deleted.</w:t>
      </w:r>
    </w:p>
    <w:p>
      <w:r>
        <w:t xml:space="preserve">3) Time blocks and activity references: Retain aligned to OKR/Goal records; archive/delete with parent record unless required longer for legal/contractual reasons.</w:t>
      </w:r>
    </w:p>
    <w:p>
      <w:r>
        <w:t xml:space="preserve">4) Audit/security logs: Retain ~1 month (30 days) for monitoring and incident investigation, then delete or aggregate with minimised data.</w:t>
      </w:r>
    </w:p>
    <w:p>
      <w:r>
        <w:t xml:space="preserve">5) AI interaction logs/traces: Retain 30 days minimum necessary for support/security; avoid storing full prompts or sensitive content where possible.</w:t>
      </w:r>
    </w:p>
    <w:p>
      <w:r>
        <w:t xml:space="preserve">6) Integration references (Jira/KPI identifiers): Do not duplicate source data; cache only as needed for performance and purge regularly (default 30 days).</w:t>
      </w:r>
    </w:p>
    <w:p>
      <w:r>
        <w:t xml:space="preserve">7) User account data: Retain while employed/active. On exit, deactivate immediately and delete/anonymise after HR/IT retention period (TBD).</w:t>
      </w:r>
    </w:p>
    <w:p>
      <w:r>
        <w:t xml:space="preserve">8) DSAR case records and exports: Retain per compliance policy (TBD); store securely with restricted access.</w:t>
      </w:r>
    </w:p>
    <w:p/>
    <w:p>
      <w:r>
        <w:t xml:space="preserve">Archiving and Deletion</w:t>
      </w:r>
    </w:p>
    <w:p/>
    <w:p>
      <w:r>
        <w:t xml:space="preserve">- Prefer archiving historical OKR data with access controls rather than indefinite retention.</w:t>
      </w:r>
    </w:p>
    <w:p>
      <w:r>
        <w:t xml:space="preserve">- Define automated deletion/archival jobs and document in the Retention Schedule and RoPA.</w:t>
      </w:r>
    </w:p>
    <w:p>
      <w:r>
        <w:t xml:space="preserve">- Apply legal hold when required (pause deletion for specific records).</w:t>
      </w:r>
    </w:p>
    <w:p/>
    <w:p>
      <w:r>
        <w:t xml:space="preserve">Ownership and Review</w:t>
      </w:r>
    </w:p>
    <w:p/>
    <w:p>
      <w:r>
        <w:t xml:space="preserve">- Owner: Product/Engineering with HR/IT/Security oversight.</w:t>
      </w:r>
    </w:p>
    <w:p>
      <w:r>
        <w:t xml:space="preserve">- Review cadence: At least annually or upon material system changes.</w:t>
      </w:r>
    </w:p>
    <w:sectPr>
      <w:pgSz w:w="12240" w:h="15840"/>
      <w:pgMar w:top="1440" w:right="1440" w:bottom="1440" w:left="1440"/>
    </w:sectPr>
  </w:body>
</w:document>
</file>