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Annex: Record of Processing Activities (RoPA) — AIME (Updated Draft)</w:t>
      </w:r>
    </w:p>
    <w:p>
      <w:pPr>
        <w:jc w:val="center"/>
      </w:pPr>
      <w:r>
        <w:rPr>
          <w:sz w:val="20"/>
        </w:rPr>
        <w:t>Version: 1.1    Date: 2026-01-30</w:t>
      </w:r>
    </w:p>
    <w:p/>
    <w:p>
      <w:r>
        <w:t>This annex provides a draft Record of Processing Activities (RoPA) for AIME, intended to support GDPR Article 30 documentation. Items marked [TBD] should be completed/confirmed by the organisation (Legal/Privacy/Security/IT).</w:t>
      </w:r>
    </w:p>
    <w:p>
      <w:r>
        <w:rPr>
          <w:b/>
          <w:sz w:val="26"/>
        </w:rPr>
        <w:t>A. Controller details (applies to all activities)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Intervest (Pvt) Ltd</w:t>
            </w:r>
          </w:p>
        </w:tc>
      </w:tr>
      <w:tr>
        <w:tc>
          <w:tcPr>
            <w:tcW w:type="dxa" w:w="4320"/>
          </w:tcPr>
          <w:p>
            <w:r>
              <w:t>Contact (privacy)</w:t>
            </w:r>
          </w:p>
        </w:tc>
        <w:tc>
          <w:tcPr>
            <w:tcW w:type="dxa" w:w="4320"/>
          </w:tcPr>
          <w:p>
            <w:r>
              <w:t>Data Protection Officer, Risk &amp; Compliance Department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Level 23, 324 Havelock Road, Colombo 006, Sri Lanka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info@intervest.lk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+94 112 081 880</w:t>
            </w:r>
          </w:p>
        </w:tc>
      </w:tr>
      <w:tr>
        <w:tc>
          <w:tcPr>
            <w:tcW w:type="dxa" w:w="4320"/>
          </w:tcPr>
          <w:p>
            <w:r>
              <w:t>DPO (if applicable)</w:t>
            </w:r>
          </w:p>
        </w:tc>
        <w:tc>
          <w:tcPr>
            <w:tcW w:type="dxa" w:w="4320"/>
          </w:tcPr>
          <w:p>
            <w:r>
              <w:t>[TBD / Not applicable depending on legal requirement]</w:t>
            </w:r>
          </w:p>
        </w:tc>
      </w:tr>
      <w:tr>
        <w:tc>
          <w:tcPr>
            <w:tcW w:type="dxa" w:w="4320"/>
          </w:tcPr>
          <w:p>
            <w:r>
              <w:t>Main countries of use</w:t>
            </w:r>
          </w:p>
        </w:tc>
        <w:tc>
          <w:tcPr>
            <w:tcW w:type="dxa" w:w="4320"/>
          </w:tcPr>
          <w:p>
            <w:r>
              <w:t>UK, Spain (EU), Gibraltar, Sri Lanka [confirm]</w:t>
            </w:r>
          </w:p>
        </w:tc>
      </w:tr>
      <w:tr>
        <w:tc>
          <w:tcPr>
            <w:tcW w:type="dxa" w:w="4320"/>
          </w:tcPr>
          <w:p>
            <w:r>
              <w:t>Joint controllers (if any)</w:t>
            </w:r>
          </w:p>
        </w:tc>
        <w:tc>
          <w:tcPr>
            <w:tcW w:type="dxa" w:w="4320"/>
          </w:tcPr>
          <w:p>
            <w:r>
              <w:t>None (internal tool) [confirm]</w:t>
            </w:r>
          </w:p>
        </w:tc>
      </w:tr>
    </w:tbl>
    <w:p/>
    <w:p>
      <w:r>
        <w:rPr>
          <w:b/>
          <w:sz w:val="26"/>
        </w:rPr>
        <w:t>B. Data flow and locations (summary)</w:t>
      </w:r>
    </w:p>
    <w:p>
      <w:r>
        <w:t>The table below captures key locations for storage and processing. Confirm regions and tenancy for each connected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Data stored where</w:t>
            </w:r>
          </w:p>
        </w:tc>
        <w:tc>
          <w:tcPr>
            <w:tcW w:type="dxa" w:w="1728"/>
          </w:tcPr>
          <w:p>
            <w:r>
              <w:t>Data processed where</w:t>
            </w:r>
          </w:p>
        </w:tc>
        <w:tc>
          <w:tcPr>
            <w:tcW w:type="dxa" w:w="1728"/>
          </w:tcPr>
          <w:p>
            <w:r>
              <w:t>Access (who/what)</w:t>
            </w:r>
          </w:p>
        </w:tc>
        <w:tc>
          <w:tcPr>
            <w:tcW w:type="dxa" w:w="1728"/>
          </w:tcPr>
          <w:p>
            <w:r>
              <w:t>Notes / transfers</w:t>
            </w:r>
          </w:p>
        </w:tc>
      </w:tr>
      <w:tr>
        <w:tc>
          <w:tcPr>
            <w:tcW w:type="dxa" w:w="1728"/>
          </w:tcPr>
          <w:p>
            <w:r>
              <w:t>AIME Web/App runtime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Current: Vercel (regions [TBD]); Planned: AWS EC2 (region [TBD])</w:t>
            </w:r>
          </w:p>
        </w:tc>
        <w:tc>
          <w:tcPr>
            <w:tcW w:type="dxa" w:w="1728"/>
          </w:tcPr>
          <w:p>
            <w:r>
              <w:t>Users via SSO; admins; backend services</w:t>
            </w:r>
          </w:p>
        </w:tc>
        <w:tc>
          <w:tcPr>
            <w:tcW w:type="dxa" w:w="1728"/>
          </w:tcPr>
          <w:p>
            <w:r>
              <w:t>If EU users’ data is processed outside EU/EEA, apply safeguards.</w:t>
            </w:r>
          </w:p>
        </w:tc>
      </w:tr>
      <w:tr>
        <w:tc>
          <w:tcPr>
            <w:tcW w:type="dxa" w:w="1728"/>
          </w:tcPr>
          <w:p>
            <w:r>
              <w:t>AIME Database</w:t>
            </w:r>
          </w:p>
        </w:tc>
        <w:tc>
          <w:tcPr>
            <w:tcW w:type="dxa" w:w="1728"/>
          </w:tcPr>
          <w:p>
            <w:r>
              <w:t>Current: Neon Postgres (London); Planned: AWS RDS PostgreSQL (region [TBD])</w:t>
            </w:r>
          </w:p>
        </w:tc>
        <w:tc>
          <w:tcPr>
            <w:tcW w:type="dxa" w:w="1728"/>
          </w:tcPr>
          <w:p>
            <w:r>
              <w:t>Backend reads/writes via authorised APIs</w:t>
            </w:r>
          </w:p>
        </w:tc>
        <w:tc>
          <w:tcPr>
            <w:tcW w:type="dxa" w:w="1728"/>
          </w:tcPr>
          <w:p>
            <w:r>
              <w:t>Backend service accounts; admins per policy</w:t>
            </w:r>
          </w:p>
        </w:tc>
        <w:tc>
          <w:tcPr>
            <w:tcW w:type="dxa" w:w="1728"/>
          </w:tcPr>
          <w:p>
            <w:r>
              <w:t>Treat DB region as storage location; processing also occurs in app runtime and AI service.</w:t>
            </w:r>
          </w:p>
        </w:tc>
      </w:tr>
      <w:tr>
        <w:tc>
          <w:tcPr>
            <w:tcW w:type="dxa" w:w="1728"/>
          </w:tcPr>
          <w:p>
            <w:r>
              <w:t>AI Inference</w:t>
            </w:r>
          </w:p>
        </w:tc>
        <w:tc>
          <w:tcPr>
            <w:tcW w:type="dxa" w:w="1728"/>
          </w:tcPr>
          <w:p>
            <w:r>
              <w:t>Vendor-dependent</w:t>
            </w:r>
          </w:p>
        </w:tc>
        <w:tc>
          <w:tcPr>
            <w:tcW w:type="dxa" w:w="1728"/>
          </w:tcPr>
          <w:p>
            <w:r>
              <w:t>Planned: Amazon Bedrock (region [TBD]) and underlying model provider</w:t>
            </w:r>
          </w:p>
        </w:tc>
        <w:tc>
          <w:tcPr>
            <w:tcW w:type="dxa" w:w="1728"/>
          </w:tcPr>
          <w:p>
            <w:r>
              <w:t>AIME backend invokes model; users initiate requests</w:t>
            </w:r>
          </w:p>
        </w:tc>
        <w:tc>
          <w:tcPr>
            <w:tcW w:type="dxa" w:w="1728"/>
          </w:tcPr>
          <w:p>
            <w:r>
              <w:t>Select region(s) to minimise cross-border transfer; SCC/TRA if required.</w:t>
            </w:r>
          </w:p>
        </w:tc>
      </w:tr>
      <w:tr>
        <w:tc>
          <w:tcPr>
            <w:tcW w:type="dxa" w:w="1728"/>
          </w:tcPr>
          <w:p>
            <w:r>
              <w:t>Atlassian Jira</w:t>
            </w:r>
          </w:p>
        </w:tc>
        <w:tc>
          <w:tcPr>
            <w:tcW w:type="dxa" w:w="1728"/>
          </w:tcPr>
          <w:p>
            <w:r>
              <w:t>Atlassian tenant region [TBD]</w:t>
            </w:r>
          </w:p>
        </w:tc>
        <w:tc>
          <w:tcPr>
            <w:tcW w:type="dxa" w:w="1728"/>
          </w:tcPr>
          <w:p>
            <w:r>
              <w:t>Jira REST API operations via OAuth</w:t>
            </w:r>
          </w:p>
        </w:tc>
        <w:tc>
          <w:tcPr>
            <w:tcW w:type="dxa" w:w="1728"/>
          </w:tcPr>
          <w:p>
            <w:r>
              <w:t>On behalf of logged-in user; scoped permissions</w:t>
            </w:r>
          </w:p>
        </w:tc>
        <w:tc>
          <w:tcPr>
            <w:tcW w:type="dxa" w:w="1728"/>
          </w:tcPr>
          <w:p>
            <w:r>
              <w:t>Avoid duplicating Jira content; field allowlists for AI.</w:t>
            </w:r>
          </w:p>
        </w:tc>
      </w:tr>
      <w:tr>
        <w:tc>
          <w:tcPr>
            <w:tcW w:type="dxa" w:w="1728"/>
          </w:tcPr>
          <w:p>
            <w:r>
              <w:t>Snowflake (KPI)</w:t>
            </w:r>
          </w:p>
        </w:tc>
        <w:tc>
          <w:tcPr>
            <w:tcW w:type="dxa" w:w="1728"/>
          </w:tcPr>
          <w:p>
            <w:r>
              <w:t>Snowflake account region [TBD]</w:t>
            </w:r>
          </w:p>
        </w:tc>
        <w:tc>
          <w:tcPr>
            <w:tcW w:type="dxa" w:w="1728"/>
          </w:tcPr>
          <w:p>
            <w:r>
              <w:t>Read-only queries via authorised integration</w:t>
            </w:r>
          </w:p>
        </w:tc>
        <w:tc>
          <w:tcPr>
            <w:tcW w:type="dxa" w:w="1728"/>
          </w:tcPr>
          <w:p>
            <w:r>
              <w:t>AIME backend; authorised users via RBAC</w:t>
            </w:r>
          </w:p>
        </w:tc>
        <w:tc>
          <w:tcPr>
            <w:tcW w:type="dxa" w:w="1728"/>
          </w:tcPr>
          <w:p>
            <w:r>
              <w:t>Prefer aggregates; document if individual-linked KPIs are used.</w:t>
            </w:r>
          </w:p>
        </w:tc>
      </w:tr>
      <w:tr>
        <w:tc>
          <w:tcPr>
            <w:tcW w:type="dxa" w:w="1728"/>
          </w:tcPr>
          <w:p>
            <w:r>
              <w:t>Microsoft Identity (SSO)</w:t>
            </w:r>
          </w:p>
        </w:tc>
        <w:tc>
          <w:tcPr>
            <w:tcW w:type="dxa" w:w="1728"/>
          </w:tcPr>
          <w:p>
            <w:r>
              <w:t>Microsoft tenant region [TBD]</w:t>
            </w:r>
          </w:p>
        </w:tc>
        <w:tc>
          <w:tcPr>
            <w:tcW w:type="dxa" w:w="1728"/>
          </w:tcPr>
          <w:p>
            <w:r>
              <w:t>Authentication/claims issuance</w:t>
            </w:r>
          </w:p>
        </w:tc>
        <w:tc>
          <w:tcPr>
            <w:tcW w:type="dxa" w:w="1728"/>
          </w:tcPr>
          <w:p>
            <w:r>
              <w:t>Users; identity admins</w:t>
            </w:r>
          </w:p>
        </w:tc>
        <w:tc>
          <w:tcPr>
            <w:tcW w:type="dxa" w:w="1728"/>
          </w:tcPr>
          <w:p>
            <w:r>
              <w:t>Sign-in/audit logs available in Entra ID; confirm retention/export.</w:t>
            </w:r>
          </w:p>
        </w:tc>
      </w:tr>
    </w:tbl>
    <w:p/>
    <w:p>
      <w:r>
        <w:rPr>
          <w:b/>
          <w:sz w:val="26"/>
        </w:rPr>
        <w:t>C. Processor / vendor register (summary)</w:t>
      </w:r>
    </w:p>
    <w:p>
      <w:r>
        <w:t>Maintain a processor register for vendors involved in operating AIME. Confirm contracts/DPAs and sub-processor lists.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Vendor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Region(s)</w:t>
            </w:r>
          </w:p>
        </w:tc>
        <w:tc>
          <w:tcPr>
            <w:tcW w:type="dxa" w:w="1440"/>
          </w:tcPr>
          <w:p>
            <w:r>
              <w:t>DPA 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Vercel</w:t>
            </w:r>
          </w:p>
        </w:tc>
        <w:tc>
          <w:tcPr>
            <w:tcW w:type="dxa" w:w="1440"/>
          </w:tcPr>
          <w:p>
            <w:r>
              <w:t>Processor</w:t>
            </w:r>
          </w:p>
        </w:tc>
        <w:tc>
          <w:tcPr>
            <w:tcW w:type="dxa" w:w="1440"/>
          </w:tcPr>
          <w:p>
            <w:r>
              <w:t>Hosting/runtime (current)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Planned migration to AWS.</w:t>
            </w:r>
          </w:p>
        </w:tc>
      </w:tr>
      <w:tr>
        <w:tc>
          <w:tcPr>
            <w:tcW w:type="dxa" w:w="1440"/>
          </w:tcPr>
          <w:p>
            <w:r>
              <w:t>Neon</w:t>
            </w:r>
          </w:p>
        </w:tc>
        <w:tc>
          <w:tcPr>
            <w:tcW w:type="dxa" w:w="1440"/>
          </w:tcPr>
          <w:p>
            <w:r>
              <w:t>Processor</w:t>
            </w:r>
          </w:p>
        </w:tc>
        <w:tc>
          <w:tcPr>
            <w:tcW w:type="dxa" w:w="1440"/>
          </w:tcPr>
          <w:p>
            <w:r>
              <w:t>Database (current)</w:t>
            </w:r>
          </w:p>
        </w:tc>
        <w:tc>
          <w:tcPr>
            <w:tcW w:type="dxa" w:w="1440"/>
          </w:tcPr>
          <w:p>
            <w:r>
              <w:t>London (UK)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Postgres storage for OKR data.</w:t>
            </w:r>
          </w:p>
        </w:tc>
      </w:tr>
      <w:tr>
        <w:tc>
          <w:tcPr>
            <w:tcW w:type="dxa" w:w="1440"/>
          </w:tcPr>
          <w:p>
            <w:r>
              <w:t>AWS</w:t>
            </w:r>
          </w:p>
        </w:tc>
        <w:tc>
          <w:tcPr>
            <w:tcW w:type="dxa" w:w="1440"/>
          </w:tcPr>
          <w:p>
            <w:r>
              <w:t>Processor</w:t>
            </w:r>
          </w:p>
        </w:tc>
        <w:tc>
          <w:tcPr>
            <w:tcW w:type="dxa" w:w="1440"/>
          </w:tcPr>
          <w:p>
            <w:r>
              <w:t>Hosting/DB/Logs (planned)</w:t>
            </w:r>
          </w:p>
        </w:tc>
        <w:tc>
          <w:tcPr>
            <w:tcW w:type="dxa" w:w="1440"/>
          </w:tcPr>
          <w:p>
            <w:r>
              <w:t>[TBD: e.g., eu-west-1]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EC2 + RDS + CloudWatch/CloudTrail.</w:t>
            </w:r>
          </w:p>
        </w:tc>
      </w:tr>
      <w:tr>
        <w:tc>
          <w:tcPr>
            <w:tcW w:type="dxa" w:w="1440"/>
          </w:tcPr>
          <w:p>
            <w:r>
              <w:t>Cloudflare</w:t>
            </w:r>
          </w:p>
        </w:tc>
        <w:tc>
          <w:tcPr>
            <w:tcW w:type="dxa" w:w="1440"/>
          </w:tcPr>
          <w:p>
            <w:r>
              <w:t>Processor</w:t>
            </w:r>
          </w:p>
        </w:tc>
        <w:tc>
          <w:tcPr>
            <w:tcW w:type="dxa" w:w="1440"/>
          </w:tcPr>
          <w:p>
            <w:r>
              <w:t>WAF/edge security (planned)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WAF/rate limiting/bot protection; logs if enabled.</w:t>
            </w:r>
          </w:p>
        </w:tc>
      </w:tr>
      <w:tr>
        <w:tc>
          <w:tcPr>
            <w:tcW w:type="dxa" w:w="1440"/>
          </w:tcPr>
          <w:p>
            <w:r>
              <w:t>Amazon Bedrock / model provider</w:t>
            </w:r>
          </w:p>
        </w:tc>
        <w:tc>
          <w:tcPr>
            <w:tcW w:type="dxa" w:w="1440"/>
          </w:tcPr>
          <w:p>
            <w:r>
              <w:t>Processor/Sub-processor</w:t>
            </w:r>
          </w:p>
        </w:tc>
        <w:tc>
          <w:tcPr>
            <w:tcW w:type="dxa" w:w="1440"/>
          </w:tcPr>
          <w:p>
            <w:r>
              <w:t>AI inference (planned)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Confirm model training/retention settings.</w:t>
            </w:r>
          </w:p>
        </w:tc>
      </w:tr>
      <w:tr>
        <w:tc>
          <w:tcPr>
            <w:tcW w:type="dxa" w:w="1440"/>
          </w:tcPr>
          <w:p>
            <w:r>
              <w:t>Atlassian Jira</w:t>
            </w:r>
          </w:p>
        </w:tc>
        <w:tc>
          <w:tcPr>
            <w:tcW w:type="dxa" w:w="1440"/>
          </w:tcPr>
          <w:p>
            <w:r>
              <w:t>Processor</w:t>
            </w:r>
          </w:p>
        </w:tc>
        <w:tc>
          <w:tcPr>
            <w:tcW w:type="dxa" w:w="1440"/>
          </w:tcPr>
          <w:p>
            <w:r>
              <w:t>Work management integration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OAuth scopes; auditability varies by plan.</w:t>
            </w:r>
          </w:p>
        </w:tc>
      </w:tr>
      <w:tr>
        <w:tc>
          <w:tcPr>
            <w:tcW w:type="dxa" w:w="1440"/>
          </w:tcPr>
          <w:p>
            <w:r>
              <w:t>Snowflake</w:t>
            </w:r>
          </w:p>
        </w:tc>
        <w:tc>
          <w:tcPr>
            <w:tcW w:type="dxa" w:w="1440"/>
          </w:tcPr>
          <w:p>
            <w:r>
              <w:t>Processor</w:t>
            </w:r>
          </w:p>
        </w:tc>
        <w:tc>
          <w:tcPr>
            <w:tcW w:type="dxa" w:w="1440"/>
          </w:tcPr>
          <w:p>
            <w:r>
              <w:t>Data warehouse integration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Read-only; prefer aggregates.</w:t>
            </w:r>
          </w:p>
        </w:tc>
      </w:tr>
      <w:tr>
        <w:tc>
          <w:tcPr>
            <w:tcW w:type="dxa" w:w="1440"/>
          </w:tcPr>
          <w:p>
            <w:r>
              <w:t>Microsoft</w:t>
            </w:r>
          </w:p>
        </w:tc>
        <w:tc>
          <w:tcPr>
            <w:tcW w:type="dxa" w:w="1440"/>
          </w:tcPr>
          <w:p>
            <w:r>
              <w:t>Processor</w:t>
            </w:r>
          </w:p>
        </w:tc>
        <w:tc>
          <w:tcPr>
            <w:tcW w:type="dxa" w:w="1440"/>
          </w:tcPr>
          <w:p>
            <w:r>
              <w:t>SSO/identity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Entra ID sign-in and audit logs available.</w:t>
            </w:r>
          </w:p>
        </w:tc>
      </w:tr>
      <w:tr>
        <w:tc>
          <w:tcPr>
            <w:tcW w:type="dxa" w:w="1440"/>
          </w:tcPr>
          <w:p>
            <w:r>
              <w:t>Snyk</w:t>
            </w:r>
          </w:p>
        </w:tc>
        <w:tc>
          <w:tcPr>
            <w:tcW w:type="dxa" w:w="1440"/>
          </w:tcPr>
          <w:p>
            <w:r>
              <w:t>Processor</w:t>
            </w:r>
          </w:p>
        </w:tc>
        <w:tc>
          <w:tcPr>
            <w:tcW w:type="dxa" w:w="1440"/>
          </w:tcPr>
          <w:p>
            <w:r>
              <w:t>Vulnerability management (optional)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[TBD]</w:t>
            </w:r>
          </w:p>
        </w:tc>
        <w:tc>
          <w:tcPr>
            <w:tcW w:type="dxa" w:w="1440"/>
          </w:tcPr>
          <w:p>
            <w:r>
              <w:t>Dependency scanning in CI/CD.</w:t>
            </w:r>
          </w:p>
        </w:tc>
      </w:tr>
    </w:tbl>
    <w:p/>
    <w:p>
      <w:r>
        <w:rPr>
          <w:b/>
          <w:sz w:val="26"/>
        </w:rPr>
        <w:t>D.1 Processing activity: Account access, authentication, and user profile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Purpose(s) of processing</w:t>
            </w:r>
          </w:p>
        </w:tc>
        <w:tc>
          <w:tcPr>
            <w:tcW w:type="dxa" w:w="4320"/>
          </w:tcPr>
          <w:p>
            <w:r>
              <w:t>Authenticate users (Microsoft SSO where enabled), manage sessions, and maintain user profiles, roles, and organisation hierarchy data required to operate AIME and enforce access controls.</w:t>
            </w:r>
          </w:p>
        </w:tc>
      </w:tr>
      <w:tr>
        <w:tc>
          <w:tcPr>
            <w:tcW w:type="dxa" w:w="4320"/>
          </w:tcPr>
          <w:p>
            <w:r>
              <w:t>Lawful basis (GDPR Art. 6)</w:t>
            </w:r>
          </w:p>
        </w:tc>
        <w:tc>
          <w:tcPr>
            <w:tcW w:type="dxa" w:w="4320"/>
          </w:tcPr>
          <w:p>
            <w:r>
              <w:t>Primary: Art. 6(1)(b) (workplace administration) and/or Art. 6(1)(f) legitimate interests (secure operations). Where relying on 6(1)(f), complete/maintain a Legitimate Interests Assessment (LIA).</w:t>
            </w:r>
          </w:p>
        </w:tc>
      </w:tr>
      <w:tr>
        <w:tc>
          <w:tcPr>
            <w:tcW w:type="dxa" w:w="4320"/>
          </w:tcPr>
          <w:p>
            <w:r>
              <w:t>Data subjects</w:t>
            </w:r>
          </w:p>
        </w:tc>
        <w:tc>
          <w:tcPr>
            <w:tcW w:type="dxa" w:w="4320"/>
          </w:tcPr>
          <w:p>
            <w:r>
              <w:t>Employees/internal staff users; administrators.</w:t>
            </w:r>
          </w:p>
        </w:tc>
      </w:tr>
      <w:tr>
        <w:tc>
          <w:tcPr>
            <w:tcW w:type="dxa" w:w="4320"/>
          </w:tcPr>
          <w:p>
            <w:r>
              <w:t>Categories of personal data</w:t>
            </w:r>
          </w:p>
        </w:tc>
        <w:tc>
          <w:tcPr>
            <w:tcW w:type="dxa" w:w="4320"/>
          </w:tcPr>
          <w:p>
            <w:r>
              <w:t>Work identifiers (name, work email/UPN), role, team/department, permissions, authentication/session metadata, timestamps.</w:t>
            </w:r>
          </w:p>
        </w:tc>
      </w:tr>
      <w:tr>
        <w:tc>
          <w:tcPr>
            <w:tcW w:type="dxa" w:w="4320"/>
          </w:tcPr>
          <w:p>
            <w:r>
              <w:t>Special category data (GDPR Art. 9)</w:t>
            </w:r>
          </w:p>
        </w:tc>
        <w:tc>
          <w:tcPr>
            <w:tcW w:type="dxa" w:w="4320"/>
          </w:tcPr>
          <w:p>
            <w:r>
              <w:t>Not intended. If included incidentally, minimise processing and restrict access and retention.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Microsoft Entra ID (identity claims), admin input for roles/hierarchy.</w:t>
            </w:r>
          </w:p>
        </w:tc>
      </w:tr>
      <w:tr>
        <w:tc>
          <w:tcPr>
            <w:tcW w:type="dxa" w:w="4320"/>
          </w:tcPr>
          <w:p>
            <w:r>
              <w:t>Recipients (internal) / processors (external)</w:t>
            </w:r>
          </w:p>
        </w:tc>
        <w:tc>
          <w:tcPr>
            <w:tcW w:type="dxa" w:w="4320"/>
          </w:tcPr>
          <w:p>
            <w:r>
              <w:t>Internal: authorised admins for user/role management; leaders within scope (role-based). External: hosting/runtime provider; database provider; Microsoft (SSO).</w:t>
            </w:r>
          </w:p>
        </w:tc>
      </w:tr>
      <w:tr>
        <w:tc>
          <w:tcPr>
            <w:tcW w:type="dxa" w:w="4320"/>
          </w:tcPr>
          <w:p>
            <w:r>
              <w:t>International transfers &amp; safeguards</w:t>
            </w:r>
          </w:p>
        </w:tc>
        <w:tc>
          <w:tcPr>
            <w:tcW w:type="dxa" w:w="4320"/>
          </w:tcPr>
          <w:p>
            <w:r>
              <w:t>Confirm regions for hosting/runtime and support access. If EU/EEA users’ personal data is processed outside EU/EEA, use appropriate transfer safeguards (e.g., SCCs) and conduct a Transfer Risk Assessment (TRA) where required. Document any cross-border admin/support access.</w:t>
            </w:r>
          </w:p>
        </w:tc>
      </w:tr>
      <w:tr>
        <w:tc>
          <w:tcPr>
            <w:tcW w:type="dxa" w:w="4320"/>
          </w:tcPr>
          <w:p>
            <w:r>
              <w:t>Retention / deletion</w:t>
            </w:r>
          </w:p>
        </w:tc>
        <w:tc>
          <w:tcPr>
            <w:tcW w:type="dxa" w:w="4320"/>
          </w:tcPr>
          <w:p>
            <w:r>
              <w:t>Account retained while employed; deactivate on exit; delete/anon after [TBD] per HR/IT policy. Proposed: retain security/audit logs for 30–90 days depending on organisational policy [confirm].</w:t>
            </w:r>
          </w:p>
        </w:tc>
      </w:tr>
      <w:tr>
        <w:tc>
          <w:tcPr>
            <w:tcW w:type="dxa" w:w="4320"/>
          </w:tcPr>
          <w:p>
            <w:r>
              <w:t>Security measures (high level)</w:t>
            </w:r>
          </w:p>
        </w:tc>
        <w:tc>
          <w:tcPr>
            <w:tcW w:type="dxa" w:w="4320"/>
          </w:tcPr>
          <w:p>
            <w:r>
              <w:t>SSO + MFA (per org policy), RBAC, least privilege, encryption in transit/at rest, secure secrets management, admin audit logs.</w:t>
            </w:r>
          </w:p>
        </w:tc>
      </w:tr>
      <w:tr>
        <w:tc>
          <w:tcPr>
            <w:tcW w:type="dxa" w:w="4320"/>
          </w:tcPr>
          <w:p>
            <w:r>
              <w:t>Notes / open items</w:t>
            </w:r>
          </w:p>
        </w:tc>
        <w:tc>
          <w:tcPr>
            <w:tcW w:type="dxa" w:w="4320"/>
          </w:tcPr>
          <w:p>
            <w:r>
              <w:t>Confirm runtime regions; confirm Entra log export/retention and admin access process.</w:t>
            </w:r>
          </w:p>
        </w:tc>
      </w:tr>
      <w:tr>
        <w:tc>
          <w:tcPr>
            <w:tcW w:type="dxa" w:w="4320"/>
          </w:tcPr>
          <w:p>
            <w:r>
              <w:t>Evidence / artefacts (where documented)</w:t>
            </w:r>
          </w:p>
        </w:tc>
        <w:tc>
          <w:tcPr>
            <w:tcW w:type="dxa" w:w="4320"/>
          </w:tcPr>
          <w:p>
            <w:r>
              <w:t>Access control matrix; SSO configuration; admin/user management SOP; audit logging spec.</w:t>
            </w:r>
          </w:p>
        </w:tc>
      </w:tr>
    </w:tbl>
    <w:p/>
    <w:p>
      <w:r>
        <w:rPr>
          <w:b/>
          <w:sz w:val="26"/>
        </w:rPr>
        <w:t>D.2 Processing activity: OKR/OKRT creation, updates, collaboration and dashboards (AIME 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Purpose(s) of processing</w:t>
            </w:r>
          </w:p>
        </w:tc>
        <w:tc>
          <w:tcPr>
            <w:tcW w:type="dxa" w:w="4320"/>
          </w:tcPr>
          <w:p>
            <w:r>
              <w:t>Enable staff to create and manage Objectives, Key Results, Tasks/Initiatives, time blocks, progress updates, and comments; provide dashboards and role-scoped visibility to support alignment and execution.</w:t>
            </w:r>
          </w:p>
        </w:tc>
      </w:tr>
      <w:tr>
        <w:tc>
          <w:tcPr>
            <w:tcW w:type="dxa" w:w="4320"/>
          </w:tcPr>
          <w:p>
            <w:r>
              <w:t>Lawful basis (GDPR Art. 6)</w:t>
            </w:r>
          </w:p>
        </w:tc>
        <w:tc>
          <w:tcPr>
            <w:tcW w:type="dxa" w:w="4320"/>
          </w:tcPr>
          <w:p>
            <w:r>
              <w:t>Primary: Art. 6(1)(b) and/or Art. 6(1)(f). Where using 6(1)(f), maintain an LIA balancing workplace context risks.</w:t>
            </w:r>
          </w:p>
        </w:tc>
      </w:tr>
      <w:tr>
        <w:tc>
          <w:tcPr>
            <w:tcW w:type="dxa" w:w="4320"/>
          </w:tcPr>
          <w:p>
            <w:r>
              <w:t>Data subjects</w:t>
            </w:r>
          </w:p>
        </w:tc>
        <w:tc>
          <w:tcPr>
            <w:tcW w:type="dxa" w:w="4320"/>
          </w:tcPr>
          <w:p>
            <w:r>
              <w:t>Employees/internal staff; leaders/owners/admins (within permitted scope).</w:t>
            </w:r>
          </w:p>
        </w:tc>
      </w:tr>
      <w:tr>
        <w:tc>
          <w:tcPr>
            <w:tcW w:type="dxa" w:w="4320"/>
          </w:tcPr>
          <w:p>
            <w:r>
              <w:t>Categories of personal data</w:t>
            </w:r>
          </w:p>
        </w:tc>
        <w:tc>
          <w:tcPr>
            <w:tcW w:type="dxa" w:w="4320"/>
          </w:tcPr>
          <w:p>
            <w:r>
              <w:t>Work identifiers, role/team membership, OKR content, progress updates, comments, timestamps, ownership/assignments.</w:t>
            </w:r>
          </w:p>
        </w:tc>
      </w:tr>
      <w:tr>
        <w:tc>
          <w:tcPr>
            <w:tcW w:type="dxa" w:w="4320"/>
          </w:tcPr>
          <w:p>
            <w:r>
              <w:t>Special category data (GDPR Art. 9)</w:t>
            </w:r>
          </w:p>
        </w:tc>
        <w:tc>
          <w:tcPr>
            <w:tcW w:type="dxa" w:w="4320"/>
          </w:tcPr>
          <w:p>
            <w:r>
              <w:t>Not intended. Control: user notice not to include special category data in OKRs/comments; consider UI warnings and AI prompt minimisation/redaction.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Direct user input; organisation structure; derived metrics (completion/percentages).</w:t>
            </w:r>
          </w:p>
        </w:tc>
      </w:tr>
      <w:tr>
        <w:tc>
          <w:tcPr>
            <w:tcW w:type="dxa" w:w="4320"/>
          </w:tcPr>
          <w:p>
            <w:r>
              <w:t>Recipients (internal) / processors (external)</w:t>
            </w:r>
          </w:p>
        </w:tc>
        <w:tc>
          <w:tcPr>
            <w:tcW w:type="dxa" w:w="4320"/>
          </w:tcPr>
          <w:p>
            <w:r>
              <w:t>Internal: self/team/org dashboards based on RBAC; authorised admins. External: hosting/runtime provider; database provider.</w:t>
            </w:r>
          </w:p>
        </w:tc>
      </w:tr>
      <w:tr>
        <w:tc>
          <w:tcPr>
            <w:tcW w:type="dxa" w:w="4320"/>
          </w:tcPr>
          <w:p>
            <w:r>
              <w:t>International transfers &amp; safeguards</w:t>
            </w:r>
          </w:p>
        </w:tc>
        <w:tc>
          <w:tcPr>
            <w:tcW w:type="dxa" w:w="4320"/>
          </w:tcPr>
          <w:p>
            <w:r>
              <w:t>Document data flow mapping across regions for EU users and any cross-border support access; apply safeguards where required.</w:t>
            </w:r>
          </w:p>
        </w:tc>
      </w:tr>
      <w:tr>
        <w:tc>
          <w:tcPr>
            <w:tcW w:type="dxa" w:w="4320"/>
          </w:tcPr>
          <w:p>
            <w:r>
              <w:t>Retention / deletion</w:t>
            </w:r>
          </w:p>
        </w:tc>
        <w:tc>
          <w:tcPr>
            <w:tcW w:type="dxa" w:w="4320"/>
          </w:tcPr>
          <w:p>
            <w:r>
              <w:t>Proposed: retain OKR/OKRT records for 2–3 years for planning/history, then archive (read-only) or delete per policy [confirm].</w:t>
            </w:r>
          </w:p>
        </w:tc>
      </w:tr>
      <w:tr>
        <w:tc>
          <w:tcPr>
            <w:tcW w:type="dxa" w:w="4320"/>
          </w:tcPr>
          <w:p>
            <w:r>
              <w:t>Security measures (high level)</w:t>
            </w:r>
          </w:p>
        </w:tc>
        <w:tc>
          <w:tcPr>
            <w:tcW w:type="dxa" w:w="4320"/>
          </w:tcPr>
          <w:p>
            <w:r>
              <w:t>RBAC (self/team/org), encryption, access reviews, secure backups; audit logs for admin actions and data exports where applicable.</w:t>
            </w:r>
          </w:p>
        </w:tc>
      </w:tr>
      <w:tr>
        <w:tc>
          <w:tcPr>
            <w:tcW w:type="dxa" w:w="4320"/>
          </w:tcPr>
          <w:p>
            <w:r>
              <w:t>Notes / open items</w:t>
            </w:r>
          </w:p>
        </w:tc>
        <w:tc>
          <w:tcPr>
            <w:tcW w:type="dxa" w:w="4320"/>
          </w:tcPr>
          <w:p>
            <w:r>
              <w:t>Define final retention schedule and archiving process; implement DSAR export for user data.</w:t>
            </w:r>
          </w:p>
        </w:tc>
      </w:tr>
      <w:tr>
        <w:tc>
          <w:tcPr>
            <w:tcW w:type="dxa" w:w="4320"/>
          </w:tcPr>
          <w:p>
            <w:r>
              <w:t>Evidence / artefacts (where documented)</w:t>
            </w:r>
          </w:p>
        </w:tc>
        <w:tc>
          <w:tcPr>
            <w:tcW w:type="dxa" w:w="4320"/>
          </w:tcPr>
          <w:p>
            <w:r>
              <w:t>Data model documentation; RBAC rules; retention schedule; DSAR procedure.</w:t>
            </w:r>
          </w:p>
        </w:tc>
      </w:tr>
    </w:tbl>
    <w:p/>
    <w:p>
      <w:r>
        <w:rPr>
          <w:b/>
          <w:sz w:val="26"/>
        </w:rPr>
        <w:t>D.3 Processing activity: AI assistant: drafting, summarisation, Q&amp;A, and natural language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Purpose(s) of processing</w:t>
            </w:r>
          </w:p>
        </w:tc>
        <w:tc>
          <w:tcPr>
            <w:tcW w:type="dxa" w:w="4320"/>
          </w:tcPr>
          <w:p>
            <w:r>
              <w:t>Provide productivity assistance: draft OKRs, generate structured summaries, answer queries, and navigate AIME features. AI proposes actions but does not execute them without user approval.</w:t>
            </w:r>
          </w:p>
        </w:tc>
      </w:tr>
      <w:tr>
        <w:tc>
          <w:tcPr>
            <w:tcW w:type="dxa" w:w="4320"/>
          </w:tcPr>
          <w:p>
            <w:r>
              <w:t>Lawful basis (GDPR Art. 6)</w:t>
            </w:r>
          </w:p>
        </w:tc>
        <w:tc>
          <w:tcPr>
            <w:tcW w:type="dxa" w:w="4320"/>
          </w:tcPr>
          <w:p>
            <w:r>
              <w:t>Primary: Art. 6(1)(b) and/or Art. 6(1)(f). Where using 6(1)(f), maintain an LIA; confirm no automated decision-making with legal or similarly significant effects (Art. 22).</w:t>
            </w:r>
          </w:p>
        </w:tc>
      </w:tr>
      <w:tr>
        <w:tc>
          <w:tcPr>
            <w:tcW w:type="dxa" w:w="4320"/>
          </w:tcPr>
          <w:p>
            <w:r>
              <w:t>Data subjects</w:t>
            </w:r>
          </w:p>
        </w:tc>
        <w:tc>
          <w:tcPr>
            <w:tcW w:type="dxa" w:w="4320"/>
          </w:tcPr>
          <w:p>
            <w:r>
              <w:t>Employees/internal staff users; leaders/owners/admins (within permitted scope).</w:t>
            </w:r>
          </w:p>
        </w:tc>
      </w:tr>
      <w:tr>
        <w:tc>
          <w:tcPr>
            <w:tcW w:type="dxa" w:w="4320"/>
          </w:tcPr>
          <w:p>
            <w:r>
              <w:t>Categories of personal data</w:t>
            </w:r>
          </w:p>
        </w:tc>
        <w:tc>
          <w:tcPr>
            <w:tcW w:type="dxa" w:w="4320"/>
          </w:tcPr>
          <w:p>
            <w:r>
              <w:t>User prompts and selected context; role/team scope; OKR/KPI/Jira references necessary to fulfil the request. Minimise identifiers shared to the model where possible.</w:t>
            </w:r>
          </w:p>
        </w:tc>
      </w:tr>
      <w:tr>
        <w:tc>
          <w:tcPr>
            <w:tcW w:type="dxa" w:w="4320"/>
          </w:tcPr>
          <w:p>
            <w:r>
              <w:t>Special category data (GDPR Art. 9)</w:t>
            </w:r>
          </w:p>
        </w:tc>
        <w:tc>
          <w:tcPr>
            <w:tcW w:type="dxa" w:w="4320"/>
          </w:tcPr>
          <w:p>
            <w:r>
              <w:t>Not intended. Controls: user notice; avoid sending unnecessary free-text fields to AI; allowlists/redaction; exclude known sensitive fields (e.g., leave reasons/notes) from AI context.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User prompts; tool-based retrieval from AIME DB and connected systems (scoped).</w:t>
            </w:r>
          </w:p>
        </w:tc>
      </w:tr>
      <w:tr>
        <w:tc>
          <w:tcPr>
            <w:tcW w:type="dxa" w:w="4320"/>
          </w:tcPr>
          <w:p>
            <w:r>
              <w:t>Recipients (internal) / processors (external)</w:t>
            </w:r>
          </w:p>
        </w:tc>
        <w:tc>
          <w:tcPr>
            <w:tcW w:type="dxa" w:w="4320"/>
          </w:tcPr>
          <w:p>
            <w:r>
              <w:t>Internal: authorised users and admins via AIME UI; External: AI service provider (Amazon Bedrock and underlying model provider); hosting/runtime; database provider.</w:t>
            </w:r>
          </w:p>
        </w:tc>
      </w:tr>
      <w:tr>
        <w:tc>
          <w:tcPr>
            <w:tcW w:type="dxa" w:w="4320"/>
          </w:tcPr>
          <w:p>
            <w:r>
              <w:t>International transfers &amp; safeguards</w:t>
            </w:r>
          </w:p>
        </w:tc>
        <w:tc>
          <w:tcPr>
            <w:tcW w:type="dxa" w:w="4320"/>
          </w:tcPr>
          <w:p>
            <w:r>
              <w:t>Select AI inference region(s) appropriate for EU/EEA users where feasible. If EU/EEA personal data is processed outside EU/EEA, apply SCCs and complete a TRA where required. Document vendor terms regarding data retention and model training; configure accordingly.</w:t>
            </w:r>
          </w:p>
        </w:tc>
      </w:tr>
      <w:tr>
        <w:tc>
          <w:tcPr>
            <w:tcW w:type="dxa" w:w="4320"/>
          </w:tcPr>
          <w:p>
            <w:r>
              <w:t>Retention / deletion</w:t>
            </w:r>
          </w:p>
        </w:tc>
        <w:tc>
          <w:tcPr>
            <w:tcW w:type="dxa" w:w="4320"/>
          </w:tcPr>
          <w:p>
            <w:r>
              <w:t>Proposed: retain AI interaction logs/traces for 30 days (minimum necessary) [confirm]. Store minimal audit metadata where possible; avoid retaining full prompts/ticket bodies unless needed for support/security.</w:t>
            </w:r>
          </w:p>
        </w:tc>
      </w:tr>
      <w:tr>
        <w:tc>
          <w:tcPr>
            <w:tcW w:type="dxa" w:w="4320"/>
          </w:tcPr>
          <w:p>
            <w:r>
              <w:t>Security measures (high level)</w:t>
            </w:r>
          </w:p>
        </w:tc>
        <w:tc>
          <w:tcPr>
            <w:tcW w:type="dxa" w:w="4320"/>
          </w:tcPr>
          <w:p>
            <w:r>
              <w:t>Tool allowlists; server-side permission checks (403 on unauthorised access); no direct DB access; human-in-the-loop Accept/Reject for writes; audit logs for tool calls and approvals.</w:t>
            </w:r>
          </w:p>
        </w:tc>
      </w:tr>
      <w:tr>
        <w:tc>
          <w:tcPr>
            <w:tcW w:type="dxa" w:w="4320"/>
          </w:tcPr>
          <w:p>
            <w:r>
              <w:t>Notes / open items</w:t>
            </w:r>
          </w:p>
        </w:tc>
        <w:tc>
          <w:tcPr>
            <w:tcW w:type="dxa" w:w="4320"/>
          </w:tcPr>
          <w:p>
            <w:r>
              <w:t>Confirm Bedrock region and retention/training settings; implement guardrails for profiling/performance evaluation.</w:t>
            </w:r>
          </w:p>
        </w:tc>
      </w:tr>
      <w:tr>
        <w:tc>
          <w:tcPr>
            <w:tcW w:type="dxa" w:w="4320"/>
          </w:tcPr>
          <w:p>
            <w:r>
              <w:t>Evidence / artefacts (where documented)</w:t>
            </w:r>
          </w:p>
        </w:tc>
        <w:tc>
          <w:tcPr>
            <w:tcW w:type="dxa" w:w="4320"/>
          </w:tcPr>
          <w:p>
            <w:r>
              <w:t>System prompt policy; tool schemas; audit log spec; AI usage policy; UI labels for AI-generated content.</w:t>
            </w:r>
          </w:p>
        </w:tc>
      </w:tr>
    </w:tbl>
    <w:p/>
    <w:p>
      <w:r>
        <w:rPr>
          <w:b/>
          <w:sz w:val="26"/>
        </w:rPr>
        <w:t>D.4 Processing activity: Jira integration (read and proposed updates via user approval)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Purpose(s) of processing</w:t>
            </w:r>
          </w:p>
        </w:tc>
        <w:tc>
          <w:tcPr>
            <w:tcW w:type="dxa" w:w="4320"/>
          </w:tcPr>
          <w:p>
            <w:r>
              <w:t>Retrieve tickets/status, draft proposed updates, and propose ticket creation/assignment via natural language. All write operations require user Accept/Reject approval.</w:t>
            </w:r>
          </w:p>
        </w:tc>
      </w:tr>
      <w:tr>
        <w:tc>
          <w:tcPr>
            <w:tcW w:type="dxa" w:w="4320"/>
          </w:tcPr>
          <w:p>
            <w:r>
              <w:t>Lawful basis (GDPR Art. 6)</w:t>
            </w:r>
          </w:p>
        </w:tc>
        <w:tc>
          <w:tcPr>
            <w:tcW w:type="dxa" w:w="4320"/>
          </w:tcPr>
          <w:p>
            <w:r>
              <w:t>Primary: Art. 6(1)(b) and/or Art. 6(1)(f).</w:t>
            </w:r>
          </w:p>
        </w:tc>
      </w:tr>
      <w:tr>
        <w:tc>
          <w:tcPr>
            <w:tcW w:type="dxa" w:w="4320"/>
          </w:tcPr>
          <w:p>
            <w:r>
              <w:t>Data subjects</w:t>
            </w:r>
          </w:p>
        </w:tc>
        <w:tc>
          <w:tcPr>
            <w:tcW w:type="dxa" w:w="4320"/>
          </w:tcPr>
          <w:p>
            <w:r>
              <w:t>Employees/internal staff; Jira users referenced in tickets (within permission scope).</w:t>
            </w:r>
          </w:p>
        </w:tc>
      </w:tr>
      <w:tr>
        <w:tc>
          <w:tcPr>
            <w:tcW w:type="dxa" w:w="4320"/>
          </w:tcPr>
          <w:p>
            <w:r>
              <w:t>Categories of personal data</w:t>
            </w:r>
          </w:p>
        </w:tc>
        <w:tc>
          <w:tcPr>
            <w:tcW w:type="dxa" w:w="4320"/>
          </w:tcPr>
          <w:p>
            <w:r>
              <w:t>Jira account identifiers, ticket metadata (assignee/reporter), and work activity content contained in tickets.</w:t>
            </w:r>
          </w:p>
        </w:tc>
      </w:tr>
      <w:tr>
        <w:tc>
          <w:tcPr>
            <w:tcW w:type="dxa" w:w="4320"/>
          </w:tcPr>
          <w:p>
            <w:r>
              <w:t>Special category data (GDPR Art. 9)</w:t>
            </w:r>
          </w:p>
        </w:tc>
        <w:tc>
          <w:tcPr>
            <w:tcW w:type="dxa" w:w="4320"/>
          </w:tcPr>
          <w:p>
            <w:r>
              <w:t>Not intended. Controls: user notice; field allowlists; avoid sending sensitive ticket fields to AI (e.g., leave reasons/notes).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Jira REST APIs under authorised access; user prompts.</w:t>
            </w:r>
          </w:p>
        </w:tc>
      </w:tr>
      <w:tr>
        <w:tc>
          <w:tcPr>
            <w:tcW w:type="dxa" w:w="4320"/>
          </w:tcPr>
          <w:p>
            <w:r>
              <w:t>Recipients (internal) / processors (external)</w:t>
            </w:r>
          </w:p>
        </w:tc>
        <w:tc>
          <w:tcPr>
            <w:tcW w:type="dxa" w:w="4320"/>
          </w:tcPr>
          <w:p>
            <w:r>
              <w:t>Internal: authorised AIME users; admins/support. External: Atlassian (Jira); AI provider only where ticket data is sent under minimised scope.</w:t>
            </w:r>
          </w:p>
        </w:tc>
      </w:tr>
      <w:tr>
        <w:tc>
          <w:tcPr>
            <w:tcW w:type="dxa" w:w="4320"/>
          </w:tcPr>
          <w:p>
            <w:r>
              <w:t>International transfers &amp; safeguards</w:t>
            </w:r>
          </w:p>
        </w:tc>
        <w:tc>
          <w:tcPr>
            <w:tcW w:type="dxa" w:w="4320"/>
          </w:tcPr>
          <w:p>
            <w:r>
              <w:t>Depends on Jira tenant region and AIME/AI regions; document in data flow mapping; apply safeguards where required.</w:t>
            </w:r>
          </w:p>
        </w:tc>
      </w:tr>
      <w:tr>
        <w:tc>
          <w:tcPr>
            <w:tcW w:type="dxa" w:w="4320"/>
          </w:tcPr>
          <w:p>
            <w:r>
              <w:t>Retention / deletion</w:t>
            </w:r>
          </w:p>
        </w:tc>
        <w:tc>
          <w:tcPr>
            <w:tcW w:type="dxa" w:w="4320"/>
          </w:tcPr>
          <w:p>
            <w:r>
              <w:t>Prefer not to store Jira content beyond what is necessary; caching/retention [TBD]; audit logs of actions/approvals retained per audit schedule.</w:t>
            </w:r>
          </w:p>
        </w:tc>
      </w:tr>
      <w:tr>
        <w:tc>
          <w:tcPr>
            <w:tcW w:type="dxa" w:w="4320"/>
          </w:tcPr>
          <w:p>
            <w:r>
              <w:t>Security measures (high level)</w:t>
            </w:r>
          </w:p>
        </w:tc>
        <w:tc>
          <w:tcPr>
            <w:tcW w:type="dxa" w:w="4320"/>
          </w:tcPr>
          <w:p>
            <w:r>
              <w:t>OAuth/secure tokens, least-privilege scopes, RBAC, action approvals, audit logging of proposed/approved changes.</w:t>
            </w:r>
          </w:p>
        </w:tc>
      </w:tr>
      <w:tr>
        <w:tc>
          <w:tcPr>
            <w:tcW w:type="dxa" w:w="4320"/>
          </w:tcPr>
          <w:p>
            <w:r>
              <w:t>Notes / open items</w:t>
            </w:r>
          </w:p>
        </w:tc>
        <w:tc>
          <w:tcPr>
            <w:tcW w:type="dxa" w:w="4320"/>
          </w:tcPr>
          <w:p>
            <w:r>
              <w:t>Confirm Jira tenancy/plan and available audit logs; implement strict allowlist for Jira fields provided to AI.</w:t>
            </w:r>
          </w:p>
        </w:tc>
      </w:tr>
      <w:tr>
        <w:tc>
          <w:tcPr>
            <w:tcW w:type="dxa" w:w="4320"/>
          </w:tcPr>
          <w:p>
            <w:r>
              <w:t>Evidence / artefacts (where documented)</w:t>
            </w:r>
          </w:p>
        </w:tc>
        <w:tc>
          <w:tcPr>
            <w:tcW w:type="dxa" w:w="4320"/>
          </w:tcPr>
          <w:p>
            <w:r>
              <w:t>Integration design doc; OAuth scope list; audit logging for Jira operations.</w:t>
            </w:r>
          </w:p>
        </w:tc>
      </w:tr>
    </w:tbl>
    <w:p/>
    <w:p>
      <w:r>
        <w:rPr>
          <w:b/>
          <w:sz w:val="26"/>
        </w:rPr>
        <w:t>D.5 Processing activity: KPI integration (Snowflake) and analytics dashboards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Purpose(s) of processing</w:t>
            </w:r>
          </w:p>
        </w:tc>
        <w:tc>
          <w:tcPr>
            <w:tcW w:type="dxa" w:w="4320"/>
          </w:tcPr>
          <w:p>
            <w:r>
              <w:t>Retrieve KPI datasets to support execution visibility and enable users to query metrics relevant to goals and initiatives.</w:t>
            </w:r>
          </w:p>
        </w:tc>
      </w:tr>
      <w:tr>
        <w:tc>
          <w:tcPr>
            <w:tcW w:type="dxa" w:w="4320"/>
          </w:tcPr>
          <w:p>
            <w:r>
              <w:t>Lawful basis (GDPR Art. 6)</w:t>
            </w:r>
          </w:p>
        </w:tc>
        <w:tc>
          <w:tcPr>
            <w:tcW w:type="dxa" w:w="4320"/>
          </w:tcPr>
          <w:p>
            <w:r>
              <w:t>Primary: Art. 6(1)(f) and/or Art. 6(1)(b).</w:t>
            </w:r>
          </w:p>
        </w:tc>
      </w:tr>
      <w:tr>
        <w:tc>
          <w:tcPr>
            <w:tcW w:type="dxa" w:w="4320"/>
          </w:tcPr>
          <w:p>
            <w:r>
              <w:t>Data subjects</w:t>
            </w:r>
          </w:p>
        </w:tc>
        <w:tc>
          <w:tcPr>
            <w:tcW w:type="dxa" w:w="4320"/>
          </w:tcPr>
          <w:p>
            <w:r>
              <w:t>Employees/internal staff (where KPIs relate to individuals) and teams/units.</w:t>
            </w:r>
          </w:p>
        </w:tc>
      </w:tr>
      <w:tr>
        <w:tc>
          <w:tcPr>
            <w:tcW w:type="dxa" w:w="4320"/>
          </w:tcPr>
          <w:p>
            <w:r>
              <w:t>Categories of personal data</w:t>
            </w:r>
          </w:p>
        </w:tc>
        <w:tc>
          <w:tcPr>
            <w:tcW w:type="dxa" w:w="4320"/>
          </w:tcPr>
          <w:p>
            <w:r>
              <w:t>KPI values linked to individuals or teams; identifiers where required; aggregates where possible.</w:t>
            </w:r>
          </w:p>
        </w:tc>
      </w:tr>
      <w:tr>
        <w:tc>
          <w:tcPr>
            <w:tcW w:type="dxa" w:w="4320"/>
          </w:tcPr>
          <w:p>
            <w:r>
              <w:t>Special category data (GDPR Art. 9)</w:t>
            </w:r>
          </w:p>
        </w:tc>
        <w:tc>
          <w:tcPr>
            <w:tcW w:type="dxa" w:w="4320"/>
          </w:tcPr>
          <w:p>
            <w:r>
              <w:t>Not intended.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Snowflake datasets (read-only) via authorised access; AIME DB links between KPIs and groups/users (if implemented).</w:t>
            </w:r>
          </w:p>
        </w:tc>
      </w:tr>
      <w:tr>
        <w:tc>
          <w:tcPr>
            <w:tcW w:type="dxa" w:w="4320"/>
          </w:tcPr>
          <w:p>
            <w:r>
              <w:t>Recipients (internal) / processors (external)</w:t>
            </w:r>
          </w:p>
        </w:tc>
        <w:tc>
          <w:tcPr>
            <w:tcW w:type="dxa" w:w="4320"/>
          </w:tcPr>
          <w:p>
            <w:r>
              <w:t>Internal: authorised users per RBAC; admins/support. External: Snowflake; AI provider only if necessary and minimised.</w:t>
            </w:r>
          </w:p>
        </w:tc>
      </w:tr>
      <w:tr>
        <w:tc>
          <w:tcPr>
            <w:tcW w:type="dxa" w:w="4320"/>
          </w:tcPr>
          <w:p>
            <w:r>
              <w:t>International transfers &amp; safeguards</w:t>
            </w:r>
          </w:p>
        </w:tc>
        <w:tc>
          <w:tcPr>
            <w:tcW w:type="dxa" w:w="4320"/>
          </w:tcPr>
          <w:p>
            <w:r>
              <w:t>Depends on Snowflake region and hosting/AI regions; document and apply safeguards where EU data leaves EU/EEA.</w:t>
            </w:r>
          </w:p>
        </w:tc>
      </w:tr>
      <w:tr>
        <w:tc>
          <w:tcPr>
            <w:tcW w:type="dxa" w:w="4320"/>
          </w:tcPr>
          <w:p>
            <w:r>
              <w:t>Retention / deletion</w:t>
            </w:r>
          </w:p>
        </w:tc>
        <w:tc>
          <w:tcPr>
            <w:tcW w:type="dxa" w:w="4320"/>
          </w:tcPr>
          <w:p>
            <w:r>
              <w:t>Prefer not to store raw KPI extracts; store minimal snapshots/aggregates where necessary; retention per policy [TBD].</w:t>
            </w:r>
          </w:p>
        </w:tc>
      </w:tr>
      <w:tr>
        <w:tc>
          <w:tcPr>
            <w:tcW w:type="dxa" w:w="4320"/>
          </w:tcPr>
          <w:p>
            <w:r>
              <w:t>Security measures (high level)</w:t>
            </w:r>
          </w:p>
        </w:tc>
        <w:tc>
          <w:tcPr>
            <w:tcW w:type="dxa" w:w="4320"/>
          </w:tcPr>
          <w:p>
            <w:r>
              <w:t>Read-only integration, RBAC scoping, aggregation where possible, audit logs for access to individual-linked KPIs.</w:t>
            </w:r>
          </w:p>
        </w:tc>
      </w:tr>
      <w:tr>
        <w:tc>
          <w:tcPr>
            <w:tcW w:type="dxa" w:w="4320"/>
          </w:tcPr>
          <w:p>
            <w:r>
              <w:t>Notes / open items</w:t>
            </w:r>
          </w:p>
        </w:tc>
        <w:tc>
          <w:tcPr>
            <w:tcW w:type="dxa" w:w="4320"/>
          </w:tcPr>
          <w:p>
            <w:r>
              <w:t>Clarify KPIs are not used for automated performance evaluation; maintain manager guidance for summaries.</w:t>
            </w:r>
          </w:p>
        </w:tc>
      </w:tr>
      <w:tr>
        <w:tc>
          <w:tcPr>
            <w:tcW w:type="dxa" w:w="4320"/>
          </w:tcPr>
          <w:p>
            <w:r>
              <w:t>Evidence / artefacts (where documented)</w:t>
            </w:r>
          </w:p>
        </w:tc>
        <w:tc>
          <w:tcPr>
            <w:tcW w:type="dxa" w:w="4320"/>
          </w:tcPr>
          <w:p>
            <w:r>
              <w:t>KPI integration doc; RBAC rules; audit log spec for KPI queries.</w:t>
            </w:r>
          </w:p>
        </w:tc>
      </w:tr>
    </w:tbl>
    <w:p/>
    <w:p>
      <w:r>
        <w:rPr>
          <w:b/>
          <w:sz w:val="26"/>
        </w:rPr>
        <w:t>D.6 Processing activity: Audit logging, security monitoring, and support/defect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Purpose(s) of processing</w:t>
            </w:r>
          </w:p>
        </w:tc>
        <w:tc>
          <w:tcPr>
            <w:tcW w:type="dxa" w:w="4320"/>
          </w:tcPr>
          <w:p>
            <w:r>
              <w:t>Maintain security and accountability: log key actions (including AI proposals and approvals), support troubleshooting, and manage incidents/defects.</w:t>
            </w:r>
          </w:p>
        </w:tc>
      </w:tr>
      <w:tr>
        <w:tc>
          <w:tcPr>
            <w:tcW w:type="dxa" w:w="4320"/>
          </w:tcPr>
          <w:p>
            <w:r>
              <w:t>Lawful basis (GDPR Art. 6)</w:t>
            </w:r>
          </w:p>
        </w:tc>
        <w:tc>
          <w:tcPr>
            <w:tcW w:type="dxa" w:w="4320"/>
          </w:tcPr>
          <w:p>
            <w:r>
              <w:t>Primary: Art. 6(1)(f) legitimate interests (security and accountability).</w:t>
            </w:r>
          </w:p>
        </w:tc>
      </w:tr>
      <w:tr>
        <w:tc>
          <w:tcPr>
            <w:tcW w:type="dxa" w:w="4320"/>
          </w:tcPr>
          <w:p>
            <w:r>
              <w:t>Data subjects</w:t>
            </w:r>
          </w:p>
        </w:tc>
        <w:tc>
          <w:tcPr>
            <w:tcW w:type="dxa" w:w="4320"/>
          </w:tcPr>
          <w:p>
            <w:r>
              <w:t>All users; administrators; support personnel.</w:t>
            </w:r>
          </w:p>
        </w:tc>
      </w:tr>
      <w:tr>
        <w:tc>
          <w:tcPr>
            <w:tcW w:type="dxa" w:w="4320"/>
          </w:tcPr>
          <w:p>
            <w:r>
              <w:t>Categories of personal data</w:t>
            </w:r>
          </w:p>
        </w:tc>
        <w:tc>
          <w:tcPr>
            <w:tcW w:type="dxa" w:w="4320"/>
          </w:tcPr>
          <w:p>
            <w:r>
              <w:t>User IDs, timestamps, access events, action approvals, limited request metadata; avoid storing unnecessary content.</w:t>
            </w:r>
          </w:p>
        </w:tc>
      </w:tr>
      <w:tr>
        <w:tc>
          <w:tcPr>
            <w:tcW w:type="dxa" w:w="4320"/>
          </w:tcPr>
          <w:p>
            <w:r>
              <w:t>Special category data (GDPR Art. 9)</w:t>
            </w:r>
          </w:p>
        </w:tc>
        <w:tc>
          <w:tcPr>
            <w:tcW w:type="dxa" w:w="4320"/>
          </w:tcPr>
          <w:p>
            <w:r>
              <w:t>Not intended; avoid logging sensitive free text.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Application logs, audit events, WAF/security logs (if enabled), support tickets [TBD].</w:t>
            </w:r>
          </w:p>
        </w:tc>
      </w:tr>
      <w:tr>
        <w:tc>
          <w:tcPr>
            <w:tcW w:type="dxa" w:w="4320"/>
          </w:tcPr>
          <w:p>
            <w:r>
              <w:t>Recipients (internal) / processors (external)</w:t>
            </w:r>
          </w:p>
        </w:tc>
        <w:tc>
          <w:tcPr>
            <w:tcW w:type="dxa" w:w="4320"/>
          </w:tcPr>
          <w:p>
            <w:r>
              <w:t>Internal: authorised admins/support. External: hosting/runtime; monitoring/log tooling [TBD].</w:t>
            </w:r>
          </w:p>
        </w:tc>
      </w:tr>
      <w:tr>
        <w:tc>
          <w:tcPr>
            <w:tcW w:type="dxa" w:w="4320"/>
          </w:tcPr>
          <w:p>
            <w:r>
              <w:t>International transfers &amp; safeguards</w:t>
            </w:r>
          </w:p>
        </w:tc>
        <w:tc>
          <w:tcPr>
            <w:tcW w:type="dxa" w:w="4320"/>
          </w:tcPr>
          <w:p>
            <w:r>
              <w:t>Depends on log storage locations and support access locations; apply safeguards if EU logs are accessed outside EU/EEA.</w:t>
            </w:r>
          </w:p>
        </w:tc>
      </w:tr>
      <w:tr>
        <w:tc>
          <w:tcPr>
            <w:tcW w:type="dxa" w:w="4320"/>
          </w:tcPr>
          <w:p>
            <w:r>
              <w:t>Retention / deletion</w:t>
            </w:r>
          </w:p>
        </w:tc>
        <w:tc>
          <w:tcPr>
            <w:tcW w:type="dxa" w:w="4320"/>
          </w:tcPr>
          <w:p>
            <w:r>
              <w:t>Proposed: retain security/audit logs for 30–90 days depending on organisational policy [confirm].</w:t>
            </w:r>
          </w:p>
        </w:tc>
      </w:tr>
      <w:tr>
        <w:tc>
          <w:tcPr>
            <w:tcW w:type="dxa" w:w="4320"/>
          </w:tcPr>
          <w:p>
            <w:r>
              <w:t>Security measures (high level)</w:t>
            </w:r>
          </w:p>
        </w:tc>
        <w:tc>
          <w:tcPr>
            <w:tcW w:type="dxa" w:w="4320"/>
          </w:tcPr>
          <w:p>
            <w:r>
              <w:t>Restricted access to logs, encryption, monitoring, incident response process, periodic review.</w:t>
            </w:r>
          </w:p>
        </w:tc>
      </w:tr>
      <w:tr>
        <w:tc>
          <w:tcPr>
            <w:tcW w:type="dxa" w:w="4320"/>
          </w:tcPr>
          <w:p>
            <w:r>
              <w:t>Notes / open items</w:t>
            </w:r>
          </w:p>
        </w:tc>
        <w:tc>
          <w:tcPr>
            <w:tcW w:type="dxa" w:w="4320"/>
          </w:tcPr>
          <w:p>
            <w:r>
              <w:t>Define logging fields and redaction; set final retention; implement complaints/defect workflow and incident playbook.</w:t>
            </w:r>
          </w:p>
        </w:tc>
      </w:tr>
      <w:tr>
        <w:tc>
          <w:tcPr>
            <w:tcW w:type="dxa" w:w="4320"/>
          </w:tcPr>
          <w:p>
            <w:r>
              <w:t>Evidence / artefacts (where documented)</w:t>
            </w:r>
          </w:p>
        </w:tc>
        <w:tc>
          <w:tcPr>
            <w:tcW w:type="dxa" w:w="4320"/>
          </w:tcPr>
          <w:p>
            <w:r>
              <w:t>Logging policy; incident response runbook; complaint handling SOP.</w:t>
            </w:r>
          </w:p>
        </w:tc>
      </w:tr>
    </w:tbl>
    <w:p/>
    <w:p>
      <w:r>
        <w:rPr>
          <w:b/>
          <w:sz w:val="26"/>
        </w:rPr>
        <w:t>D.7 Processing activity: Data subject rights (DSAR) handling and exports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Purpose(s) of processing</w:t>
            </w:r>
          </w:p>
        </w:tc>
        <w:tc>
          <w:tcPr>
            <w:tcW w:type="dxa" w:w="4320"/>
          </w:tcPr>
          <w:p>
            <w:r>
              <w:t>Respond to GDPR/UK GDPR data subject rights requests and provide relevant exports within scope.</w:t>
            </w:r>
          </w:p>
        </w:tc>
      </w:tr>
      <w:tr>
        <w:tc>
          <w:tcPr>
            <w:tcW w:type="dxa" w:w="4320"/>
          </w:tcPr>
          <w:p>
            <w:r>
              <w:t>Lawful basis (GDPR Art. 6)</w:t>
            </w:r>
          </w:p>
        </w:tc>
        <w:tc>
          <w:tcPr>
            <w:tcW w:type="dxa" w:w="4320"/>
          </w:tcPr>
          <w:p>
            <w:r>
              <w:t>Art. 6(1)(c) (legal obligation where applicable) and/or Art. 6(1)(f) accountability.</w:t>
            </w:r>
          </w:p>
        </w:tc>
      </w:tr>
      <w:tr>
        <w:tc>
          <w:tcPr>
            <w:tcW w:type="dxa" w:w="4320"/>
          </w:tcPr>
          <w:p>
            <w:r>
              <w:t>Data subjects</w:t>
            </w:r>
          </w:p>
        </w:tc>
        <w:tc>
          <w:tcPr>
            <w:tcW w:type="dxa" w:w="4320"/>
          </w:tcPr>
          <w:p>
            <w:r>
              <w:t>Users exercising GDPR/UK GDPR rights.</w:t>
            </w:r>
          </w:p>
        </w:tc>
      </w:tr>
      <w:tr>
        <w:tc>
          <w:tcPr>
            <w:tcW w:type="dxa" w:w="4320"/>
          </w:tcPr>
          <w:p>
            <w:r>
              <w:t>Categories of personal data</w:t>
            </w:r>
          </w:p>
        </w:tc>
        <w:tc>
          <w:tcPr>
            <w:tcW w:type="dxa" w:w="4320"/>
          </w:tcPr>
          <w:p>
            <w:r>
              <w:t>User account/profile data, OKR/OKRT content, relevant logs within scope, and metadata required to fulfil the request.</w:t>
            </w:r>
          </w:p>
        </w:tc>
      </w:tr>
      <w:tr>
        <w:tc>
          <w:tcPr>
            <w:tcW w:type="dxa" w:w="4320"/>
          </w:tcPr>
          <w:p>
            <w:r>
              <w:t>Special category data (GDPR Art. 9)</w:t>
            </w:r>
          </w:p>
        </w:tc>
        <w:tc>
          <w:tcPr>
            <w:tcW w:type="dxa" w:w="4320"/>
          </w:tcPr>
          <w:p>
            <w:r>
              <w:t>Not intended; handle cautiously if present incidentally.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AIME DB; audit logs; integration references; admin records.</w:t>
            </w:r>
          </w:p>
        </w:tc>
      </w:tr>
      <w:tr>
        <w:tc>
          <w:tcPr>
            <w:tcW w:type="dxa" w:w="4320"/>
          </w:tcPr>
          <w:p>
            <w:r>
              <w:t>Recipients (internal) / processors (external)</w:t>
            </w:r>
          </w:p>
        </w:tc>
        <w:tc>
          <w:tcPr>
            <w:tcW w:type="dxa" w:w="4320"/>
          </w:tcPr>
          <w:p>
            <w:r>
              <w:t>Internal: authorised privacy/admin staff only.</w:t>
            </w:r>
          </w:p>
        </w:tc>
      </w:tr>
      <w:tr>
        <w:tc>
          <w:tcPr>
            <w:tcW w:type="dxa" w:w="4320"/>
          </w:tcPr>
          <w:p>
            <w:r>
              <w:t>International transfers &amp; safeguards</w:t>
            </w:r>
          </w:p>
        </w:tc>
        <w:tc>
          <w:tcPr>
            <w:tcW w:type="dxa" w:w="4320"/>
          </w:tcPr>
          <w:p>
            <w:r>
              <w:t>Keep DSAR processing within EU/EEA/UK where feasible; document any cross-border support access.</w:t>
            </w:r>
          </w:p>
        </w:tc>
      </w:tr>
      <w:tr>
        <w:tc>
          <w:tcPr>
            <w:tcW w:type="dxa" w:w="4320"/>
          </w:tcPr>
          <w:p>
            <w:r>
              <w:t>Retention / deletion</w:t>
            </w:r>
          </w:p>
        </w:tc>
        <w:tc>
          <w:tcPr>
            <w:tcW w:type="dxa" w:w="4320"/>
          </w:tcPr>
          <w:p>
            <w:r>
              <w:t>Proposed: retain DSAR case records for [TBD] years per compliance policy.</w:t>
            </w:r>
          </w:p>
        </w:tc>
      </w:tr>
      <w:tr>
        <w:tc>
          <w:tcPr>
            <w:tcW w:type="dxa" w:w="4320"/>
          </w:tcPr>
          <w:p>
            <w:r>
              <w:t>Security measures (high level)</w:t>
            </w:r>
          </w:p>
        </w:tc>
        <w:tc>
          <w:tcPr>
            <w:tcW w:type="dxa" w:w="4320"/>
          </w:tcPr>
          <w:p>
            <w:r>
              <w:t>Access controls, secure storage of exports, identity verification, tracking timelines and responses.</w:t>
            </w:r>
          </w:p>
        </w:tc>
      </w:tr>
      <w:tr>
        <w:tc>
          <w:tcPr>
            <w:tcW w:type="dxa" w:w="4320"/>
          </w:tcPr>
          <w:p>
            <w:r>
              <w:t>Notes / open items</w:t>
            </w:r>
          </w:p>
        </w:tc>
        <w:tc>
          <w:tcPr>
            <w:tcW w:type="dxa" w:w="4320"/>
          </w:tcPr>
          <w:p>
            <w:r>
              <w:t>Implement DSAR workflow and assign responsibilities; confirm response timelines and escalation.</w:t>
            </w:r>
          </w:p>
        </w:tc>
      </w:tr>
      <w:tr>
        <w:tc>
          <w:tcPr>
            <w:tcW w:type="dxa" w:w="4320"/>
          </w:tcPr>
          <w:p>
            <w:r>
              <w:t>Evidence / artefacts (where documented)</w:t>
            </w:r>
          </w:p>
        </w:tc>
        <w:tc>
          <w:tcPr>
            <w:tcW w:type="dxa" w:w="4320"/>
          </w:tcPr>
          <w:p>
            <w:r>
              <w:t>DSAR procedure; request intake form; export format spec.</w:t>
            </w:r>
          </w:p>
        </w:tc>
      </w:tr>
    </w:tbl>
    <w:p/>
    <w:p>
      <w:r>
        <w:rPr>
          <w:b/>
          <w:sz w:val="26"/>
        </w:rPr>
        <w:t>E. Client-side caching (mainTree)</w:t>
      </w:r>
    </w:p>
    <w:p>
      <w:r>
        <w:t>AIME uses a client-side cached data structure (“mainTree”) in the user’s web browser. This cached data is treated as personal data where it contains identifiers or user-specific workplace context. Controls include authentication, session security, and RBAC-scoped API responses so that the browser only receives data the user is authorised to access. The AI assistant does not have direct access to the client cache; data is supplied to the model only via backend tool-based retrieval under server-side permission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